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As filed with the Securities and Exchange Commission on February 22, 2021</w:t>
      </w:r>
    </w:p>
    <w:p>
      <w:pPr>
        <w:spacing w:after="0" w:line="36"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36" w:lineRule="exact"/>
        <w:rPr>
          <w:sz w:val="24"/>
          <w:szCs w:val="24"/>
          <w:color w:val="auto"/>
        </w:rPr>
      </w:pPr>
    </w:p>
    <w:p>
      <w:pPr>
        <w:ind w:left="4720"/>
        <w:spacing w:after="0"/>
        <w:rPr>
          <w:sz w:val="20"/>
          <w:szCs w:val="20"/>
          <w:color w:val="auto"/>
        </w:rPr>
      </w:pPr>
      <w:r>
        <w:rPr>
          <w:rFonts w:ascii="Arial" w:cs="Arial" w:eastAsia="Arial" w:hAnsi="Arial"/>
          <w:sz w:val="18"/>
          <w:szCs w:val="18"/>
          <w:color w:val="auto"/>
        </w:rPr>
        <w:t>____________________</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 S-8</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REGISTRATION STATEMENT</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UNDER</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SECURITIES ACT OF 1933</w:t>
      </w:r>
    </w:p>
    <w:p>
      <w:pPr>
        <w:spacing w:after="0" w:line="36" w:lineRule="exact"/>
        <w:rPr>
          <w:sz w:val="24"/>
          <w:szCs w:val="24"/>
          <w:color w:val="auto"/>
        </w:rPr>
      </w:pPr>
    </w:p>
    <w:p>
      <w:pPr>
        <w:ind w:left="4720"/>
        <w:spacing w:after="0"/>
        <w:rPr>
          <w:sz w:val="20"/>
          <w:szCs w:val="20"/>
          <w:color w:val="auto"/>
        </w:rPr>
      </w:pPr>
      <w:r>
        <w:rPr>
          <w:rFonts w:ascii="Arial" w:cs="Arial" w:eastAsia="Arial" w:hAnsi="Arial"/>
          <w:sz w:val="18"/>
          <w:szCs w:val="18"/>
          <w:color w:val="auto"/>
        </w:rPr>
        <w:t>____________________</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36"/>
          <w:szCs w:val="36"/>
          <w:color w:val="auto"/>
        </w:rPr>
        <w:t>Veracyte, Inc.</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75" w:lineRule="exact"/>
        <w:rPr>
          <w:sz w:val="24"/>
          <w:szCs w:val="24"/>
          <w:color w:val="auto"/>
        </w:rPr>
      </w:pPr>
    </w:p>
    <w:tbl>
      <w:tblPr>
        <w:tblLayout w:type="fixed"/>
        <w:tblInd w:w="1360" w:type="dxa"/>
        <w:tblCellMar>
          <w:top w:w="0" w:type="dxa"/>
          <w:left w:w="0" w:type="dxa"/>
          <w:bottom w:w="0" w:type="dxa"/>
          <w:right w:w="0" w:type="dxa"/>
        </w:tblCellMar>
      </w:tblPr>
      <w:tr>
        <w:trPr>
          <w:trHeight w:val="216"/>
        </w:trPr>
        <w:tc>
          <w:tcPr>
            <w:tcW w:w="5880" w:type="dxa"/>
            <w:vAlign w:val="bottom"/>
          </w:tcPr>
          <w:p>
            <w:pPr>
              <w:jc w:val="center"/>
              <w:ind w:right="2870"/>
              <w:spacing w:after="0"/>
              <w:rPr>
                <w:sz w:val="20"/>
                <w:szCs w:val="20"/>
                <w:color w:val="auto"/>
              </w:rPr>
            </w:pPr>
            <w:r>
              <w:rPr>
                <w:rFonts w:ascii="Arial" w:cs="Arial" w:eastAsia="Arial" w:hAnsi="Arial"/>
                <w:sz w:val="18"/>
                <w:szCs w:val="18"/>
                <w:color w:val="auto"/>
                <w:w w:val="89"/>
              </w:rPr>
              <w:t>Delaware</w:t>
            </w:r>
          </w:p>
        </w:tc>
        <w:tc>
          <w:tcPr>
            <w:tcW w:w="1680" w:type="dxa"/>
            <w:vAlign w:val="bottom"/>
          </w:tcPr>
          <w:p>
            <w:pPr>
              <w:jc w:val="right"/>
              <w:ind w:right="150"/>
              <w:spacing w:after="0"/>
              <w:rPr>
                <w:sz w:val="20"/>
                <w:szCs w:val="20"/>
                <w:color w:val="auto"/>
              </w:rPr>
            </w:pPr>
            <w:r>
              <w:rPr>
                <w:rFonts w:ascii="Arial" w:cs="Arial" w:eastAsia="Arial" w:hAnsi="Arial"/>
                <w:sz w:val="18"/>
                <w:szCs w:val="18"/>
                <w:color w:val="auto"/>
              </w:rPr>
              <w:t>20-5455398</w:t>
            </w:r>
          </w:p>
        </w:tc>
      </w:tr>
      <w:tr>
        <w:trPr>
          <w:trHeight w:val="216"/>
        </w:trPr>
        <w:tc>
          <w:tcPr>
            <w:tcW w:w="5880" w:type="dxa"/>
            <w:vAlign w:val="bottom"/>
          </w:tcPr>
          <w:p>
            <w:pPr>
              <w:jc w:val="center"/>
              <w:ind w:right="2870"/>
              <w:spacing w:after="0"/>
              <w:rPr>
                <w:sz w:val="20"/>
                <w:szCs w:val="20"/>
                <w:color w:val="auto"/>
              </w:rPr>
            </w:pPr>
            <w:r>
              <w:rPr>
                <w:rFonts w:ascii="Arial" w:cs="Arial" w:eastAsia="Arial" w:hAnsi="Arial"/>
                <w:sz w:val="18"/>
                <w:szCs w:val="18"/>
                <w:color w:val="auto"/>
                <w:w w:val="92"/>
              </w:rPr>
              <w:t>(State or other jurisdiction of</w:t>
            </w:r>
          </w:p>
        </w:tc>
        <w:tc>
          <w:tcPr>
            <w:tcW w:w="1680" w:type="dxa"/>
            <w:vAlign w:val="bottom"/>
          </w:tcPr>
          <w:p>
            <w:pPr>
              <w:jc w:val="center"/>
              <w:ind w:left="290"/>
              <w:spacing w:after="0"/>
              <w:rPr>
                <w:sz w:val="20"/>
                <w:szCs w:val="20"/>
                <w:color w:val="auto"/>
              </w:rPr>
            </w:pPr>
            <w:r>
              <w:rPr>
                <w:rFonts w:ascii="Arial" w:cs="Arial" w:eastAsia="Arial" w:hAnsi="Arial"/>
                <w:sz w:val="18"/>
                <w:szCs w:val="18"/>
                <w:color w:val="auto"/>
                <w:w w:val="92"/>
              </w:rPr>
              <w:t>(I.R.S. Employer</w:t>
            </w:r>
          </w:p>
        </w:tc>
      </w:tr>
      <w:tr>
        <w:trPr>
          <w:trHeight w:val="230"/>
        </w:trPr>
        <w:tc>
          <w:tcPr>
            <w:tcW w:w="5880" w:type="dxa"/>
            <w:vAlign w:val="bottom"/>
          </w:tcPr>
          <w:p>
            <w:pPr>
              <w:jc w:val="center"/>
              <w:ind w:right="2870"/>
              <w:spacing w:after="0"/>
              <w:rPr>
                <w:sz w:val="20"/>
                <w:szCs w:val="20"/>
                <w:color w:val="auto"/>
              </w:rPr>
            </w:pPr>
            <w:r>
              <w:rPr>
                <w:rFonts w:ascii="Arial" w:cs="Arial" w:eastAsia="Arial" w:hAnsi="Arial"/>
                <w:sz w:val="18"/>
                <w:szCs w:val="18"/>
                <w:color w:val="auto"/>
                <w:w w:val="92"/>
              </w:rPr>
              <w:t>incorporation or organization)</w:t>
            </w:r>
          </w:p>
        </w:tc>
        <w:tc>
          <w:tcPr>
            <w:tcW w:w="1680" w:type="dxa"/>
            <w:vAlign w:val="bottom"/>
          </w:tcPr>
          <w:p>
            <w:pPr>
              <w:jc w:val="center"/>
              <w:ind w:left="250"/>
              <w:spacing w:after="0"/>
              <w:rPr>
                <w:sz w:val="20"/>
                <w:szCs w:val="20"/>
                <w:color w:val="auto"/>
              </w:rPr>
            </w:pPr>
            <w:r>
              <w:rPr>
                <w:rFonts w:ascii="Arial" w:cs="Arial" w:eastAsia="Arial" w:hAnsi="Arial"/>
                <w:sz w:val="18"/>
                <w:szCs w:val="18"/>
                <w:color w:val="auto"/>
                <w:w w:val="95"/>
              </w:rPr>
              <w:t>Identification No.)</w:t>
            </w:r>
          </w:p>
        </w:tc>
      </w:tr>
      <w:tr>
        <w:trPr>
          <w:trHeight w:val="485"/>
        </w:trPr>
        <w:tc>
          <w:tcPr>
            <w:tcW w:w="5880" w:type="dxa"/>
            <w:vAlign w:val="bottom"/>
          </w:tcPr>
          <w:p>
            <w:pPr>
              <w:jc w:val="center"/>
              <w:ind w:right="2870"/>
              <w:spacing w:after="0"/>
              <w:rPr>
                <w:sz w:val="20"/>
                <w:szCs w:val="20"/>
                <w:color w:val="auto"/>
              </w:rPr>
            </w:pPr>
            <w:r>
              <w:rPr>
                <w:rFonts w:ascii="Arial" w:cs="Arial" w:eastAsia="Arial" w:hAnsi="Arial"/>
                <w:sz w:val="18"/>
                <w:szCs w:val="18"/>
                <w:color w:val="auto"/>
                <w:w w:val="90"/>
              </w:rPr>
              <w:t>6000 Shoreline Court, Suite 300</w:t>
            </w:r>
          </w:p>
        </w:tc>
        <w:tc>
          <w:tcPr>
            <w:tcW w:w="1680" w:type="dxa"/>
            <w:vAlign w:val="bottom"/>
          </w:tcPr>
          <w:p>
            <w:pPr>
              <w:spacing w:after="0"/>
              <w:rPr>
                <w:sz w:val="24"/>
                <w:szCs w:val="24"/>
                <w:color w:val="auto"/>
              </w:rPr>
            </w:pPr>
          </w:p>
        </w:tc>
      </w:tr>
      <w:tr>
        <w:trPr>
          <w:trHeight w:val="216"/>
        </w:trPr>
        <w:tc>
          <w:tcPr>
            <w:tcW w:w="5880" w:type="dxa"/>
            <w:vAlign w:val="bottom"/>
          </w:tcPr>
          <w:p>
            <w:pPr>
              <w:jc w:val="center"/>
              <w:ind w:right="2850"/>
              <w:spacing w:after="0"/>
              <w:rPr>
                <w:sz w:val="20"/>
                <w:szCs w:val="20"/>
                <w:color w:val="auto"/>
              </w:rPr>
            </w:pPr>
            <w:r>
              <w:rPr>
                <w:rFonts w:ascii="Arial" w:cs="Arial" w:eastAsia="Arial" w:hAnsi="Arial"/>
                <w:sz w:val="18"/>
                <w:szCs w:val="18"/>
                <w:color w:val="auto"/>
                <w:w w:val="90"/>
              </w:rPr>
              <w:t>South San Francisco, California</w:t>
            </w:r>
          </w:p>
        </w:tc>
        <w:tc>
          <w:tcPr>
            <w:tcW w:w="1680" w:type="dxa"/>
            <w:vAlign w:val="bottom"/>
          </w:tcPr>
          <w:p>
            <w:pPr>
              <w:jc w:val="right"/>
              <w:ind w:right="350"/>
              <w:spacing w:after="0"/>
              <w:rPr>
                <w:sz w:val="20"/>
                <w:szCs w:val="20"/>
                <w:color w:val="auto"/>
              </w:rPr>
            </w:pPr>
            <w:r>
              <w:rPr>
                <w:rFonts w:ascii="Arial" w:cs="Arial" w:eastAsia="Arial" w:hAnsi="Arial"/>
                <w:sz w:val="18"/>
                <w:szCs w:val="18"/>
                <w:color w:val="auto"/>
              </w:rPr>
              <w:t>94080</w:t>
            </w:r>
          </w:p>
        </w:tc>
      </w:tr>
      <w:tr>
        <w:trPr>
          <w:trHeight w:val="257"/>
        </w:trPr>
        <w:tc>
          <w:tcPr>
            <w:tcW w:w="5880" w:type="dxa"/>
            <w:vAlign w:val="bottom"/>
          </w:tcPr>
          <w:p>
            <w:pPr>
              <w:jc w:val="center"/>
              <w:ind w:right="2850"/>
              <w:spacing w:after="0"/>
              <w:rPr>
                <w:sz w:val="20"/>
                <w:szCs w:val="20"/>
                <w:color w:val="auto"/>
              </w:rPr>
            </w:pPr>
            <w:r>
              <w:rPr>
                <w:rFonts w:ascii="Arial" w:cs="Arial" w:eastAsia="Arial" w:hAnsi="Arial"/>
                <w:sz w:val="18"/>
                <w:szCs w:val="18"/>
                <w:color w:val="auto"/>
                <w:w w:val="92"/>
              </w:rPr>
              <w:t>(Address of Principal Executive Offices)</w:t>
            </w:r>
          </w:p>
        </w:tc>
        <w:tc>
          <w:tcPr>
            <w:tcW w:w="1680" w:type="dxa"/>
            <w:vAlign w:val="bottom"/>
          </w:tcPr>
          <w:p>
            <w:pPr>
              <w:jc w:val="center"/>
              <w:ind w:left="250"/>
              <w:spacing w:after="0"/>
              <w:rPr>
                <w:sz w:val="20"/>
                <w:szCs w:val="20"/>
                <w:color w:val="auto"/>
              </w:rPr>
            </w:pPr>
            <w:r>
              <w:rPr>
                <w:rFonts w:ascii="Arial" w:cs="Arial" w:eastAsia="Arial" w:hAnsi="Arial"/>
                <w:sz w:val="18"/>
                <w:szCs w:val="18"/>
                <w:color w:val="auto"/>
                <w:w w:val="91"/>
              </w:rPr>
              <w:t>(Zip Code)</w:t>
            </w:r>
          </w:p>
        </w:tc>
      </w:tr>
      <w:tr>
        <w:trPr>
          <w:trHeight w:val="270"/>
        </w:trPr>
        <w:tc>
          <w:tcPr>
            <w:tcW w:w="5880" w:type="dxa"/>
            <w:vAlign w:val="bottom"/>
          </w:tcPr>
          <w:p>
            <w:pPr>
              <w:jc w:val="center"/>
              <w:ind w:left="2210"/>
              <w:spacing w:after="0"/>
              <w:rPr>
                <w:sz w:val="20"/>
                <w:szCs w:val="20"/>
                <w:color w:val="auto"/>
              </w:rPr>
            </w:pPr>
            <w:r>
              <w:rPr>
                <w:rFonts w:ascii="Arial" w:cs="Arial" w:eastAsia="Arial" w:hAnsi="Arial"/>
                <w:sz w:val="18"/>
                <w:szCs w:val="18"/>
                <w:color w:val="auto"/>
                <w:w w:val="90"/>
              </w:rPr>
              <w:t>Veracyte, Inc. 2013 Stock Incentive Plan</w:t>
            </w:r>
          </w:p>
        </w:tc>
        <w:tc>
          <w:tcPr>
            <w:tcW w:w="1680" w:type="dxa"/>
            <w:vAlign w:val="bottom"/>
          </w:tcPr>
          <w:p>
            <w:pPr>
              <w:spacing w:after="0"/>
              <w:rPr>
                <w:sz w:val="23"/>
                <w:szCs w:val="23"/>
                <w:color w:val="auto"/>
              </w:rPr>
            </w:pPr>
          </w:p>
        </w:tc>
      </w:tr>
      <w:tr>
        <w:trPr>
          <w:trHeight w:val="270"/>
        </w:trPr>
        <w:tc>
          <w:tcPr>
            <w:tcW w:w="5880" w:type="dxa"/>
            <w:vAlign w:val="bottom"/>
          </w:tcPr>
          <w:p>
            <w:pPr>
              <w:jc w:val="center"/>
              <w:ind w:left="2210"/>
              <w:spacing w:after="0"/>
              <w:rPr>
                <w:sz w:val="20"/>
                <w:szCs w:val="20"/>
                <w:color w:val="auto"/>
              </w:rPr>
            </w:pPr>
            <w:r>
              <w:rPr>
                <w:rFonts w:ascii="Arial" w:cs="Arial" w:eastAsia="Arial" w:hAnsi="Arial"/>
                <w:sz w:val="18"/>
                <w:szCs w:val="18"/>
                <w:color w:val="auto"/>
                <w:w w:val="94"/>
              </w:rPr>
              <w:t>(Full title of the plan)</w:t>
            </w:r>
          </w:p>
        </w:tc>
        <w:tc>
          <w:tcPr>
            <w:tcW w:w="1680" w:type="dxa"/>
            <w:vAlign w:val="bottom"/>
          </w:tcPr>
          <w:p>
            <w:pPr>
              <w:spacing w:after="0"/>
              <w:rPr>
                <w:sz w:val="23"/>
                <w:szCs w:val="23"/>
                <w:color w:val="auto"/>
              </w:rPr>
            </w:pPr>
          </w:p>
        </w:tc>
      </w:tr>
    </w:tbl>
    <w:p>
      <w:pPr>
        <w:spacing w:after="0" w:line="8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Bonnie H. Anderson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6000 Shoreline Court, Suite 300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South San Francisco, California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and address agent for service)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(650) 243-6300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Copies to:</w:t>
      </w:r>
    </w:p>
    <w:p>
      <w:pPr>
        <w:spacing w:after="0" w:line="116" w:lineRule="exact"/>
        <w:rPr>
          <w:sz w:val="24"/>
          <w:szCs w:val="24"/>
          <w:color w:val="auto"/>
        </w:rPr>
      </w:pPr>
    </w:p>
    <w:tbl>
      <w:tblPr>
        <w:tblLayout w:type="fixed"/>
        <w:tblInd w:w="1400" w:type="dxa"/>
        <w:tblCellMar>
          <w:top w:w="0" w:type="dxa"/>
          <w:left w:w="0" w:type="dxa"/>
          <w:bottom w:w="0" w:type="dxa"/>
          <w:right w:w="0" w:type="dxa"/>
        </w:tblCellMar>
      </w:tblPr>
      <w:tr>
        <w:trPr>
          <w:trHeight w:val="216"/>
        </w:trPr>
        <w:tc>
          <w:tcPr>
            <w:tcW w:w="3900" w:type="dxa"/>
            <w:vAlign w:val="bottom"/>
          </w:tcPr>
          <w:p>
            <w:pPr>
              <w:jc w:val="center"/>
              <w:ind w:right="950"/>
              <w:spacing w:after="0"/>
              <w:rPr>
                <w:sz w:val="20"/>
                <w:szCs w:val="20"/>
                <w:color w:val="auto"/>
              </w:rPr>
            </w:pPr>
            <w:r>
              <w:rPr>
                <w:rFonts w:ascii="Arial" w:cs="Arial" w:eastAsia="Arial" w:hAnsi="Arial"/>
                <w:sz w:val="18"/>
                <w:szCs w:val="18"/>
                <w:color w:val="auto"/>
                <w:w w:val="89"/>
              </w:rPr>
              <w:t>Ran Ben-Tzur, Esq.</w:t>
            </w:r>
          </w:p>
        </w:tc>
        <w:tc>
          <w:tcPr>
            <w:tcW w:w="4820" w:type="dxa"/>
            <w:vAlign w:val="bottom"/>
          </w:tcPr>
          <w:p>
            <w:pPr>
              <w:jc w:val="center"/>
              <w:ind w:left="990"/>
              <w:spacing w:after="0"/>
              <w:rPr>
                <w:sz w:val="20"/>
                <w:szCs w:val="20"/>
                <w:color w:val="auto"/>
              </w:rPr>
            </w:pPr>
            <w:r>
              <w:rPr>
                <w:rFonts w:ascii="Arial" w:cs="Arial" w:eastAsia="Arial" w:hAnsi="Arial"/>
                <w:sz w:val="18"/>
                <w:szCs w:val="18"/>
                <w:color w:val="auto"/>
                <w:w w:val="93"/>
              </w:rPr>
              <w:t>Keith Kennedy</w:t>
            </w:r>
          </w:p>
        </w:tc>
      </w:tr>
      <w:tr>
        <w:trPr>
          <w:trHeight w:val="216"/>
        </w:trPr>
        <w:tc>
          <w:tcPr>
            <w:tcW w:w="3900" w:type="dxa"/>
            <w:vAlign w:val="bottom"/>
          </w:tcPr>
          <w:p>
            <w:pPr>
              <w:jc w:val="center"/>
              <w:ind w:right="970"/>
              <w:spacing w:after="0"/>
              <w:rPr>
                <w:sz w:val="20"/>
                <w:szCs w:val="20"/>
                <w:color w:val="auto"/>
              </w:rPr>
            </w:pPr>
            <w:r>
              <w:rPr>
                <w:rFonts w:ascii="Arial" w:cs="Arial" w:eastAsia="Arial" w:hAnsi="Arial"/>
                <w:sz w:val="18"/>
                <w:szCs w:val="18"/>
                <w:color w:val="auto"/>
                <w:w w:val="93"/>
              </w:rPr>
              <w:t>Fenwick &amp; West LLP</w:t>
            </w:r>
          </w:p>
        </w:tc>
        <w:tc>
          <w:tcPr>
            <w:tcW w:w="4820" w:type="dxa"/>
            <w:vAlign w:val="bottom"/>
          </w:tcPr>
          <w:p>
            <w:pPr>
              <w:jc w:val="center"/>
              <w:ind w:left="990"/>
              <w:spacing w:after="0"/>
              <w:rPr>
                <w:sz w:val="20"/>
                <w:szCs w:val="20"/>
                <w:color w:val="auto"/>
              </w:rPr>
            </w:pPr>
            <w:r>
              <w:rPr>
                <w:rFonts w:ascii="Arial" w:cs="Arial" w:eastAsia="Arial" w:hAnsi="Arial"/>
                <w:sz w:val="18"/>
                <w:szCs w:val="18"/>
                <w:color w:val="auto"/>
                <w:w w:val="93"/>
              </w:rPr>
              <w:t>Chief Financial Officer and Chief Operating Officer</w:t>
            </w:r>
          </w:p>
        </w:tc>
      </w:tr>
      <w:tr>
        <w:trPr>
          <w:trHeight w:val="216"/>
        </w:trPr>
        <w:tc>
          <w:tcPr>
            <w:tcW w:w="3900" w:type="dxa"/>
            <w:vAlign w:val="bottom"/>
          </w:tcPr>
          <w:p>
            <w:pPr>
              <w:jc w:val="center"/>
              <w:ind w:right="970"/>
              <w:spacing w:after="0"/>
              <w:rPr>
                <w:sz w:val="20"/>
                <w:szCs w:val="20"/>
                <w:color w:val="auto"/>
              </w:rPr>
            </w:pPr>
            <w:r>
              <w:rPr>
                <w:rFonts w:ascii="Arial" w:cs="Arial" w:eastAsia="Arial" w:hAnsi="Arial"/>
                <w:sz w:val="18"/>
                <w:szCs w:val="18"/>
                <w:color w:val="auto"/>
                <w:w w:val="90"/>
              </w:rPr>
              <w:t>228 Santa Monica Boulevard Suite 300</w:t>
            </w:r>
          </w:p>
        </w:tc>
        <w:tc>
          <w:tcPr>
            <w:tcW w:w="4820" w:type="dxa"/>
            <w:vAlign w:val="bottom"/>
          </w:tcPr>
          <w:p>
            <w:pPr>
              <w:jc w:val="center"/>
              <w:ind w:left="990"/>
              <w:spacing w:after="0"/>
              <w:rPr>
                <w:sz w:val="20"/>
                <w:szCs w:val="20"/>
                <w:color w:val="auto"/>
              </w:rPr>
            </w:pPr>
            <w:r>
              <w:rPr>
                <w:rFonts w:ascii="Arial" w:cs="Arial" w:eastAsia="Arial" w:hAnsi="Arial"/>
                <w:sz w:val="18"/>
                <w:szCs w:val="18"/>
                <w:color w:val="auto"/>
                <w:w w:val="89"/>
              </w:rPr>
              <w:t>Veracyte, Inc.</w:t>
            </w:r>
          </w:p>
        </w:tc>
      </w:tr>
      <w:tr>
        <w:trPr>
          <w:trHeight w:val="216"/>
        </w:trPr>
        <w:tc>
          <w:tcPr>
            <w:tcW w:w="3900" w:type="dxa"/>
            <w:vAlign w:val="bottom"/>
          </w:tcPr>
          <w:p>
            <w:pPr>
              <w:jc w:val="center"/>
              <w:ind w:right="970"/>
              <w:spacing w:after="0"/>
              <w:rPr>
                <w:sz w:val="20"/>
                <w:szCs w:val="20"/>
                <w:color w:val="auto"/>
              </w:rPr>
            </w:pPr>
            <w:r>
              <w:rPr>
                <w:rFonts w:ascii="Arial" w:cs="Arial" w:eastAsia="Arial" w:hAnsi="Arial"/>
                <w:sz w:val="18"/>
                <w:szCs w:val="18"/>
                <w:color w:val="auto"/>
                <w:w w:val="92"/>
              </w:rPr>
              <w:t>Santa Monica, California 90401</w:t>
            </w:r>
          </w:p>
        </w:tc>
        <w:tc>
          <w:tcPr>
            <w:tcW w:w="4820" w:type="dxa"/>
            <w:vAlign w:val="bottom"/>
          </w:tcPr>
          <w:p>
            <w:pPr>
              <w:jc w:val="center"/>
              <w:ind w:left="990"/>
              <w:spacing w:after="0"/>
              <w:rPr>
                <w:sz w:val="20"/>
                <w:szCs w:val="20"/>
                <w:color w:val="auto"/>
              </w:rPr>
            </w:pPr>
            <w:r>
              <w:rPr>
                <w:rFonts w:ascii="Arial" w:cs="Arial" w:eastAsia="Arial" w:hAnsi="Arial"/>
                <w:sz w:val="18"/>
                <w:szCs w:val="18"/>
                <w:color w:val="auto"/>
                <w:w w:val="91"/>
              </w:rPr>
              <w:t>6000 Shoreline Court, Suite 300</w:t>
            </w:r>
          </w:p>
        </w:tc>
      </w:tr>
      <w:tr>
        <w:trPr>
          <w:trHeight w:val="216"/>
        </w:trPr>
        <w:tc>
          <w:tcPr>
            <w:tcW w:w="3900" w:type="dxa"/>
            <w:vAlign w:val="bottom"/>
          </w:tcPr>
          <w:p>
            <w:pPr>
              <w:spacing w:after="0"/>
              <w:rPr>
                <w:sz w:val="18"/>
                <w:szCs w:val="18"/>
                <w:color w:val="auto"/>
              </w:rPr>
            </w:pPr>
          </w:p>
        </w:tc>
        <w:tc>
          <w:tcPr>
            <w:tcW w:w="4820" w:type="dxa"/>
            <w:vAlign w:val="bottom"/>
          </w:tcPr>
          <w:p>
            <w:pPr>
              <w:jc w:val="center"/>
              <w:ind w:left="990"/>
              <w:spacing w:after="0"/>
              <w:rPr>
                <w:sz w:val="20"/>
                <w:szCs w:val="20"/>
                <w:color w:val="auto"/>
              </w:rPr>
            </w:pPr>
            <w:r>
              <w:rPr>
                <w:rFonts w:ascii="Arial" w:cs="Arial" w:eastAsia="Arial" w:hAnsi="Arial"/>
                <w:sz w:val="18"/>
                <w:szCs w:val="18"/>
                <w:color w:val="auto"/>
                <w:w w:val="90"/>
              </w:rPr>
              <w:t>South San Francisco, California 94080</w:t>
            </w:r>
          </w:p>
        </w:tc>
      </w:tr>
      <w:tr>
        <w:trPr>
          <w:trHeight w:val="230"/>
        </w:trPr>
        <w:tc>
          <w:tcPr>
            <w:tcW w:w="3900" w:type="dxa"/>
            <w:vAlign w:val="bottom"/>
          </w:tcPr>
          <w:p>
            <w:pPr>
              <w:spacing w:after="0"/>
              <w:rPr>
                <w:sz w:val="20"/>
                <w:szCs w:val="20"/>
                <w:color w:val="auto"/>
              </w:rPr>
            </w:pPr>
          </w:p>
        </w:tc>
        <w:tc>
          <w:tcPr>
            <w:tcW w:w="4820" w:type="dxa"/>
            <w:vAlign w:val="bottom"/>
          </w:tcPr>
          <w:p>
            <w:pPr>
              <w:jc w:val="center"/>
              <w:ind w:left="990"/>
              <w:spacing w:after="0"/>
              <w:rPr>
                <w:sz w:val="20"/>
                <w:szCs w:val="20"/>
                <w:color w:val="auto"/>
              </w:rPr>
            </w:pPr>
            <w:r>
              <w:rPr>
                <w:rFonts w:ascii="Arial" w:cs="Arial" w:eastAsia="Arial" w:hAnsi="Arial"/>
                <w:sz w:val="18"/>
                <w:szCs w:val="18"/>
                <w:color w:val="auto"/>
                <w:w w:val="92"/>
              </w:rPr>
              <w:t>(650) 243-6300</w:t>
            </w:r>
          </w:p>
        </w:tc>
      </w:tr>
    </w:tbl>
    <w:p>
      <w:pPr>
        <w:spacing w:after="0" w:line="200" w:lineRule="exact"/>
        <w:rPr>
          <w:sz w:val="24"/>
          <w:szCs w:val="24"/>
          <w:color w:val="auto"/>
        </w:rPr>
      </w:pPr>
    </w:p>
    <w:p>
      <w:pPr>
        <w:spacing w:after="0" w:line="285" w:lineRule="exact"/>
        <w:rPr>
          <w:sz w:val="24"/>
          <w:szCs w:val="24"/>
          <w:color w:val="auto"/>
        </w:rPr>
      </w:pPr>
    </w:p>
    <w:p>
      <w:pPr>
        <w:ind w:right="3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24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860" w:type="dxa"/>
            <w:vAlign w:val="bottom"/>
          </w:tcPr>
          <w:p>
            <w:pPr>
              <w:ind w:left="780"/>
              <w:spacing w:after="0" w:line="181" w:lineRule="exact"/>
              <w:rPr>
                <w:sz w:val="20"/>
                <w:szCs w:val="20"/>
                <w:color w:val="auto"/>
              </w:rPr>
            </w:pPr>
            <w:r>
              <w:rPr>
                <w:rFonts w:ascii="MS PGothic" w:cs="MS PGothic" w:eastAsia="MS PGothic" w:hAnsi="MS PGothic"/>
                <w:sz w:val="18"/>
                <w:szCs w:val="18"/>
                <w:color w:val="auto"/>
              </w:rPr>
              <w:t>☑</w:t>
            </w:r>
          </w:p>
        </w:tc>
        <w:tc>
          <w:tcPr>
            <w:tcW w:w="4480" w:type="dxa"/>
            <w:vAlign w:val="bottom"/>
          </w:tcPr>
          <w:p>
            <w:pPr>
              <w:ind w:left="1900"/>
              <w:spacing w:after="0"/>
              <w:rPr>
                <w:sz w:val="20"/>
                <w:szCs w:val="20"/>
                <w:color w:val="auto"/>
              </w:rPr>
            </w:pPr>
            <w:r>
              <w:rPr>
                <w:rFonts w:ascii="Arial" w:cs="Arial" w:eastAsia="Arial" w:hAnsi="Arial"/>
                <w:sz w:val="18"/>
                <w:szCs w:val="18"/>
                <w:color w:val="auto"/>
              </w:rPr>
              <w:t>Accelerated filer</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420" w:type="dxa"/>
            <w:vAlign w:val="bottom"/>
          </w:tcPr>
          <w:p>
            <w:pPr>
              <w:spacing w:after="0"/>
              <w:rPr>
                <w:sz w:val="20"/>
                <w:szCs w:val="20"/>
                <w:color w:val="auto"/>
              </w:rPr>
            </w:pPr>
            <w:r>
              <w:rPr>
                <w:rFonts w:ascii="Arial" w:cs="Arial" w:eastAsia="Arial" w:hAnsi="Arial"/>
                <w:sz w:val="18"/>
                <w:szCs w:val="18"/>
                <w:color w:val="auto"/>
              </w:rPr>
              <w:t>Non-accelerated filer</w:t>
            </w:r>
          </w:p>
        </w:tc>
        <w:tc>
          <w:tcPr>
            <w:tcW w:w="2860" w:type="dxa"/>
            <w:vAlign w:val="bottom"/>
          </w:tcPr>
          <w:p>
            <w:pPr>
              <w:ind w:left="780"/>
              <w:spacing w:after="0" w:line="181" w:lineRule="exact"/>
              <w:rPr>
                <w:sz w:val="20"/>
                <w:szCs w:val="20"/>
                <w:color w:val="auto"/>
              </w:rPr>
            </w:pPr>
            <w:r>
              <w:rPr>
                <w:rFonts w:ascii="MS PGothic" w:cs="MS PGothic" w:eastAsia="MS PGothic" w:hAnsi="MS PGothic"/>
                <w:sz w:val="18"/>
                <w:szCs w:val="18"/>
                <w:color w:val="auto"/>
              </w:rPr>
              <w:t>☐</w:t>
            </w:r>
          </w:p>
        </w:tc>
        <w:tc>
          <w:tcPr>
            <w:tcW w:w="4480" w:type="dxa"/>
            <w:vAlign w:val="bottom"/>
          </w:tcPr>
          <w:p>
            <w:pPr>
              <w:ind w:left="1900"/>
              <w:spacing w:after="0"/>
              <w:rPr>
                <w:sz w:val="20"/>
                <w:szCs w:val="20"/>
                <w:color w:val="auto"/>
              </w:rPr>
            </w:pPr>
            <w:r>
              <w:rPr>
                <w:rFonts w:ascii="Arial" w:cs="Arial" w:eastAsia="Arial" w:hAnsi="Arial"/>
                <w:sz w:val="18"/>
                <w:szCs w:val="18"/>
                <w:color w:val="auto"/>
              </w:rPr>
              <w:t>Smaller reporting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480" w:type="dxa"/>
            <w:vAlign w:val="bottom"/>
          </w:tcPr>
          <w:p>
            <w:pPr>
              <w:ind w:left="1900"/>
              <w:spacing w:after="0"/>
              <w:rPr>
                <w:sz w:val="20"/>
                <w:szCs w:val="20"/>
                <w:color w:val="auto"/>
              </w:rPr>
            </w:pPr>
            <w:r>
              <w:rPr>
                <w:rFonts w:ascii="Arial" w:cs="Arial" w:eastAsia="Arial" w:hAnsi="Arial"/>
                <w:sz w:val="18"/>
                <w:szCs w:val="18"/>
                <w:color w:val="auto"/>
              </w:rPr>
              <w:t>Emerging growth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0" w:lineRule="exact"/>
        <w:rPr>
          <w:sz w:val="24"/>
          <w:szCs w:val="24"/>
          <w:color w:val="auto"/>
        </w:rPr>
      </w:pPr>
    </w:p>
    <w:p>
      <w:pPr>
        <w:spacing w:after="0" w:line="238" w:lineRule="exact"/>
        <w:rPr>
          <w:sz w:val="24"/>
          <w:szCs w:val="24"/>
          <w:color w:val="auto"/>
        </w:rPr>
      </w:pPr>
    </w:p>
    <w:p>
      <w:pPr>
        <w:ind w:right="16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ectPr>
          <w:pgSz w:w="11900" w:h="16838" w:orient="portrait"/>
          <w:cols w:equalWidth="0" w:num="1">
            <w:col w:w="11240"/>
          </w:cols>
          <w:pgMar w:left="320" w:top="1016" w:right="3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6"/>
          <w:szCs w:val="16"/>
          <w:b w:val="1"/>
          <w:bCs w:val="1"/>
          <w:color w:val="auto"/>
        </w:rPr>
        <w:t>CALCULATION OF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132080</wp:posOffset>
            </wp:positionV>
            <wp:extent cx="6386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8619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157480</wp:posOffset>
            </wp:positionV>
            <wp:extent cx="63861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86195" cy="8255"/>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940" w:type="dxa"/>
            <w:vAlign w:val="bottom"/>
            <w:gridSpan w:val="2"/>
          </w:tcPr>
          <w:p>
            <w:pPr>
              <w:jc w:val="center"/>
              <w:ind w:right="280"/>
              <w:spacing w:after="0"/>
              <w:rPr>
                <w:sz w:val="20"/>
                <w:szCs w:val="20"/>
                <w:color w:val="auto"/>
              </w:rPr>
            </w:pPr>
            <w:r>
              <w:rPr>
                <w:rFonts w:ascii="Arial" w:cs="Arial" w:eastAsia="Arial" w:hAnsi="Arial"/>
                <w:sz w:val="14"/>
                <w:szCs w:val="14"/>
                <w:color w:val="auto"/>
                <w:w w:val="90"/>
              </w:rPr>
              <w:t>Proposed</w:t>
            </w:r>
          </w:p>
        </w:tc>
        <w:tc>
          <w:tcPr>
            <w:tcW w:w="1360" w:type="dxa"/>
            <w:vAlign w:val="bottom"/>
          </w:tcPr>
          <w:p>
            <w:pPr>
              <w:spacing w:after="0"/>
              <w:rPr>
                <w:sz w:val="14"/>
                <w:szCs w:val="14"/>
                <w:color w:val="auto"/>
              </w:rPr>
            </w:pPr>
          </w:p>
        </w:tc>
      </w:tr>
      <w:tr>
        <w:trPr>
          <w:trHeight w:val="181"/>
        </w:trPr>
        <w:tc>
          <w:tcPr>
            <w:tcW w:w="3140" w:type="dxa"/>
            <w:vAlign w:val="bottom"/>
          </w:tcPr>
          <w:p>
            <w:pPr>
              <w:jc w:val="center"/>
              <w:spacing w:after="0"/>
              <w:rPr>
                <w:sz w:val="20"/>
                <w:szCs w:val="20"/>
                <w:color w:val="auto"/>
              </w:rPr>
            </w:pPr>
            <w:r>
              <w:rPr>
                <w:rFonts w:ascii="Arial" w:cs="Arial" w:eastAsia="Arial" w:hAnsi="Arial"/>
                <w:sz w:val="14"/>
                <w:szCs w:val="14"/>
                <w:color w:val="auto"/>
                <w:w w:val="94"/>
              </w:rPr>
              <w:t>Title of Securities</w:t>
            </w:r>
          </w:p>
        </w:tc>
        <w:tc>
          <w:tcPr>
            <w:tcW w:w="1760" w:type="dxa"/>
            <w:vAlign w:val="bottom"/>
          </w:tcPr>
          <w:p>
            <w:pPr>
              <w:jc w:val="center"/>
              <w:ind w:left="28"/>
              <w:spacing w:after="0"/>
              <w:rPr>
                <w:sz w:val="20"/>
                <w:szCs w:val="20"/>
                <w:color w:val="auto"/>
              </w:rPr>
            </w:pPr>
            <w:r>
              <w:rPr>
                <w:rFonts w:ascii="Arial" w:cs="Arial" w:eastAsia="Arial" w:hAnsi="Arial"/>
                <w:sz w:val="14"/>
                <w:szCs w:val="14"/>
                <w:color w:val="auto"/>
                <w:w w:val="96"/>
              </w:rPr>
              <w:t>Amount To</w:t>
            </w:r>
          </w:p>
        </w:tc>
        <w:tc>
          <w:tcPr>
            <w:tcW w:w="1860" w:type="dxa"/>
            <w:vAlign w:val="bottom"/>
          </w:tcPr>
          <w:p>
            <w:pPr>
              <w:jc w:val="center"/>
              <w:spacing w:after="0"/>
              <w:rPr>
                <w:sz w:val="20"/>
                <w:szCs w:val="20"/>
                <w:color w:val="auto"/>
              </w:rPr>
            </w:pPr>
            <w:r>
              <w:rPr>
                <w:rFonts w:ascii="Arial" w:cs="Arial" w:eastAsia="Arial" w:hAnsi="Arial"/>
                <w:sz w:val="14"/>
                <w:szCs w:val="14"/>
                <w:color w:val="auto"/>
                <w:w w:val="94"/>
              </w:rPr>
              <w:t>Proposed Maximum</w:t>
            </w:r>
          </w:p>
        </w:tc>
        <w:tc>
          <w:tcPr>
            <w:tcW w:w="1940" w:type="dxa"/>
            <w:vAlign w:val="bottom"/>
            <w:gridSpan w:val="2"/>
          </w:tcPr>
          <w:p>
            <w:pPr>
              <w:jc w:val="center"/>
              <w:ind w:right="300"/>
              <w:spacing w:after="0"/>
              <w:rPr>
                <w:sz w:val="20"/>
                <w:szCs w:val="20"/>
                <w:color w:val="auto"/>
              </w:rPr>
            </w:pPr>
            <w:r>
              <w:rPr>
                <w:rFonts w:ascii="Arial" w:cs="Arial" w:eastAsia="Arial" w:hAnsi="Arial"/>
                <w:sz w:val="14"/>
                <w:szCs w:val="14"/>
                <w:color w:val="auto"/>
                <w:w w:val="95"/>
              </w:rPr>
              <w:t>Maximum Aggregate</w:t>
            </w:r>
          </w:p>
        </w:tc>
        <w:tc>
          <w:tcPr>
            <w:tcW w:w="1360" w:type="dxa"/>
            <w:vAlign w:val="bottom"/>
          </w:tcPr>
          <w:p>
            <w:pPr>
              <w:jc w:val="center"/>
              <w:spacing w:after="0"/>
              <w:rPr>
                <w:sz w:val="20"/>
                <w:szCs w:val="20"/>
                <w:color w:val="auto"/>
              </w:rPr>
            </w:pPr>
            <w:r>
              <w:rPr>
                <w:rFonts w:ascii="Arial" w:cs="Arial" w:eastAsia="Arial" w:hAnsi="Arial"/>
                <w:sz w:val="14"/>
                <w:szCs w:val="14"/>
                <w:color w:val="auto"/>
                <w:w w:val="97"/>
              </w:rPr>
              <w:t>Amount of</w:t>
            </w:r>
          </w:p>
        </w:tc>
      </w:tr>
      <w:tr>
        <w:trPr>
          <w:trHeight w:val="204"/>
        </w:trPr>
        <w:tc>
          <w:tcPr>
            <w:tcW w:w="3140" w:type="dxa"/>
            <w:vAlign w:val="bottom"/>
          </w:tcPr>
          <w:p>
            <w:pPr>
              <w:jc w:val="center"/>
              <w:spacing w:after="0"/>
              <w:rPr>
                <w:sz w:val="20"/>
                <w:szCs w:val="20"/>
                <w:color w:val="auto"/>
              </w:rPr>
            </w:pPr>
            <w:r>
              <w:rPr>
                <w:rFonts w:ascii="Arial" w:cs="Arial" w:eastAsia="Arial" w:hAnsi="Arial"/>
                <w:sz w:val="14"/>
                <w:szCs w:val="14"/>
                <w:color w:val="auto"/>
                <w:w w:val="91"/>
              </w:rPr>
              <w:t>To Be Registered</w:t>
            </w:r>
          </w:p>
        </w:tc>
        <w:tc>
          <w:tcPr>
            <w:tcW w:w="1760" w:type="dxa"/>
            <w:vAlign w:val="bottom"/>
          </w:tcPr>
          <w:p>
            <w:pPr>
              <w:jc w:val="center"/>
              <w:ind w:left="28"/>
              <w:spacing w:after="0"/>
              <w:rPr>
                <w:sz w:val="20"/>
                <w:szCs w:val="20"/>
                <w:color w:val="auto"/>
              </w:rPr>
            </w:pPr>
            <w:r>
              <w:rPr>
                <w:rFonts w:ascii="Arial" w:cs="Arial" w:eastAsia="Arial" w:hAnsi="Arial"/>
                <w:sz w:val="14"/>
                <w:szCs w:val="14"/>
                <w:color w:val="auto"/>
                <w:w w:val="92"/>
              </w:rPr>
              <w:t>Be Registered (1)</w:t>
            </w:r>
          </w:p>
        </w:tc>
        <w:tc>
          <w:tcPr>
            <w:tcW w:w="1860" w:type="dxa"/>
            <w:vAlign w:val="bottom"/>
          </w:tcPr>
          <w:p>
            <w:pPr>
              <w:jc w:val="center"/>
              <w:spacing w:after="0"/>
              <w:rPr>
                <w:sz w:val="20"/>
                <w:szCs w:val="20"/>
                <w:color w:val="auto"/>
              </w:rPr>
            </w:pPr>
            <w:r>
              <w:rPr>
                <w:rFonts w:ascii="Arial" w:cs="Arial" w:eastAsia="Arial" w:hAnsi="Arial"/>
                <w:sz w:val="14"/>
                <w:szCs w:val="14"/>
                <w:color w:val="auto"/>
                <w:w w:val="93"/>
              </w:rPr>
              <w:t>Offering Price Per Share</w:t>
            </w:r>
          </w:p>
        </w:tc>
        <w:tc>
          <w:tcPr>
            <w:tcW w:w="1940" w:type="dxa"/>
            <w:vAlign w:val="bottom"/>
            <w:gridSpan w:val="2"/>
          </w:tcPr>
          <w:p>
            <w:pPr>
              <w:jc w:val="center"/>
              <w:ind w:right="280"/>
              <w:spacing w:after="0"/>
              <w:rPr>
                <w:sz w:val="20"/>
                <w:szCs w:val="20"/>
                <w:color w:val="auto"/>
              </w:rPr>
            </w:pPr>
            <w:r>
              <w:rPr>
                <w:rFonts w:ascii="Arial" w:cs="Arial" w:eastAsia="Arial" w:hAnsi="Arial"/>
                <w:sz w:val="14"/>
                <w:szCs w:val="14"/>
                <w:color w:val="auto"/>
                <w:w w:val="95"/>
              </w:rPr>
              <w:t>Offering Price</w:t>
            </w:r>
          </w:p>
        </w:tc>
        <w:tc>
          <w:tcPr>
            <w:tcW w:w="1360" w:type="dxa"/>
            <w:vAlign w:val="bottom"/>
          </w:tcPr>
          <w:p>
            <w:pPr>
              <w:jc w:val="center"/>
              <w:spacing w:after="0"/>
              <w:rPr>
                <w:sz w:val="20"/>
                <w:szCs w:val="20"/>
                <w:color w:val="auto"/>
              </w:rPr>
            </w:pPr>
            <w:r>
              <w:rPr>
                <w:rFonts w:ascii="Arial" w:cs="Arial" w:eastAsia="Arial" w:hAnsi="Arial"/>
                <w:sz w:val="14"/>
                <w:szCs w:val="14"/>
                <w:color w:val="auto"/>
                <w:w w:val="91"/>
              </w:rPr>
              <w:t>Registration Fee</w:t>
            </w:r>
          </w:p>
        </w:tc>
      </w:tr>
      <w:tr>
        <w:trPr>
          <w:trHeight w:val="26"/>
        </w:trPr>
        <w:tc>
          <w:tcPr>
            <w:tcW w:w="3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84"/>
        </w:trPr>
        <w:tc>
          <w:tcPr>
            <w:tcW w:w="3140" w:type="dxa"/>
            <w:vAlign w:val="bottom"/>
          </w:tcPr>
          <w:p>
            <w:pPr>
              <w:jc w:val="center"/>
              <w:spacing w:after="0"/>
              <w:rPr>
                <w:sz w:val="20"/>
                <w:szCs w:val="20"/>
                <w:color w:val="auto"/>
              </w:rPr>
            </w:pPr>
            <w:r>
              <w:rPr>
                <w:rFonts w:ascii="Arial" w:cs="Arial" w:eastAsia="Arial" w:hAnsi="Arial"/>
                <w:sz w:val="14"/>
                <w:szCs w:val="14"/>
                <w:color w:val="auto"/>
                <w:w w:val="91"/>
              </w:rPr>
              <w:t>Common stock, par value $0.001 per share</w:t>
            </w:r>
          </w:p>
        </w:tc>
        <w:tc>
          <w:tcPr>
            <w:tcW w:w="1760" w:type="dxa"/>
            <w:vAlign w:val="bottom"/>
          </w:tcPr>
          <w:p>
            <w:pPr>
              <w:jc w:val="center"/>
              <w:ind w:left="28"/>
              <w:spacing w:after="0"/>
              <w:rPr>
                <w:sz w:val="20"/>
                <w:szCs w:val="20"/>
                <w:color w:val="auto"/>
              </w:rPr>
            </w:pPr>
            <w:r>
              <w:rPr>
                <w:rFonts w:ascii="Arial" w:cs="Arial" w:eastAsia="Arial" w:hAnsi="Arial"/>
                <w:sz w:val="14"/>
                <w:szCs w:val="14"/>
                <w:color w:val="auto"/>
                <w:w w:val="91"/>
              </w:rPr>
              <w:t>2,328,021 shares (2)</w:t>
            </w:r>
          </w:p>
        </w:tc>
        <w:tc>
          <w:tcPr>
            <w:tcW w:w="1860" w:type="dxa"/>
            <w:vAlign w:val="bottom"/>
          </w:tcPr>
          <w:p>
            <w:pPr>
              <w:jc w:val="center"/>
              <w:spacing w:after="0"/>
              <w:rPr>
                <w:sz w:val="20"/>
                <w:szCs w:val="20"/>
                <w:color w:val="auto"/>
              </w:rPr>
            </w:pPr>
            <w:r>
              <w:rPr>
                <w:rFonts w:ascii="Arial" w:cs="Arial" w:eastAsia="Arial" w:hAnsi="Arial"/>
                <w:sz w:val="14"/>
                <w:szCs w:val="14"/>
                <w:color w:val="auto"/>
                <w:w w:val="93"/>
              </w:rPr>
              <w:t>$69.54(3)</w:t>
            </w:r>
          </w:p>
        </w:tc>
        <w:tc>
          <w:tcPr>
            <w:tcW w:w="1700" w:type="dxa"/>
            <w:vAlign w:val="bottom"/>
          </w:tcPr>
          <w:p>
            <w:pPr>
              <w:jc w:val="center"/>
              <w:spacing w:after="0"/>
              <w:rPr>
                <w:sz w:val="20"/>
                <w:szCs w:val="20"/>
                <w:color w:val="auto"/>
              </w:rPr>
            </w:pPr>
            <w:r>
              <w:rPr>
                <w:rFonts w:ascii="Arial" w:cs="Arial" w:eastAsia="Arial" w:hAnsi="Arial"/>
                <w:sz w:val="14"/>
                <w:szCs w:val="14"/>
                <w:color w:val="auto"/>
                <w:w w:val="93"/>
              </w:rPr>
              <w:t>$161,890,580</w:t>
            </w:r>
          </w:p>
        </w:tc>
        <w:tc>
          <w:tcPr>
            <w:tcW w:w="24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0"/>
              </w:rPr>
              <w:t>$17,662</w:t>
            </w:r>
          </w:p>
        </w:tc>
      </w:tr>
    </w:tbl>
    <w:p>
      <w:pPr>
        <w:spacing w:after="0" w:line="250" w:lineRule="exact"/>
        <w:rPr>
          <w:sz w:val="20"/>
          <w:szCs w:val="20"/>
          <w:color w:val="auto"/>
        </w:rPr>
      </w:pPr>
    </w:p>
    <w:p>
      <w:pPr>
        <w:ind w:left="420" w:right="180" w:hanging="400"/>
        <w:spacing w:after="0" w:line="252" w:lineRule="auto"/>
        <w:tabs>
          <w:tab w:leader="none" w:pos="420" w:val="left"/>
        </w:tabs>
        <w:numPr>
          <w:ilvl w:val="0"/>
          <w:numId w:val="1"/>
        </w:numPr>
        <w:rPr>
          <w:rFonts w:ascii="Arial" w:cs="Arial" w:eastAsia="Arial" w:hAnsi="Arial"/>
          <w:sz w:val="14"/>
          <w:szCs w:val="14"/>
          <w:color w:val="auto"/>
        </w:rPr>
      </w:pPr>
      <w:r>
        <w:rPr>
          <w:rFonts w:ascii="Arial" w:cs="Arial" w:eastAsia="Arial" w:hAnsi="Arial"/>
          <w:sz w:val="14"/>
          <w:szCs w:val="14"/>
          <w:color w:val="auto"/>
        </w:rPr>
        <w:t>Pursuant to Rule 416(a) of the Securities Act of 1933, as amended (the “Securities Act”), this registration statement also covers any additional securities that may be offered or become issuable under the Registrant's 2013 Stock Incentive Plan, as amended (the “2013 Plan”) in connection with any stock split, stock dividend, recapitalization or any other similar transaction effected without receipt of consideration, which results in an increase in the number of the Registrant’s outstanding shares of Common Stock.</w:t>
      </w:r>
    </w:p>
    <w:p>
      <w:pPr>
        <w:spacing w:after="0" w:line="25" w:lineRule="exact"/>
        <w:rPr>
          <w:rFonts w:ascii="Arial" w:cs="Arial" w:eastAsia="Arial" w:hAnsi="Arial"/>
          <w:sz w:val="14"/>
          <w:szCs w:val="14"/>
          <w:color w:val="auto"/>
        </w:rPr>
      </w:pPr>
    </w:p>
    <w:p>
      <w:pPr>
        <w:ind w:left="420" w:right="80" w:hanging="400"/>
        <w:spacing w:after="0" w:line="273" w:lineRule="auto"/>
        <w:tabs>
          <w:tab w:leader="none" w:pos="420" w:val="left"/>
        </w:tabs>
        <w:numPr>
          <w:ilvl w:val="0"/>
          <w:numId w:val="1"/>
        </w:numPr>
        <w:rPr>
          <w:rFonts w:ascii="Arial" w:cs="Arial" w:eastAsia="Arial" w:hAnsi="Arial"/>
          <w:sz w:val="14"/>
          <w:szCs w:val="14"/>
          <w:color w:val="auto"/>
        </w:rPr>
      </w:pPr>
      <w:r>
        <w:rPr>
          <w:rFonts w:ascii="Arial" w:cs="Arial" w:eastAsia="Arial" w:hAnsi="Arial"/>
          <w:sz w:val="14"/>
          <w:szCs w:val="14"/>
          <w:color w:val="auto"/>
        </w:rPr>
        <w:t>Represents additional shares of the Registrant’s common stock reserved for issuance under the 2013 Plan, pursuant to its provisions providing for an automatic annual increase in the number of shares reserved for issuance under the 2013 Plan.</w:t>
      </w:r>
    </w:p>
    <w:p>
      <w:pPr>
        <w:spacing w:after="0" w:line="11" w:lineRule="exact"/>
        <w:rPr>
          <w:rFonts w:ascii="Arial" w:cs="Arial" w:eastAsia="Arial" w:hAnsi="Arial"/>
          <w:sz w:val="14"/>
          <w:szCs w:val="14"/>
          <w:color w:val="auto"/>
        </w:rPr>
      </w:pPr>
    </w:p>
    <w:p>
      <w:pPr>
        <w:ind w:left="420" w:right="140" w:hanging="400"/>
        <w:spacing w:after="0" w:line="273" w:lineRule="auto"/>
        <w:tabs>
          <w:tab w:leader="none" w:pos="42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in accordance with Rules 457(c) and 457(h) under the Securities Act, solely for the purposes of calculating the registration fee, based on the average of the high and low prices of the Registrant’s Common Stock as reported on The Nasdaq Global Market on February 19, 2021.</w:t>
      </w:r>
    </w:p>
    <w:p>
      <w:pPr>
        <w:spacing w:after="0" w:line="21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____________________</w:t>
      </w:r>
    </w:p>
    <w:p>
      <w:pPr>
        <w:sectPr>
          <w:pgSz w:w="11900" w:h="16838" w:orient="portrait"/>
          <w:cols w:equalWidth="0" w:num="1">
            <w:col w:w="10060"/>
          </w:cols>
          <w:pgMar w:left="920" w:top="976" w:right="9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PROSPECTUS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Instruction E Information</w:t>
      </w:r>
    </w:p>
    <w:p>
      <w:pPr>
        <w:spacing w:after="0" w:line="25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Pursuant to General Instruction E of Form S-8, Veracyte, Inc. (“Registrant”) is filing this Registration Statement on Form S-8 with the U.S. Securities and Exchange Commission (the “Commission”) to register 2,238,021 additional shares of the Registrant’s Common Stock for issuance under the Registrant’s 2013 Stock Incentive Plan, as amended (the “2013 Plan”), pursuant to the provisions of the 2013 Plan that provide for an automatic annual increase in the number of shares reserved for issuance under the 2013 Plan. The Registrant’s Registration Statements on Form S-8 filed with the Commission on October 30, 2013 (File No. 333-191992), March 30, 2015 (File No. 333-203097), March 14, 2016 (File No. 333-210185), March 2, 2017 (File No. 333-216388), February 28, 2018 (File No. 333-223292), February 25, 2019 (File No. 333-229848) and February 25, 2020 (File No. 333-236630), excluding reports that the Registrant filed with the Commission that were incorporated into the Form S-8 Registration Statements in order to maintain current information about the Registrant, are hereby incorporated by reference into this Registration Statement pursuant to General Instruction E of Form S-</w:t>
      </w:r>
    </w:p>
    <w:p>
      <w:pPr>
        <w:spacing w:after="0" w:line="1" w:lineRule="exact"/>
        <w:rPr>
          <w:sz w:val="20"/>
          <w:szCs w:val="20"/>
          <w:color w:val="auto"/>
        </w:rPr>
      </w:pPr>
    </w:p>
    <w:p>
      <w:pPr>
        <w:ind w:firstLine="8"/>
        <w:spacing w:after="0" w:line="260"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accordance with the instructional note to Part I of Form S-8 as promulgated by the Commission, the information specified by Part I of Form S-8 has been omitted from this Registration Statement.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documents filed by the Registrant with the Commission are hereby incorporated by reference in this Registration Statement:</w:t>
      </w:r>
    </w:p>
    <w:p>
      <w:pPr>
        <w:spacing w:after="0" w:line="237" w:lineRule="exact"/>
        <w:rPr>
          <w:sz w:val="20"/>
          <w:szCs w:val="20"/>
          <w:color w:val="auto"/>
        </w:rPr>
      </w:pPr>
    </w:p>
    <w:p>
      <w:pPr>
        <w:ind w:left="1040" w:hanging="384"/>
        <w:spacing w:after="0"/>
        <w:tabs>
          <w:tab w:leader="none" w:pos="1040" w:val="left"/>
        </w:tabs>
        <w:numPr>
          <w:ilvl w:val="0"/>
          <w:numId w:val="3"/>
        </w:numPr>
        <w:rPr>
          <w:rFonts w:ascii="Arial" w:cs="Arial" w:eastAsia="Arial" w:hAnsi="Arial"/>
          <w:sz w:val="17"/>
          <w:szCs w:val="17"/>
          <w:color w:val="0000FF"/>
        </w:rPr>
      </w:pPr>
      <w:hyperlink r:id="rId10">
        <w:r>
          <w:rPr>
            <w:rFonts w:ascii="Arial" w:cs="Arial" w:eastAsia="Arial" w:hAnsi="Arial"/>
            <w:sz w:val="17"/>
            <w:szCs w:val="17"/>
            <w:u w:val="single" w:color="auto"/>
            <w:color w:val="0000FF"/>
          </w:rPr>
          <w:t>The Registrant’s Annual Report on Form 10-K for the year ended December 31, 2020, filed with the Commission on February 22, 2021</w:t>
        </w:r>
        <w:r>
          <w:rPr>
            <w:rFonts w:ascii="Arial" w:cs="Arial" w:eastAsia="Arial" w:hAnsi="Arial"/>
            <w:sz w:val="17"/>
            <w:szCs w:val="17"/>
            <w:color w:val="0000FF"/>
          </w:rPr>
          <w:t>.</w:t>
        </w:r>
      </w:hyperlink>
    </w:p>
    <w:p>
      <w:pPr>
        <w:spacing w:after="0" w:line="209" w:lineRule="exact"/>
        <w:rPr>
          <w:rFonts w:ascii="Arial" w:cs="Arial" w:eastAsia="Arial" w:hAnsi="Arial"/>
          <w:sz w:val="17"/>
          <w:szCs w:val="17"/>
          <w:color w:val="0000FF"/>
        </w:rPr>
      </w:pPr>
    </w:p>
    <w:p>
      <w:pPr>
        <w:ind w:left="980" w:right="20" w:hanging="324"/>
        <w:spacing w:after="0" w:line="277" w:lineRule="auto"/>
        <w:tabs>
          <w:tab w:leader="none" w:pos="109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other reports filed pursuant to Section 13(a) or 15(d) of the Exchange Act since the end of the fiscal year covered by the Registrant’s Annual Report referred to in (a) above (other than the portions of these documents not deemed to be filed);</w:t>
      </w:r>
    </w:p>
    <w:p>
      <w:pPr>
        <w:spacing w:after="0" w:line="129" w:lineRule="exact"/>
        <w:rPr>
          <w:rFonts w:ascii="Arial" w:cs="Arial" w:eastAsia="Arial" w:hAnsi="Arial"/>
          <w:sz w:val="18"/>
          <w:szCs w:val="18"/>
          <w:color w:val="auto"/>
        </w:rPr>
      </w:pPr>
    </w:p>
    <w:p>
      <w:pPr>
        <w:jc w:val="both"/>
        <w:ind w:left="980" w:hanging="324"/>
        <w:spacing w:after="0" w:line="263" w:lineRule="auto"/>
        <w:tabs>
          <w:tab w:leader="none" w:pos="1062" w:val="left"/>
        </w:tabs>
        <w:numPr>
          <w:ilvl w:val="0"/>
          <w:numId w:val="3"/>
        </w:numPr>
        <w:rPr>
          <w:rFonts w:ascii="Arial" w:cs="Arial" w:eastAsia="Arial" w:hAnsi="Arial"/>
          <w:sz w:val="18"/>
          <w:szCs w:val="18"/>
          <w:u w:val="single" w:color="auto"/>
          <w:color w:val="0000FF"/>
        </w:rPr>
      </w:pPr>
      <w:hyperlink r:id="rId11">
        <w:r>
          <w:rPr>
            <w:rFonts w:ascii="Arial" w:cs="Arial" w:eastAsia="Arial" w:hAnsi="Arial"/>
            <w:sz w:val="18"/>
            <w:szCs w:val="18"/>
            <w:u w:val="single" w:color="auto"/>
            <w:color w:val="0000FF"/>
          </w:rPr>
          <w:t>The description of the Registrant’s Common Stock contained in Registrant’s registration statement on Form 8-A, filed on October 28, 2013</w:t>
        </w:r>
      </w:hyperlink>
      <w:r>
        <w:rPr>
          <w:rFonts w:ascii="Arial" w:cs="Arial" w:eastAsia="Arial" w:hAnsi="Arial"/>
          <w:sz w:val="18"/>
          <w:szCs w:val="18"/>
          <w:u w:val="single" w:color="auto"/>
          <w:color w:val="0000FF"/>
        </w:rPr>
        <w:t xml:space="preserve"> </w:t>
      </w:r>
      <w:hyperlink r:id="rId11">
        <w:r>
          <w:rPr>
            <w:rFonts w:ascii="Arial" w:cs="Arial" w:eastAsia="Arial" w:hAnsi="Arial"/>
            <w:sz w:val="18"/>
            <w:szCs w:val="18"/>
            <w:u w:val="single" w:color="auto"/>
            <w:color w:val="0000FF"/>
          </w:rPr>
          <w:t>pursuant to Section 12(b) of the Securities Exchange Act of 1934, as amended (the “Exchange Act”), including any amendment or report filed</w:t>
        </w:r>
      </w:hyperlink>
      <w:r>
        <w:rPr>
          <w:rFonts w:ascii="Arial" w:cs="Arial" w:eastAsia="Arial" w:hAnsi="Arial"/>
          <w:sz w:val="18"/>
          <w:szCs w:val="18"/>
          <w:u w:val="single" w:color="auto"/>
          <w:color w:val="0000FF"/>
        </w:rPr>
        <w:t xml:space="preserve"> </w:t>
      </w:r>
      <w:hyperlink r:id="rId11">
        <w:r>
          <w:rPr>
            <w:rFonts w:ascii="Arial" w:cs="Arial" w:eastAsia="Arial" w:hAnsi="Arial"/>
            <w:sz w:val="18"/>
            <w:szCs w:val="18"/>
            <w:u w:val="single" w:color="auto"/>
            <w:color w:val="0000FF"/>
          </w:rPr>
          <w:t>for the purpose of updating such description.</w:t>
        </w:r>
      </w:hyperlink>
    </w:p>
    <w:p>
      <w:pPr>
        <w:spacing w:after="0" w:line="143" w:lineRule="exact"/>
        <w:rPr>
          <w:rFonts w:ascii="Arial" w:cs="Arial" w:eastAsia="Arial" w:hAnsi="Arial"/>
          <w:sz w:val="18"/>
          <w:szCs w:val="18"/>
          <w:u w:val="single" w:color="auto"/>
          <w:color w:val="0000FF"/>
        </w:rPr>
      </w:pPr>
    </w:p>
    <w:p>
      <w:pPr>
        <w:jc w:val="both"/>
        <w:ind w:firstLine="432"/>
        <w:spacing w:after="0" w:line="271" w:lineRule="auto"/>
        <w:rPr>
          <w:sz w:val="20"/>
          <w:szCs w:val="20"/>
          <w:color w:val="auto"/>
        </w:rPr>
      </w:pPr>
      <w:r>
        <w:rPr>
          <w:rFonts w:ascii="Arial" w:cs="Arial" w:eastAsia="Arial" w:hAnsi="Arial"/>
          <w:sz w:val="17"/>
          <w:szCs w:val="17"/>
          <w:color w:val="auto"/>
        </w:rPr>
        <w:t>In addition, all documents filed by the Registrant pursuant to Section 13(a), 13(c), 14 or 15(d) of the Exchange Act (excluding any portions thereof furnished by the Registrant, including information furnished under Item 2.02 and Item 7.01 and any exhibits relating to Item 2.02 or Item 7.01 furnished under Item 9.01 of Form 8-K and any certification required by 18 U.S.C. § 1350), subsequent to the filing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such documents. Any statement contained in a document incorporated or deemed to be incorporated by reference herein shall be deemed to be modified or superseded for purposes of this Registration Statement to the extent that a statement contained in any subsequently filed document which also is deemed to be incorporated by reference herein modifies or supersedes such statement.</w:t>
      </w:r>
    </w:p>
    <w:p>
      <w:pPr>
        <w:sectPr>
          <w:pgSz w:w="11900" w:h="16838" w:orient="portrait"/>
          <w:cols w:equalWidth="0" w:num="1">
            <w:col w:w="11240"/>
          </w:cols>
          <w:pgMar w:left="320" w:top="904" w:right="339" w:bottom="1440" w:gutter="0" w:footer="0" w:header="0"/>
        </w:sectPr>
      </w:pPr>
    </w:p>
    <w:bookmarkStart w:id="3" w:name="page4"/>
    <w:bookmarkEnd w:id="3"/>
    <w:p>
      <w:pPr>
        <w:ind w:left="20"/>
        <w:spacing w:after="0"/>
        <w:tabs>
          <w:tab w:leader="none" w:pos="7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w:t>
      </w:r>
    </w:p>
    <w:p>
      <w:pPr>
        <w:spacing w:after="0" w:line="1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exhibits are filed herewith:</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80" w:type="dxa"/>
            <w:vAlign w:val="bottom"/>
            <w:gridSpan w:val="3"/>
          </w:tcPr>
          <w:p>
            <w:pPr>
              <w:ind w:left="240"/>
              <w:spacing w:after="0"/>
              <w:rPr>
                <w:sz w:val="20"/>
                <w:szCs w:val="20"/>
                <w:color w:val="auto"/>
              </w:rPr>
            </w:pPr>
            <w:r>
              <w:rPr>
                <w:rFonts w:ascii="Arial" w:cs="Arial" w:eastAsia="Arial" w:hAnsi="Arial"/>
                <w:sz w:val="18"/>
                <w:szCs w:val="18"/>
                <w:color w:val="auto"/>
              </w:rPr>
              <w:t>Incorporated by Reference</w:t>
            </w:r>
          </w:p>
        </w:tc>
        <w:tc>
          <w:tcPr>
            <w:tcW w:w="1440" w:type="dxa"/>
            <w:vAlign w:val="bottom"/>
          </w:tcPr>
          <w:p>
            <w:pPr>
              <w:spacing w:after="0"/>
              <w:rPr>
                <w:sz w:val="20"/>
                <w:szCs w:val="20"/>
                <w:color w:val="auto"/>
              </w:rPr>
            </w:pPr>
          </w:p>
        </w:tc>
      </w:tr>
      <w:tr>
        <w:trPr>
          <w:trHeight w:val="27"/>
        </w:trPr>
        <w:tc>
          <w:tcPr>
            <w:tcW w:w="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40" w:type="dxa"/>
            <w:vAlign w:val="bottom"/>
          </w:tcPr>
          <w:p>
            <w:pPr>
              <w:spacing w:after="0"/>
              <w:rPr>
                <w:sz w:val="2"/>
                <w:szCs w:val="2"/>
                <w:color w:val="auto"/>
              </w:rPr>
            </w:pPr>
          </w:p>
        </w:tc>
      </w:tr>
      <w:tr>
        <w:trPr>
          <w:trHeight w:val="237"/>
        </w:trPr>
        <w:tc>
          <w:tcPr>
            <w:tcW w:w="980" w:type="dxa"/>
            <w:vAlign w:val="bottom"/>
          </w:tcPr>
          <w:p>
            <w:pPr>
              <w:ind w:left="60"/>
              <w:spacing w:after="0"/>
              <w:rPr>
                <w:sz w:val="20"/>
                <w:szCs w:val="20"/>
                <w:color w:val="auto"/>
              </w:rPr>
            </w:pPr>
            <w:r>
              <w:rPr>
                <w:rFonts w:ascii="Arial" w:cs="Arial" w:eastAsia="Arial" w:hAnsi="Arial"/>
                <w:sz w:val="18"/>
                <w:szCs w:val="18"/>
                <w:color w:val="auto"/>
              </w:rPr>
              <w:t>Exhibit No.</w:t>
            </w:r>
          </w:p>
        </w:tc>
        <w:tc>
          <w:tcPr>
            <w:tcW w:w="900" w:type="dxa"/>
            <w:vAlign w:val="bottom"/>
          </w:tcPr>
          <w:p>
            <w:pPr>
              <w:spacing w:after="0"/>
              <w:rPr>
                <w:sz w:val="20"/>
                <w:szCs w:val="20"/>
                <w:color w:val="auto"/>
              </w:rPr>
            </w:pPr>
          </w:p>
        </w:tc>
        <w:tc>
          <w:tcPr>
            <w:tcW w:w="4180" w:type="dxa"/>
            <w:vAlign w:val="bottom"/>
            <w:gridSpan w:val="8"/>
          </w:tcPr>
          <w:p>
            <w:pPr>
              <w:ind w:left="1220"/>
              <w:spacing w:after="0"/>
              <w:rPr>
                <w:sz w:val="20"/>
                <w:szCs w:val="20"/>
                <w:color w:val="auto"/>
              </w:rPr>
            </w:pPr>
            <w:r>
              <w:rPr>
                <w:rFonts w:ascii="Arial" w:cs="Arial" w:eastAsia="Arial" w:hAnsi="Arial"/>
                <w:sz w:val="18"/>
                <w:szCs w:val="18"/>
                <w:color w:val="auto"/>
              </w:rPr>
              <w:t>Description</w:t>
            </w:r>
          </w:p>
        </w:tc>
        <w:tc>
          <w:tcPr>
            <w:tcW w:w="660" w:type="dxa"/>
            <w:vAlign w:val="bottom"/>
          </w:tcPr>
          <w:p>
            <w:pPr>
              <w:jc w:val="center"/>
              <w:spacing w:after="0"/>
              <w:rPr>
                <w:sz w:val="20"/>
                <w:szCs w:val="20"/>
                <w:color w:val="auto"/>
              </w:rPr>
            </w:pPr>
            <w:r>
              <w:rPr>
                <w:rFonts w:ascii="Arial" w:cs="Arial" w:eastAsia="Arial" w:hAnsi="Arial"/>
                <w:sz w:val="18"/>
                <w:szCs w:val="18"/>
                <w:color w:val="auto"/>
                <w:w w:val="95"/>
              </w:rPr>
              <w:t>Form</w:t>
            </w:r>
          </w:p>
        </w:tc>
        <w:tc>
          <w:tcPr>
            <w:tcW w:w="1160" w:type="dxa"/>
            <w:vAlign w:val="bottom"/>
          </w:tcPr>
          <w:p>
            <w:pPr>
              <w:ind w:left="280"/>
              <w:spacing w:after="0"/>
              <w:rPr>
                <w:sz w:val="20"/>
                <w:szCs w:val="20"/>
                <w:color w:val="auto"/>
              </w:rPr>
            </w:pPr>
            <w:r>
              <w:rPr>
                <w:rFonts w:ascii="Arial" w:cs="Arial" w:eastAsia="Arial" w:hAnsi="Arial"/>
                <w:sz w:val="18"/>
                <w:szCs w:val="18"/>
                <w:color w:val="auto"/>
              </w:rPr>
              <w:t>File No.</w:t>
            </w:r>
          </w:p>
        </w:tc>
        <w:tc>
          <w:tcPr>
            <w:tcW w:w="800" w:type="dxa"/>
            <w:vAlign w:val="bottom"/>
          </w:tcPr>
          <w:p>
            <w:pPr>
              <w:ind w:left="140"/>
              <w:spacing w:after="0"/>
              <w:rPr>
                <w:sz w:val="20"/>
                <w:szCs w:val="20"/>
                <w:color w:val="auto"/>
              </w:rPr>
            </w:pPr>
            <w:r>
              <w:rPr>
                <w:rFonts w:ascii="Arial" w:cs="Arial" w:eastAsia="Arial" w:hAnsi="Arial"/>
                <w:sz w:val="18"/>
                <w:szCs w:val="18"/>
                <w:color w:val="auto"/>
              </w:rPr>
              <w:t>Exhibit</w:t>
            </w:r>
          </w:p>
        </w:tc>
        <w:tc>
          <w:tcPr>
            <w:tcW w:w="1120" w:type="dxa"/>
            <w:vAlign w:val="bottom"/>
          </w:tcPr>
          <w:p>
            <w:pPr>
              <w:ind w:left="140"/>
              <w:spacing w:after="0"/>
              <w:rPr>
                <w:sz w:val="20"/>
                <w:szCs w:val="20"/>
                <w:color w:val="auto"/>
              </w:rPr>
            </w:pPr>
            <w:r>
              <w:rPr>
                <w:rFonts w:ascii="Arial" w:cs="Arial" w:eastAsia="Arial" w:hAnsi="Arial"/>
                <w:sz w:val="18"/>
                <w:szCs w:val="18"/>
                <w:color w:val="auto"/>
              </w:rPr>
              <w:t>Filing Date</w:t>
            </w: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Filed Herewith</w:t>
            </w:r>
          </w:p>
        </w:tc>
      </w:tr>
      <w:tr>
        <w:trPr>
          <w:trHeight w:val="27"/>
        </w:trPr>
        <w:tc>
          <w:tcPr>
            <w:tcW w:w="9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77"/>
        </w:trPr>
        <w:tc>
          <w:tcPr>
            <w:tcW w:w="980" w:type="dxa"/>
            <w:vAlign w:val="bottom"/>
          </w:tcPr>
          <w:p>
            <w:pPr>
              <w:ind w:left="20"/>
              <w:spacing w:after="0"/>
              <w:rPr>
                <w:sz w:val="20"/>
                <w:szCs w:val="20"/>
                <w:color w:val="auto"/>
              </w:rPr>
            </w:pPr>
            <w:r>
              <w:rPr>
                <w:rFonts w:ascii="Arial" w:cs="Arial" w:eastAsia="Arial" w:hAnsi="Arial"/>
                <w:sz w:val="18"/>
                <w:szCs w:val="18"/>
                <w:color w:val="auto"/>
              </w:rPr>
              <w:t>4.1</w:t>
            </w:r>
          </w:p>
        </w:tc>
        <w:tc>
          <w:tcPr>
            <w:tcW w:w="5080" w:type="dxa"/>
            <w:vAlign w:val="bottom"/>
            <w:gridSpan w:val="9"/>
          </w:tcPr>
          <w:p>
            <w:pPr>
              <w:spacing w:after="0"/>
              <w:rPr>
                <w:rFonts w:ascii="Arial" w:cs="Arial" w:eastAsia="Arial" w:hAnsi="Arial"/>
                <w:sz w:val="18"/>
                <w:szCs w:val="18"/>
                <w:u w:val="single" w:color="auto"/>
                <w:color w:val="0000FF"/>
              </w:rPr>
            </w:pPr>
            <w:hyperlink r:id="rId12">
              <w:r>
                <w:rPr>
                  <w:rFonts w:ascii="Arial" w:cs="Arial" w:eastAsia="Arial" w:hAnsi="Arial"/>
                  <w:sz w:val="18"/>
                  <w:szCs w:val="18"/>
                  <w:u w:val="single" w:color="auto"/>
                  <w:color w:val="0000FF"/>
                </w:rPr>
                <w:t>Restated Certificate of Incorporation of the Registrant</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001-36156</w:t>
            </w: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11/8/2013</w:t>
            </w:r>
          </w:p>
        </w:tc>
        <w:tc>
          <w:tcPr>
            <w:tcW w:w="1440" w:type="dxa"/>
            <w:vAlign w:val="bottom"/>
          </w:tcPr>
          <w:p>
            <w:pPr>
              <w:spacing w:after="0"/>
              <w:rPr>
                <w:sz w:val="24"/>
                <w:szCs w:val="24"/>
                <w:color w:val="auto"/>
              </w:rPr>
            </w:pPr>
          </w:p>
        </w:tc>
      </w:tr>
      <w:tr>
        <w:trPr>
          <w:trHeight w:val="297"/>
        </w:trPr>
        <w:tc>
          <w:tcPr>
            <w:tcW w:w="980" w:type="dxa"/>
            <w:vAlign w:val="bottom"/>
          </w:tcPr>
          <w:p>
            <w:pPr>
              <w:ind w:left="20"/>
              <w:spacing w:after="0"/>
              <w:rPr>
                <w:sz w:val="20"/>
                <w:szCs w:val="20"/>
                <w:color w:val="auto"/>
              </w:rPr>
            </w:pPr>
            <w:r>
              <w:rPr>
                <w:rFonts w:ascii="Arial" w:cs="Arial" w:eastAsia="Arial" w:hAnsi="Arial"/>
                <w:sz w:val="18"/>
                <w:szCs w:val="18"/>
                <w:color w:val="auto"/>
              </w:rPr>
              <w:t>4.2</w:t>
            </w:r>
          </w:p>
        </w:tc>
        <w:tc>
          <w:tcPr>
            <w:tcW w:w="5080" w:type="dxa"/>
            <w:vAlign w:val="bottom"/>
            <w:gridSpan w:val="9"/>
          </w:tcPr>
          <w:p>
            <w:pPr>
              <w:spacing w:after="0"/>
              <w:rPr>
                <w:rFonts w:ascii="Arial" w:cs="Arial" w:eastAsia="Arial" w:hAnsi="Arial"/>
                <w:sz w:val="18"/>
                <w:szCs w:val="18"/>
                <w:u w:val="single" w:color="auto"/>
                <w:color w:val="0000FF"/>
              </w:rPr>
            </w:pPr>
            <w:hyperlink r:id="rId13">
              <w:r>
                <w:rPr>
                  <w:rFonts w:ascii="Arial" w:cs="Arial" w:eastAsia="Arial" w:hAnsi="Arial"/>
                  <w:sz w:val="18"/>
                  <w:szCs w:val="18"/>
                  <w:u w:val="single" w:color="auto"/>
                  <w:color w:val="0000FF"/>
                </w:rPr>
                <w:t>Restated Bylaws of the Registrant</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001-36156</w:t>
            </w: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1/25/2021</w:t>
            </w:r>
          </w:p>
        </w:tc>
        <w:tc>
          <w:tcPr>
            <w:tcW w:w="1440" w:type="dxa"/>
            <w:vAlign w:val="bottom"/>
          </w:tcPr>
          <w:p>
            <w:pPr>
              <w:spacing w:after="0"/>
              <w:rPr>
                <w:sz w:val="24"/>
                <w:szCs w:val="24"/>
                <w:color w:val="auto"/>
              </w:rPr>
            </w:pPr>
          </w:p>
        </w:tc>
      </w:tr>
      <w:tr>
        <w:trPr>
          <w:trHeight w:val="310"/>
        </w:trPr>
        <w:tc>
          <w:tcPr>
            <w:tcW w:w="980" w:type="dxa"/>
            <w:vAlign w:val="bottom"/>
          </w:tcPr>
          <w:p>
            <w:pPr>
              <w:ind w:left="20"/>
              <w:spacing w:after="0"/>
              <w:rPr>
                <w:sz w:val="20"/>
                <w:szCs w:val="20"/>
                <w:color w:val="auto"/>
              </w:rPr>
            </w:pPr>
            <w:r>
              <w:rPr>
                <w:rFonts w:ascii="Arial" w:cs="Arial" w:eastAsia="Arial" w:hAnsi="Arial"/>
                <w:sz w:val="18"/>
                <w:szCs w:val="18"/>
                <w:color w:val="auto"/>
              </w:rPr>
              <w:t>4.3</w:t>
            </w:r>
          </w:p>
        </w:tc>
        <w:tc>
          <w:tcPr>
            <w:tcW w:w="5080" w:type="dxa"/>
            <w:vAlign w:val="bottom"/>
            <w:gridSpan w:val="9"/>
          </w:tcPr>
          <w:p>
            <w:pPr>
              <w:spacing w:after="0"/>
              <w:rPr>
                <w:rFonts w:ascii="Arial" w:cs="Arial" w:eastAsia="Arial" w:hAnsi="Arial"/>
                <w:sz w:val="18"/>
                <w:szCs w:val="18"/>
                <w:u w:val="single" w:color="auto"/>
                <w:color w:val="0000FF"/>
              </w:rPr>
            </w:pPr>
            <w:hyperlink r:id="rId14">
              <w:r>
                <w:rPr>
                  <w:rFonts w:ascii="Arial" w:cs="Arial" w:eastAsia="Arial" w:hAnsi="Arial"/>
                  <w:sz w:val="18"/>
                  <w:szCs w:val="18"/>
                  <w:u w:val="single" w:color="auto"/>
                  <w:color w:val="0000FF"/>
                </w:rPr>
                <w:t>Form of Common Stock Certificate</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333-191282</w:t>
            </w: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10/15/2013</w:t>
            </w:r>
          </w:p>
        </w:tc>
        <w:tc>
          <w:tcPr>
            <w:tcW w:w="1440" w:type="dxa"/>
            <w:vAlign w:val="bottom"/>
          </w:tcPr>
          <w:p>
            <w:pPr>
              <w:spacing w:after="0"/>
              <w:rPr>
                <w:sz w:val="24"/>
                <w:szCs w:val="24"/>
                <w:color w:val="auto"/>
              </w:rPr>
            </w:pPr>
          </w:p>
        </w:tc>
      </w:tr>
      <w:tr>
        <w:trPr>
          <w:trHeight w:val="338"/>
        </w:trPr>
        <w:tc>
          <w:tcPr>
            <w:tcW w:w="980" w:type="dxa"/>
            <w:vAlign w:val="bottom"/>
          </w:tcPr>
          <w:p>
            <w:pPr>
              <w:ind w:left="20"/>
              <w:spacing w:after="0"/>
              <w:rPr>
                <w:sz w:val="20"/>
                <w:szCs w:val="20"/>
                <w:color w:val="auto"/>
              </w:rPr>
            </w:pPr>
            <w:r>
              <w:rPr>
                <w:rFonts w:ascii="Arial" w:cs="Arial" w:eastAsia="Arial" w:hAnsi="Arial"/>
                <w:sz w:val="18"/>
                <w:szCs w:val="18"/>
                <w:color w:val="auto"/>
              </w:rPr>
              <w:t>5.1</w:t>
            </w:r>
          </w:p>
        </w:tc>
        <w:tc>
          <w:tcPr>
            <w:tcW w:w="5080" w:type="dxa"/>
            <w:vAlign w:val="bottom"/>
            <w:gridSpan w:val="9"/>
          </w:tcPr>
          <w:p>
            <w:pPr>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Opinion of Fenwick &amp; West, LLP</w:t>
              </w:r>
            </w:hyperlink>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57"/>
        </w:trPr>
        <w:tc>
          <w:tcPr>
            <w:tcW w:w="980" w:type="dxa"/>
            <w:vAlign w:val="bottom"/>
          </w:tcPr>
          <w:p>
            <w:pPr>
              <w:ind w:left="20"/>
              <w:spacing w:after="0"/>
              <w:rPr>
                <w:sz w:val="20"/>
                <w:szCs w:val="20"/>
                <w:color w:val="auto"/>
              </w:rPr>
            </w:pPr>
            <w:r>
              <w:rPr>
                <w:rFonts w:ascii="Arial" w:cs="Arial" w:eastAsia="Arial" w:hAnsi="Arial"/>
                <w:sz w:val="18"/>
                <w:szCs w:val="18"/>
                <w:color w:val="auto"/>
              </w:rPr>
              <w:t>23.1</w:t>
            </w:r>
          </w:p>
        </w:tc>
        <w:tc>
          <w:tcPr>
            <w:tcW w:w="5080" w:type="dxa"/>
            <w:vAlign w:val="bottom"/>
            <w:gridSpan w:val="9"/>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Consent of I</w:t>
              </w:r>
              <w:r>
                <w:rPr>
                  <w:rFonts w:ascii="Arial" w:cs="Arial" w:eastAsia="Arial" w:hAnsi="Arial"/>
                  <w:sz w:val="18"/>
                  <w:szCs w:val="18"/>
                  <w:u w:val="single" w:color="auto"/>
                  <w:color w:val="0000FF"/>
                </w:rPr>
                <w:t>ndependent Registered</w:t>
              </w:r>
              <w:r>
                <w:rPr>
                  <w:rFonts w:ascii="Arial" w:cs="Arial" w:eastAsia="Arial" w:hAnsi="Arial"/>
                  <w:sz w:val="18"/>
                  <w:szCs w:val="18"/>
                  <w:color w:val="0000FF"/>
                </w:rPr>
                <w:t xml:space="preserve"> </w:t>
              </w:r>
            </w:hyperlink>
            <w:r>
              <w:rPr>
                <w:rFonts w:ascii="Arial" w:cs="Arial" w:eastAsia="Arial" w:hAnsi="Arial"/>
                <w:sz w:val="18"/>
                <w:szCs w:val="18"/>
                <w:color w:val="0000FF"/>
              </w:rPr>
              <w:t xml:space="preserve">Public </w:t>
            </w:r>
            <w:hyperlink w:anchor="page9">
              <w:r>
                <w:rPr>
                  <w:rFonts w:ascii="Arial" w:cs="Arial" w:eastAsia="Arial" w:hAnsi="Arial"/>
                  <w:sz w:val="18"/>
                  <w:szCs w:val="18"/>
                  <w:color w:val="0000FF"/>
                </w:rPr>
                <w:t>A</w:t>
              </w:r>
              <w:r>
                <w:rPr>
                  <w:rFonts w:ascii="Arial" w:cs="Arial" w:eastAsia="Arial" w:hAnsi="Arial"/>
                  <w:sz w:val="18"/>
                  <w:szCs w:val="18"/>
                  <w:u w:val="single" w:color="auto"/>
                  <w:color w:val="0000FF"/>
                </w:rPr>
                <w:t>ccounting</w:t>
              </w:r>
              <w:r>
                <w:rPr>
                  <w:rFonts w:ascii="Arial" w:cs="Arial" w:eastAsia="Arial" w:hAnsi="Arial"/>
                  <w:sz w:val="18"/>
                  <w:szCs w:val="18"/>
                  <w:color w:val="0000FF"/>
                </w:rPr>
                <w:t xml:space="preserve"> </w:t>
              </w:r>
            </w:hyperlink>
            <w:r>
              <w:rPr>
                <w:rFonts w:ascii="Arial" w:cs="Arial" w:eastAsia="Arial" w:hAnsi="Arial"/>
                <w:sz w:val="18"/>
                <w:szCs w:val="18"/>
                <w:color w:val="0000FF"/>
              </w:rPr>
              <w:t>Firm</w:t>
            </w: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0"/>
        </w:trPr>
        <w:tc>
          <w:tcPr>
            <w:tcW w:w="98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91"/>
        </w:trPr>
        <w:tc>
          <w:tcPr>
            <w:tcW w:w="980" w:type="dxa"/>
            <w:vAlign w:val="bottom"/>
          </w:tcPr>
          <w:p>
            <w:pPr>
              <w:ind w:left="20"/>
              <w:spacing w:after="0"/>
              <w:rPr>
                <w:sz w:val="20"/>
                <w:szCs w:val="20"/>
                <w:color w:val="auto"/>
              </w:rPr>
            </w:pPr>
            <w:r>
              <w:rPr>
                <w:rFonts w:ascii="Arial" w:cs="Arial" w:eastAsia="Arial" w:hAnsi="Arial"/>
                <w:sz w:val="18"/>
                <w:szCs w:val="18"/>
                <w:color w:val="auto"/>
              </w:rPr>
              <w:t>23.2</w:t>
            </w:r>
          </w:p>
        </w:tc>
        <w:tc>
          <w:tcPr>
            <w:tcW w:w="5080" w:type="dxa"/>
            <w:vAlign w:val="bottom"/>
            <w:gridSpan w:val="9"/>
          </w:tcPr>
          <w:p>
            <w:pPr>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Consent of Fenwick &amp; West LLP (included in Exhibit 5.1).</w:t>
              </w:r>
            </w:hyperlink>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70"/>
        </w:trPr>
        <w:tc>
          <w:tcPr>
            <w:tcW w:w="980" w:type="dxa"/>
            <w:vAlign w:val="bottom"/>
          </w:tcPr>
          <w:p>
            <w:pPr>
              <w:ind w:left="20"/>
              <w:spacing w:after="0"/>
              <w:rPr>
                <w:sz w:val="20"/>
                <w:szCs w:val="20"/>
                <w:color w:val="auto"/>
              </w:rPr>
            </w:pPr>
            <w:r>
              <w:rPr>
                <w:rFonts w:ascii="Arial" w:cs="Arial" w:eastAsia="Arial" w:hAnsi="Arial"/>
                <w:sz w:val="18"/>
                <w:szCs w:val="18"/>
                <w:color w:val="auto"/>
              </w:rPr>
              <w:t>24.1</w:t>
            </w:r>
          </w:p>
        </w:tc>
        <w:tc>
          <w:tcPr>
            <w:tcW w:w="5080" w:type="dxa"/>
            <w:vAlign w:val="bottom"/>
            <w:gridSpan w:val="9"/>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Power of Attorney (contained on signature page hereto).</w:t>
              </w:r>
            </w:hyperlink>
          </w:p>
        </w:tc>
        <w:tc>
          <w:tcPr>
            <w:tcW w:w="6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29"/>
        </w:trPr>
        <w:tc>
          <w:tcPr>
            <w:tcW w:w="980" w:type="dxa"/>
            <w:vAlign w:val="bottom"/>
          </w:tcPr>
          <w:p>
            <w:pPr>
              <w:ind w:left="20"/>
              <w:spacing w:after="0"/>
              <w:rPr>
                <w:sz w:val="20"/>
                <w:szCs w:val="20"/>
                <w:color w:val="auto"/>
              </w:rPr>
            </w:pPr>
            <w:r>
              <w:rPr>
                <w:rFonts w:ascii="Arial" w:cs="Arial" w:eastAsia="Arial" w:hAnsi="Arial"/>
                <w:sz w:val="18"/>
                <w:szCs w:val="18"/>
                <w:color w:val="auto"/>
              </w:rPr>
              <w:t>99.1</w:t>
            </w:r>
          </w:p>
        </w:tc>
        <w:tc>
          <w:tcPr>
            <w:tcW w:w="4780" w:type="dxa"/>
            <w:vAlign w:val="bottom"/>
            <w:tcBorders>
              <w:bottom w:val="single" w:sz="8" w:color="0000FF"/>
            </w:tcBorders>
            <w:gridSpan w:val="7"/>
          </w:tcPr>
          <w:p>
            <w:pPr>
              <w:spacing w:after="0"/>
              <w:rPr>
                <w:rFonts w:ascii="Arial" w:cs="Arial" w:eastAsia="Arial" w:hAnsi="Arial"/>
                <w:sz w:val="18"/>
                <w:szCs w:val="18"/>
                <w:color w:val="0000FF"/>
                <w:w w:val="90"/>
              </w:rPr>
            </w:pPr>
            <w:hyperlink r:id="rId15">
              <w:r>
                <w:rPr>
                  <w:rFonts w:ascii="Arial" w:cs="Arial" w:eastAsia="Arial" w:hAnsi="Arial"/>
                  <w:sz w:val="18"/>
                  <w:szCs w:val="18"/>
                  <w:color w:val="0000FF"/>
                  <w:w w:val="90"/>
                </w:rPr>
                <w:t>2013 Stock Incentive Plan, as amended, and forms of stock option</w:t>
              </w:r>
            </w:hyperlink>
          </w:p>
        </w:tc>
        <w:tc>
          <w:tcPr>
            <w:tcW w:w="300" w:type="dxa"/>
            <w:vAlign w:val="bottom"/>
            <w:gridSpan w:val="2"/>
          </w:tcPr>
          <w:p>
            <w:pPr>
              <w:spacing w:after="0"/>
              <w:rPr>
                <w:sz w:val="19"/>
                <w:szCs w:val="19"/>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001-36156</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10.3#</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2/27/2018</w:t>
            </w:r>
          </w:p>
        </w:tc>
        <w:tc>
          <w:tcPr>
            <w:tcW w:w="1440" w:type="dxa"/>
            <w:vAlign w:val="bottom"/>
          </w:tcPr>
          <w:p>
            <w:pPr>
              <w:spacing w:after="0"/>
              <w:rPr>
                <w:sz w:val="19"/>
                <w:szCs w:val="19"/>
                <w:color w:val="auto"/>
              </w:rPr>
            </w:pPr>
          </w:p>
        </w:tc>
      </w:tr>
      <w:tr>
        <w:trPr>
          <w:trHeight w:val="196"/>
        </w:trPr>
        <w:tc>
          <w:tcPr>
            <w:tcW w:w="980" w:type="dxa"/>
            <w:vAlign w:val="bottom"/>
          </w:tcPr>
          <w:p>
            <w:pPr>
              <w:spacing w:after="0"/>
              <w:rPr>
                <w:sz w:val="17"/>
                <w:szCs w:val="17"/>
                <w:color w:val="auto"/>
              </w:rPr>
            </w:pPr>
          </w:p>
        </w:tc>
        <w:tc>
          <w:tcPr>
            <w:tcW w:w="5080" w:type="dxa"/>
            <w:vAlign w:val="bottom"/>
            <w:gridSpan w:val="9"/>
          </w:tcPr>
          <w:p>
            <w:pPr>
              <w:spacing w:after="0" w:line="196" w:lineRule="exact"/>
              <w:rPr>
                <w:rFonts w:ascii="Arial" w:cs="Arial" w:eastAsia="Arial" w:hAnsi="Arial"/>
                <w:sz w:val="18"/>
                <w:szCs w:val="18"/>
                <w:color w:val="0000FF"/>
                <w:w w:val="93"/>
              </w:rPr>
            </w:pPr>
            <w:hyperlink r:id="rId15">
              <w:r>
                <w:rPr>
                  <w:rFonts w:ascii="Arial" w:cs="Arial" w:eastAsia="Arial" w:hAnsi="Arial"/>
                  <w:sz w:val="18"/>
                  <w:szCs w:val="18"/>
                  <w:color w:val="0000FF"/>
                  <w:w w:val="93"/>
                </w:rPr>
                <w:t>award agreement, stock option exercise agreement, restricted stock</w:t>
              </w:r>
            </w:hyperlink>
          </w:p>
        </w:tc>
        <w:tc>
          <w:tcPr>
            <w:tcW w:w="6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4820" w:type="dxa"/>
            <w:vAlign w:val="bottom"/>
            <w:tcBorders>
              <w:top w:val="single" w:sz="8" w:color="0000FF"/>
            </w:tcBorders>
            <w:gridSpan w:val="8"/>
          </w:tcPr>
          <w:p>
            <w:pPr>
              <w:spacing w:after="0" w:line="196" w:lineRule="exact"/>
              <w:rPr>
                <w:rFonts w:ascii="Arial" w:cs="Arial" w:eastAsia="Arial" w:hAnsi="Arial"/>
                <w:sz w:val="18"/>
                <w:szCs w:val="18"/>
                <w:color w:val="0000FF"/>
              </w:rPr>
            </w:pPr>
            <w:hyperlink r:id="rId15">
              <w:r>
                <w:rPr>
                  <w:rFonts w:ascii="Arial" w:cs="Arial" w:eastAsia="Arial" w:hAnsi="Arial"/>
                  <w:sz w:val="18"/>
                  <w:szCs w:val="18"/>
                  <w:color w:val="0000FF"/>
                </w:rPr>
                <w:t>agreement and restricted stock unit agreement.</w:t>
              </w:r>
            </w:hyperlink>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tabs>
          <w:tab w:leader="none" w:pos="7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2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The undersigned Registrant hereby undertakes:</w:t>
      </w:r>
    </w:p>
    <w:p>
      <w:pPr>
        <w:spacing w:after="0" w:line="225" w:lineRule="exact"/>
        <w:rPr>
          <w:sz w:val="20"/>
          <w:szCs w:val="20"/>
          <w:color w:val="auto"/>
        </w:rPr>
      </w:pPr>
    </w:p>
    <w:p>
      <w:pPr>
        <w:ind w:left="700" w:hanging="260"/>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(i) To include any prospectus required by Section 10(a)(3) of the Securities Act;</w:t>
      </w:r>
    </w:p>
    <w:p>
      <w:pPr>
        <w:spacing w:after="0" w:line="225" w:lineRule="exact"/>
        <w:rPr>
          <w:sz w:val="20"/>
          <w:szCs w:val="20"/>
          <w:color w:val="auto"/>
        </w:rPr>
      </w:pPr>
    </w:p>
    <w:p>
      <w:pPr>
        <w:jc w:val="both"/>
        <w:ind w:firstLine="440"/>
        <w:spacing w:after="0" w:line="293" w:lineRule="auto"/>
        <w:tabs>
          <w:tab w:leader="none" w:pos="715"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64" w:lineRule="exact"/>
        <w:rPr>
          <w:rFonts w:ascii="Arial" w:cs="Arial" w:eastAsia="Arial" w:hAnsi="Arial"/>
          <w:sz w:val="16"/>
          <w:szCs w:val="16"/>
          <w:color w:val="auto"/>
        </w:rPr>
      </w:pPr>
    </w:p>
    <w:p>
      <w:pPr>
        <w:ind w:firstLine="440"/>
        <w:spacing w:after="0" w:line="277" w:lineRule="auto"/>
        <w:tabs>
          <w:tab w:leader="none" w:pos="748"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provided, however, that paragraphs (a)(1)(i) and (a)(1)(ii) of this section shall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w:t>
      </w:r>
    </w:p>
    <w:p>
      <w:pPr>
        <w:spacing w:after="0" w:line="184" w:lineRule="exact"/>
        <w:rPr>
          <w:sz w:val="20"/>
          <w:szCs w:val="20"/>
          <w:color w:val="auto"/>
        </w:rPr>
      </w:pPr>
    </w:p>
    <w:p>
      <w:pPr>
        <w:jc w:val="both"/>
        <w:ind w:firstLine="440"/>
        <w:spacing w:after="0" w:line="263" w:lineRule="auto"/>
        <w:tabs>
          <w:tab w:leader="none" w:pos="706" w:val="left"/>
        </w:tabs>
        <w:numPr>
          <w:ilvl w:val="0"/>
          <w:numId w:val="6"/>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Arial" w:cs="Arial" w:eastAsia="Arial" w:hAnsi="Arial"/>
          <w:sz w:val="18"/>
          <w:szCs w:val="18"/>
          <w:color w:val="auto"/>
        </w:rPr>
      </w:pPr>
    </w:p>
    <w:p>
      <w:pPr>
        <w:ind w:firstLine="440"/>
        <w:spacing w:after="0" w:line="277" w:lineRule="auto"/>
        <w:tabs>
          <w:tab w:leader="none" w:pos="728"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ectPr>
          <w:pgSz w:w="11900" w:h="16838" w:orient="portrait"/>
          <w:cols w:equalWidth="0" w:num="1">
            <w:col w:w="11240"/>
          </w:cols>
          <w:pgMar w:left="320" w:top="945" w:right="339" w:bottom="1440" w:gutter="0" w:footer="0" w:header="0"/>
        </w:sectPr>
      </w:pPr>
    </w:p>
    <w:bookmarkStart w:id="4" w:name="page5"/>
    <w:bookmarkEnd w:id="4"/>
    <w:p>
      <w:pPr>
        <w:jc w:val="both"/>
        <w:ind w:left="-440" w:firstLine="440"/>
        <w:spacing w:after="0" w:line="257" w:lineRule="auto"/>
        <w:tabs>
          <w:tab w:leader="none" w:pos="286"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7" w:lineRule="exact"/>
        <w:rPr>
          <w:rFonts w:ascii="Arial" w:cs="Arial" w:eastAsia="Arial" w:hAnsi="Arial"/>
          <w:sz w:val="18"/>
          <w:szCs w:val="18"/>
          <w:color w:val="auto"/>
        </w:rPr>
      </w:pPr>
    </w:p>
    <w:p>
      <w:pPr>
        <w:jc w:val="both"/>
        <w:ind w:left="-440" w:firstLine="440"/>
        <w:spacing w:after="0" w:line="291" w:lineRule="auto"/>
        <w:tabs>
          <w:tab w:leader="none" w:pos="255" w:val="left"/>
        </w:tabs>
        <w:numPr>
          <w:ilvl w:val="0"/>
          <w:numId w:val="7"/>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ectPr>
          <w:pgSz w:w="11900" w:h="16838" w:orient="portrait"/>
          <w:cols w:equalWidth="0" w:num="1">
            <w:col w:w="10800"/>
          </w:cols>
          <w:pgMar w:left="760" w:top="1111" w:right="3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8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South San Francisco, State of California, on the 22th day of February, 2021.</w:t>
      </w:r>
    </w:p>
    <w:p>
      <w:pPr>
        <w:spacing w:after="0" w:line="15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VERACYTE, INC.</w:t>
      </w:r>
    </w:p>
    <w:p>
      <w:pPr>
        <w:spacing w:after="0" w:line="63" w:lineRule="exact"/>
        <w:rPr>
          <w:sz w:val="20"/>
          <w:szCs w:val="20"/>
          <w:color w:val="auto"/>
        </w:rPr>
      </w:pPr>
    </w:p>
    <w:p>
      <w:pPr>
        <w:ind w:left="5260"/>
        <w:spacing w:after="0"/>
        <w:tabs>
          <w:tab w:leader="none" w:pos="5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31750</wp:posOffset>
            </wp:positionV>
            <wp:extent cx="27089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84"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Bonnie H. Anderson</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70"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Bonnie H. Anderson and Keith Kennedy and each of them,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on Form S-8,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each of said attorneys-in-fact and agents, or his or her substitute or substitutes may lawfully do or cause to be done by virtue hereof.</w:t>
      </w:r>
    </w:p>
    <w:p>
      <w:pPr>
        <w:spacing w:after="0" w:line="19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14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b w:val="1"/>
                <w:bCs w:val="1"/>
                <w:color w:val="auto"/>
                <w:w w:val="91"/>
              </w:rPr>
              <w:t>Title</w:t>
            </w: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3700" w:type="dxa"/>
            <w:vAlign w:val="bottom"/>
            <w:gridSpan w:val="3"/>
          </w:tcPr>
          <w:p>
            <w:pPr>
              <w:jc w:val="center"/>
              <w:spacing w:after="0"/>
              <w:rPr>
                <w:sz w:val="20"/>
                <w:szCs w:val="20"/>
                <w:color w:val="auto"/>
              </w:rPr>
            </w:pPr>
            <w:r>
              <w:rPr>
                <w:rFonts w:ascii="Arial" w:cs="Arial" w:eastAsia="Arial" w:hAnsi="Arial"/>
                <w:sz w:val="18"/>
                <w:szCs w:val="18"/>
                <w:color w:val="auto"/>
                <w:w w:val="95"/>
              </w:rPr>
              <w:t>/s/ BONNIE H. ANDERSON</w:t>
            </w:r>
          </w:p>
        </w:tc>
        <w:tc>
          <w:tcPr>
            <w:tcW w:w="5180" w:type="dxa"/>
            <w:vAlign w:val="bottom"/>
            <w:gridSpan w:val="3"/>
          </w:tcPr>
          <w:p>
            <w:pPr>
              <w:ind w:left="280"/>
              <w:spacing w:after="0"/>
              <w:rPr>
                <w:sz w:val="20"/>
                <w:szCs w:val="20"/>
                <w:color w:val="auto"/>
              </w:rPr>
            </w:pPr>
            <w:r>
              <w:rPr>
                <w:rFonts w:ascii="Arial" w:cs="Arial" w:eastAsia="Arial" w:hAnsi="Arial"/>
                <w:sz w:val="18"/>
                <w:szCs w:val="18"/>
                <w:color w:val="auto"/>
              </w:rPr>
              <w:t>Chairman and Chief Executive Officer (Principal Executive</w:t>
            </w:r>
          </w:p>
        </w:tc>
        <w:tc>
          <w:tcPr>
            <w:tcW w:w="1720" w:type="dxa"/>
            <w:vAlign w:val="bottom"/>
            <w:gridSpan w:val="3"/>
          </w:tcPr>
          <w:p>
            <w:pPr>
              <w:jc w:val="center"/>
              <w:ind w:left="310"/>
              <w:spacing w:after="0"/>
              <w:rPr>
                <w:sz w:val="20"/>
                <w:szCs w:val="20"/>
                <w:color w:val="auto"/>
              </w:rPr>
            </w:pPr>
            <w:r>
              <w:rPr>
                <w:rFonts w:ascii="Arial" w:cs="Arial" w:eastAsia="Arial" w:hAnsi="Arial"/>
                <w:sz w:val="18"/>
                <w:szCs w:val="18"/>
                <w:color w:val="auto"/>
                <w:w w:val="89"/>
              </w:rPr>
              <w:t>February 22, 2021</w:t>
            </w:r>
          </w:p>
        </w:tc>
        <w:tc>
          <w:tcPr>
            <w:tcW w:w="0" w:type="dxa"/>
            <w:vAlign w:val="bottom"/>
          </w:tcPr>
          <w:p>
            <w:pPr>
              <w:spacing w:after="0"/>
              <w:rPr>
                <w:sz w:val="1"/>
                <w:szCs w:val="1"/>
                <w:color w:val="auto"/>
              </w:rPr>
            </w:pPr>
          </w:p>
        </w:tc>
      </w:tr>
      <w:tr>
        <w:trPr>
          <w:trHeight w:val="41"/>
        </w:trPr>
        <w:tc>
          <w:tcPr>
            <w:tcW w:w="14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5180" w:type="dxa"/>
            <w:vAlign w:val="bottom"/>
            <w:gridSpan w:val="3"/>
            <w:vMerge w:val="restart"/>
          </w:tcPr>
          <w:p>
            <w:pPr>
              <w:ind w:left="280"/>
              <w:spacing w:after="0"/>
              <w:rPr>
                <w:sz w:val="20"/>
                <w:szCs w:val="20"/>
                <w:color w:val="auto"/>
              </w:rPr>
            </w:pPr>
            <w:r>
              <w:rPr>
                <w:rFonts w:ascii="Arial" w:cs="Arial" w:eastAsia="Arial" w:hAnsi="Arial"/>
                <w:sz w:val="18"/>
                <w:szCs w:val="18"/>
                <w:color w:val="auto"/>
              </w:rPr>
              <w:t>Officer)</w:t>
            </w:r>
          </w:p>
        </w:tc>
        <w:tc>
          <w:tcPr>
            <w:tcW w:w="8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3700" w:type="dxa"/>
            <w:vAlign w:val="bottom"/>
            <w:gridSpan w:val="3"/>
            <w:vMerge w:val="restart"/>
          </w:tcPr>
          <w:p>
            <w:pPr>
              <w:jc w:val="center"/>
              <w:spacing w:after="0"/>
              <w:rPr>
                <w:sz w:val="20"/>
                <w:szCs w:val="20"/>
                <w:color w:val="auto"/>
              </w:rPr>
            </w:pPr>
            <w:r>
              <w:rPr>
                <w:rFonts w:ascii="Arial" w:cs="Arial" w:eastAsia="Arial" w:hAnsi="Arial"/>
                <w:sz w:val="18"/>
                <w:szCs w:val="18"/>
                <w:color w:val="auto"/>
                <w:w w:val="91"/>
              </w:rPr>
              <w:t>Bonnie H. Anderson</w:t>
            </w:r>
          </w:p>
        </w:tc>
        <w:tc>
          <w:tcPr>
            <w:tcW w:w="5180" w:type="dxa"/>
            <w:vAlign w:val="bottom"/>
            <w:gridSpan w:val="3"/>
            <w:vMerge w:val="continue"/>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700" w:type="dxa"/>
            <w:vAlign w:val="bottom"/>
            <w:gridSpan w:val="3"/>
            <w:vMerge w:val="continue"/>
          </w:tcPr>
          <w:p>
            <w:pPr>
              <w:spacing w:after="0"/>
              <w:rPr>
                <w:sz w:val="5"/>
                <w:szCs w:val="5"/>
                <w:color w:val="auto"/>
              </w:rPr>
            </w:pPr>
          </w:p>
        </w:tc>
        <w:tc>
          <w:tcPr>
            <w:tcW w:w="2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20" w:type="dxa"/>
            <w:vAlign w:val="bottom"/>
          </w:tcPr>
          <w:p>
            <w:pPr>
              <w:spacing w:after="0"/>
              <w:rPr>
                <w:sz w:val="5"/>
                <w:szCs w:val="5"/>
                <w:color w:val="auto"/>
              </w:rPr>
            </w:pPr>
          </w:p>
        </w:tc>
        <w:tc>
          <w:tcPr>
            <w:tcW w:w="8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3700" w:type="dxa"/>
            <w:vAlign w:val="bottom"/>
            <w:gridSpan w:val="3"/>
          </w:tcPr>
          <w:p>
            <w:pPr>
              <w:jc w:val="center"/>
              <w:spacing w:after="0"/>
              <w:rPr>
                <w:sz w:val="20"/>
                <w:szCs w:val="20"/>
                <w:color w:val="auto"/>
              </w:rPr>
            </w:pPr>
            <w:r>
              <w:rPr>
                <w:rFonts w:ascii="Arial" w:cs="Arial" w:eastAsia="Arial" w:hAnsi="Arial"/>
                <w:sz w:val="18"/>
                <w:szCs w:val="18"/>
                <w:color w:val="auto"/>
                <w:w w:val="99"/>
              </w:rPr>
              <w:t>/s/ KEITH KENNEDY</w:t>
            </w:r>
          </w:p>
        </w:tc>
        <w:tc>
          <w:tcPr>
            <w:tcW w:w="5180" w:type="dxa"/>
            <w:vAlign w:val="bottom"/>
            <w:gridSpan w:val="3"/>
          </w:tcPr>
          <w:p>
            <w:pPr>
              <w:ind w:left="280"/>
              <w:spacing w:after="0"/>
              <w:rPr>
                <w:sz w:val="20"/>
                <w:szCs w:val="20"/>
                <w:color w:val="auto"/>
              </w:rPr>
            </w:pPr>
            <w:r>
              <w:rPr>
                <w:rFonts w:ascii="Arial" w:cs="Arial" w:eastAsia="Arial" w:hAnsi="Arial"/>
                <w:sz w:val="18"/>
                <w:szCs w:val="18"/>
                <w:color w:val="auto"/>
              </w:rPr>
              <w:t>Chief Financial Officer and Chief Operating Officer (Principal</w:t>
            </w:r>
          </w:p>
        </w:tc>
        <w:tc>
          <w:tcPr>
            <w:tcW w:w="1720" w:type="dxa"/>
            <w:vAlign w:val="bottom"/>
            <w:gridSpan w:val="3"/>
          </w:tcPr>
          <w:p>
            <w:pPr>
              <w:jc w:val="center"/>
              <w:ind w:left="310"/>
              <w:spacing w:after="0"/>
              <w:rPr>
                <w:sz w:val="20"/>
                <w:szCs w:val="20"/>
                <w:color w:val="auto"/>
              </w:rPr>
            </w:pPr>
            <w:r>
              <w:rPr>
                <w:rFonts w:ascii="Arial" w:cs="Arial" w:eastAsia="Arial" w:hAnsi="Arial"/>
                <w:sz w:val="18"/>
                <w:szCs w:val="18"/>
                <w:color w:val="auto"/>
                <w:w w:val="89"/>
              </w:rPr>
              <w:t>February 22, 2021</w:t>
            </w:r>
          </w:p>
        </w:tc>
        <w:tc>
          <w:tcPr>
            <w:tcW w:w="0" w:type="dxa"/>
            <w:vAlign w:val="bottom"/>
          </w:tcPr>
          <w:p>
            <w:pPr>
              <w:spacing w:after="0"/>
              <w:rPr>
                <w:sz w:val="1"/>
                <w:szCs w:val="1"/>
                <w:color w:val="auto"/>
              </w:rPr>
            </w:pPr>
          </w:p>
        </w:tc>
      </w:tr>
      <w:tr>
        <w:trPr>
          <w:trHeight w:val="41"/>
        </w:trPr>
        <w:tc>
          <w:tcPr>
            <w:tcW w:w="14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5180" w:type="dxa"/>
            <w:vAlign w:val="bottom"/>
            <w:gridSpan w:val="3"/>
            <w:vMerge w:val="restart"/>
          </w:tcPr>
          <w:p>
            <w:pPr>
              <w:ind w:left="280"/>
              <w:spacing w:after="0"/>
              <w:rPr>
                <w:sz w:val="20"/>
                <w:szCs w:val="20"/>
                <w:color w:val="auto"/>
              </w:rPr>
            </w:pPr>
            <w:r>
              <w:rPr>
                <w:rFonts w:ascii="Arial" w:cs="Arial" w:eastAsia="Arial" w:hAnsi="Arial"/>
                <w:sz w:val="18"/>
                <w:szCs w:val="18"/>
                <w:color w:val="auto"/>
              </w:rPr>
              <w:t>Financial Officer)</w:t>
            </w:r>
          </w:p>
        </w:tc>
        <w:tc>
          <w:tcPr>
            <w:tcW w:w="8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3700" w:type="dxa"/>
            <w:vAlign w:val="bottom"/>
            <w:gridSpan w:val="3"/>
            <w:vMerge w:val="restart"/>
          </w:tcPr>
          <w:p>
            <w:pPr>
              <w:jc w:val="center"/>
              <w:spacing w:after="0"/>
              <w:rPr>
                <w:sz w:val="20"/>
                <w:szCs w:val="20"/>
                <w:color w:val="auto"/>
              </w:rPr>
            </w:pPr>
            <w:r>
              <w:rPr>
                <w:rFonts w:ascii="Arial" w:cs="Arial" w:eastAsia="Arial" w:hAnsi="Arial"/>
                <w:sz w:val="18"/>
                <w:szCs w:val="18"/>
                <w:color w:val="auto"/>
                <w:w w:val="92"/>
              </w:rPr>
              <w:t>Keith Kennedy</w:t>
            </w:r>
          </w:p>
        </w:tc>
        <w:tc>
          <w:tcPr>
            <w:tcW w:w="5180" w:type="dxa"/>
            <w:vAlign w:val="bottom"/>
            <w:gridSpan w:val="3"/>
            <w:vMerge w:val="continue"/>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700" w:type="dxa"/>
            <w:vAlign w:val="bottom"/>
            <w:gridSpan w:val="3"/>
            <w:vMerge w:val="continue"/>
          </w:tcPr>
          <w:p>
            <w:pPr>
              <w:spacing w:after="0"/>
              <w:rPr>
                <w:sz w:val="5"/>
                <w:szCs w:val="5"/>
                <w:color w:val="auto"/>
              </w:rPr>
            </w:pPr>
          </w:p>
        </w:tc>
        <w:tc>
          <w:tcPr>
            <w:tcW w:w="2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20" w:type="dxa"/>
            <w:vAlign w:val="bottom"/>
          </w:tcPr>
          <w:p>
            <w:pPr>
              <w:spacing w:after="0"/>
              <w:rPr>
                <w:sz w:val="5"/>
                <w:szCs w:val="5"/>
                <w:color w:val="auto"/>
              </w:rPr>
            </w:pPr>
          </w:p>
        </w:tc>
        <w:tc>
          <w:tcPr>
            <w:tcW w:w="8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3700" w:type="dxa"/>
            <w:vAlign w:val="bottom"/>
            <w:gridSpan w:val="3"/>
          </w:tcPr>
          <w:p>
            <w:pPr>
              <w:jc w:val="center"/>
              <w:spacing w:after="0"/>
              <w:rPr>
                <w:sz w:val="20"/>
                <w:szCs w:val="20"/>
                <w:color w:val="auto"/>
              </w:rPr>
            </w:pPr>
            <w:r>
              <w:rPr>
                <w:rFonts w:ascii="Arial" w:cs="Arial" w:eastAsia="Arial" w:hAnsi="Arial"/>
                <w:sz w:val="18"/>
                <w:szCs w:val="18"/>
                <w:color w:val="auto"/>
                <w:w w:val="98"/>
              </w:rPr>
              <w:t>/s/ MARK HO</w:t>
            </w:r>
          </w:p>
        </w:tc>
        <w:tc>
          <w:tcPr>
            <w:tcW w:w="5180" w:type="dxa"/>
            <w:vAlign w:val="bottom"/>
            <w:gridSpan w:val="3"/>
          </w:tcPr>
          <w:p>
            <w:pPr>
              <w:ind w:left="280"/>
              <w:spacing w:after="0"/>
              <w:rPr>
                <w:sz w:val="20"/>
                <w:szCs w:val="20"/>
                <w:color w:val="auto"/>
              </w:rPr>
            </w:pPr>
            <w:r>
              <w:rPr>
                <w:rFonts w:ascii="Arial" w:cs="Arial" w:eastAsia="Arial" w:hAnsi="Arial"/>
                <w:sz w:val="18"/>
                <w:szCs w:val="18"/>
                <w:color w:val="auto"/>
              </w:rPr>
              <w:t>Vice President, Controller (Principal Accounting Officer)</w:t>
            </w:r>
          </w:p>
        </w:tc>
        <w:tc>
          <w:tcPr>
            <w:tcW w:w="1720" w:type="dxa"/>
            <w:vAlign w:val="bottom"/>
            <w:gridSpan w:val="3"/>
          </w:tcPr>
          <w:p>
            <w:pPr>
              <w:jc w:val="center"/>
              <w:ind w:left="310"/>
              <w:spacing w:after="0"/>
              <w:rPr>
                <w:sz w:val="20"/>
                <w:szCs w:val="20"/>
                <w:color w:val="auto"/>
              </w:rPr>
            </w:pPr>
            <w:r>
              <w:rPr>
                <w:rFonts w:ascii="Arial" w:cs="Arial" w:eastAsia="Arial" w:hAnsi="Arial"/>
                <w:sz w:val="18"/>
                <w:szCs w:val="18"/>
                <w:color w:val="auto"/>
                <w:w w:val="89"/>
              </w:rPr>
              <w:t>February 22, 2021</w:t>
            </w: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480" w:type="dxa"/>
            <w:vAlign w:val="bottom"/>
          </w:tcPr>
          <w:p>
            <w:pPr>
              <w:spacing w:after="0"/>
              <w:rPr>
                <w:sz w:val="20"/>
                <w:szCs w:val="20"/>
                <w:color w:val="auto"/>
              </w:rPr>
            </w:pPr>
          </w:p>
        </w:tc>
        <w:tc>
          <w:tcPr>
            <w:tcW w:w="2220" w:type="dxa"/>
            <w:vAlign w:val="bottom"/>
            <w:gridSpan w:val="2"/>
          </w:tcPr>
          <w:p>
            <w:pPr>
              <w:jc w:val="center"/>
              <w:ind w:right="1460"/>
              <w:spacing w:after="0"/>
              <w:rPr>
                <w:sz w:val="20"/>
                <w:szCs w:val="20"/>
                <w:color w:val="auto"/>
              </w:rPr>
            </w:pPr>
            <w:r>
              <w:rPr>
                <w:rFonts w:ascii="Arial" w:cs="Arial" w:eastAsia="Arial" w:hAnsi="Arial"/>
                <w:sz w:val="18"/>
                <w:szCs w:val="18"/>
                <w:color w:val="auto"/>
                <w:w w:val="94"/>
              </w:rPr>
              <w:t>Mark Ho</w:t>
            </w: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3700" w:type="dxa"/>
            <w:vAlign w:val="bottom"/>
            <w:gridSpan w:val="3"/>
          </w:tcPr>
          <w:p>
            <w:pPr>
              <w:jc w:val="center"/>
              <w:spacing w:after="0"/>
              <w:rPr>
                <w:sz w:val="20"/>
                <w:szCs w:val="20"/>
                <w:color w:val="auto"/>
              </w:rPr>
            </w:pPr>
            <w:r>
              <w:rPr>
                <w:rFonts w:ascii="Arial" w:cs="Arial" w:eastAsia="Arial" w:hAnsi="Arial"/>
                <w:sz w:val="18"/>
                <w:szCs w:val="18"/>
                <w:color w:val="auto"/>
                <w:w w:val="93"/>
              </w:rPr>
              <w:t>/s/ JOHN L. BISHOP</w:t>
            </w:r>
          </w:p>
        </w:tc>
        <w:tc>
          <w:tcPr>
            <w:tcW w:w="5180" w:type="dxa"/>
            <w:vAlign w:val="bottom"/>
            <w:gridSpan w:val="3"/>
          </w:tcPr>
          <w:p>
            <w:pPr>
              <w:ind w:left="280"/>
              <w:spacing w:after="0"/>
              <w:rPr>
                <w:sz w:val="20"/>
                <w:szCs w:val="20"/>
                <w:color w:val="auto"/>
              </w:rPr>
            </w:pPr>
            <w:r>
              <w:rPr>
                <w:rFonts w:ascii="Arial" w:cs="Arial" w:eastAsia="Arial" w:hAnsi="Arial"/>
                <w:sz w:val="18"/>
                <w:szCs w:val="18"/>
                <w:color w:val="auto"/>
              </w:rPr>
              <w:t>Lead Independent Director</w:t>
            </w:r>
          </w:p>
        </w:tc>
        <w:tc>
          <w:tcPr>
            <w:tcW w:w="1720" w:type="dxa"/>
            <w:vAlign w:val="bottom"/>
            <w:gridSpan w:val="3"/>
          </w:tcPr>
          <w:p>
            <w:pPr>
              <w:jc w:val="center"/>
              <w:ind w:left="310"/>
              <w:spacing w:after="0"/>
              <w:rPr>
                <w:sz w:val="20"/>
                <w:szCs w:val="20"/>
                <w:color w:val="auto"/>
              </w:rPr>
            </w:pPr>
            <w:r>
              <w:rPr>
                <w:rFonts w:ascii="Arial" w:cs="Arial" w:eastAsia="Arial" w:hAnsi="Arial"/>
                <w:sz w:val="18"/>
                <w:szCs w:val="18"/>
                <w:color w:val="auto"/>
                <w:w w:val="89"/>
              </w:rPr>
              <w:t>February 22, 2021</w:t>
            </w: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00" w:type="dxa"/>
            <w:vAlign w:val="bottom"/>
            <w:gridSpan w:val="3"/>
          </w:tcPr>
          <w:p>
            <w:pPr>
              <w:jc w:val="center"/>
              <w:spacing w:after="0"/>
              <w:rPr>
                <w:sz w:val="20"/>
                <w:szCs w:val="20"/>
                <w:color w:val="auto"/>
              </w:rPr>
            </w:pPr>
            <w:r>
              <w:rPr>
                <w:rFonts w:ascii="Arial" w:cs="Arial" w:eastAsia="Arial" w:hAnsi="Arial"/>
                <w:sz w:val="18"/>
                <w:szCs w:val="18"/>
                <w:color w:val="auto"/>
                <w:w w:val="90"/>
              </w:rPr>
              <w:t>John L. Bishop</w:t>
            </w: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700" w:type="dxa"/>
            <w:vAlign w:val="bottom"/>
            <w:gridSpan w:val="3"/>
          </w:tcPr>
          <w:p>
            <w:pPr>
              <w:jc w:val="center"/>
              <w:spacing w:after="0"/>
              <w:rPr>
                <w:sz w:val="20"/>
                <w:szCs w:val="20"/>
                <w:color w:val="auto"/>
              </w:rPr>
            </w:pPr>
            <w:r>
              <w:rPr>
                <w:rFonts w:ascii="Arial" w:cs="Arial" w:eastAsia="Arial" w:hAnsi="Arial"/>
                <w:sz w:val="18"/>
                <w:szCs w:val="18"/>
                <w:color w:val="auto"/>
                <w:w w:val="95"/>
              </w:rPr>
              <w:t>/s/ FRED E. COHEN, M.D., D.PHIL.</w:t>
            </w:r>
          </w:p>
        </w:tc>
        <w:tc>
          <w:tcPr>
            <w:tcW w:w="518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720" w:type="dxa"/>
            <w:vAlign w:val="bottom"/>
            <w:gridSpan w:val="3"/>
          </w:tcPr>
          <w:p>
            <w:pPr>
              <w:jc w:val="center"/>
              <w:ind w:left="310"/>
              <w:spacing w:after="0"/>
              <w:rPr>
                <w:sz w:val="20"/>
                <w:szCs w:val="20"/>
                <w:color w:val="auto"/>
              </w:rPr>
            </w:pPr>
            <w:r>
              <w:rPr>
                <w:rFonts w:ascii="Arial" w:cs="Arial" w:eastAsia="Arial" w:hAnsi="Arial"/>
                <w:sz w:val="18"/>
                <w:szCs w:val="18"/>
                <w:color w:val="auto"/>
                <w:w w:val="89"/>
              </w:rPr>
              <w:t>February 22, 2021</w:t>
            </w: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00" w:type="dxa"/>
            <w:vAlign w:val="bottom"/>
            <w:gridSpan w:val="3"/>
          </w:tcPr>
          <w:p>
            <w:pPr>
              <w:jc w:val="center"/>
              <w:spacing w:after="0"/>
              <w:rPr>
                <w:sz w:val="20"/>
                <w:szCs w:val="20"/>
                <w:color w:val="auto"/>
              </w:rPr>
            </w:pPr>
            <w:r>
              <w:rPr>
                <w:rFonts w:ascii="Arial" w:cs="Arial" w:eastAsia="Arial" w:hAnsi="Arial"/>
                <w:sz w:val="18"/>
                <w:szCs w:val="18"/>
                <w:color w:val="auto"/>
                <w:w w:val="92"/>
              </w:rPr>
              <w:t>Fred E. Cohen, M.D., D.Phil.</w:t>
            </w: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700" w:type="dxa"/>
            <w:vAlign w:val="bottom"/>
            <w:gridSpan w:val="3"/>
          </w:tcPr>
          <w:p>
            <w:pPr>
              <w:jc w:val="center"/>
              <w:spacing w:after="0"/>
              <w:rPr>
                <w:sz w:val="20"/>
                <w:szCs w:val="20"/>
                <w:color w:val="auto"/>
              </w:rPr>
            </w:pPr>
            <w:r>
              <w:rPr>
                <w:rFonts w:ascii="Arial" w:cs="Arial" w:eastAsia="Arial" w:hAnsi="Arial"/>
                <w:sz w:val="18"/>
                <w:szCs w:val="18"/>
                <w:color w:val="auto"/>
                <w:w w:val="99"/>
              </w:rPr>
              <w:t>/s/ KARIN EASTHAM</w:t>
            </w:r>
          </w:p>
        </w:tc>
        <w:tc>
          <w:tcPr>
            <w:tcW w:w="518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720" w:type="dxa"/>
            <w:vAlign w:val="bottom"/>
            <w:gridSpan w:val="3"/>
          </w:tcPr>
          <w:p>
            <w:pPr>
              <w:jc w:val="center"/>
              <w:ind w:left="310"/>
              <w:spacing w:after="0"/>
              <w:rPr>
                <w:sz w:val="20"/>
                <w:szCs w:val="20"/>
                <w:color w:val="auto"/>
              </w:rPr>
            </w:pPr>
            <w:r>
              <w:rPr>
                <w:rFonts w:ascii="Arial" w:cs="Arial" w:eastAsia="Arial" w:hAnsi="Arial"/>
                <w:sz w:val="18"/>
                <w:szCs w:val="18"/>
                <w:color w:val="auto"/>
                <w:w w:val="89"/>
              </w:rPr>
              <w:t>February 22, 2021</w:t>
            </w: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00" w:type="dxa"/>
            <w:vAlign w:val="bottom"/>
            <w:gridSpan w:val="3"/>
          </w:tcPr>
          <w:p>
            <w:pPr>
              <w:jc w:val="center"/>
              <w:spacing w:after="0"/>
              <w:rPr>
                <w:sz w:val="20"/>
                <w:szCs w:val="20"/>
                <w:color w:val="auto"/>
              </w:rPr>
            </w:pPr>
            <w:r>
              <w:rPr>
                <w:rFonts w:ascii="Arial" w:cs="Arial" w:eastAsia="Arial" w:hAnsi="Arial"/>
                <w:sz w:val="18"/>
                <w:szCs w:val="18"/>
                <w:color w:val="auto"/>
                <w:w w:val="91"/>
              </w:rPr>
              <w:t>Karin Eastham</w:t>
            </w: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700" w:type="dxa"/>
            <w:vAlign w:val="bottom"/>
            <w:gridSpan w:val="3"/>
          </w:tcPr>
          <w:p>
            <w:pPr>
              <w:jc w:val="center"/>
              <w:spacing w:after="0"/>
              <w:rPr>
                <w:sz w:val="20"/>
                <w:szCs w:val="20"/>
                <w:color w:val="auto"/>
              </w:rPr>
            </w:pPr>
            <w:r>
              <w:rPr>
                <w:rFonts w:ascii="Arial" w:cs="Arial" w:eastAsia="Arial" w:hAnsi="Arial"/>
                <w:sz w:val="18"/>
                <w:szCs w:val="18"/>
                <w:color w:val="auto"/>
                <w:w w:val="92"/>
              </w:rPr>
              <w:t>/s/ ROBERT S. EPSTEIN</w:t>
            </w:r>
          </w:p>
        </w:tc>
        <w:tc>
          <w:tcPr>
            <w:tcW w:w="518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720" w:type="dxa"/>
            <w:vAlign w:val="bottom"/>
            <w:gridSpan w:val="3"/>
          </w:tcPr>
          <w:p>
            <w:pPr>
              <w:jc w:val="center"/>
              <w:ind w:left="310"/>
              <w:spacing w:after="0"/>
              <w:rPr>
                <w:sz w:val="20"/>
                <w:szCs w:val="20"/>
                <w:color w:val="auto"/>
              </w:rPr>
            </w:pPr>
            <w:r>
              <w:rPr>
                <w:rFonts w:ascii="Arial" w:cs="Arial" w:eastAsia="Arial" w:hAnsi="Arial"/>
                <w:sz w:val="18"/>
                <w:szCs w:val="18"/>
                <w:color w:val="auto"/>
                <w:w w:val="89"/>
              </w:rPr>
              <w:t>February 22, 2021</w:t>
            </w: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00" w:type="dxa"/>
            <w:vAlign w:val="bottom"/>
            <w:gridSpan w:val="3"/>
          </w:tcPr>
          <w:p>
            <w:pPr>
              <w:jc w:val="center"/>
              <w:spacing w:after="0"/>
              <w:rPr>
                <w:sz w:val="20"/>
                <w:szCs w:val="20"/>
                <w:color w:val="auto"/>
              </w:rPr>
            </w:pPr>
            <w:r>
              <w:rPr>
                <w:rFonts w:ascii="Arial" w:cs="Arial" w:eastAsia="Arial" w:hAnsi="Arial"/>
                <w:sz w:val="18"/>
                <w:szCs w:val="18"/>
                <w:color w:val="auto"/>
                <w:w w:val="91"/>
              </w:rPr>
              <w:t>Robert S. Epstein, M.D., M.S.</w:t>
            </w: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700" w:type="dxa"/>
            <w:vAlign w:val="bottom"/>
            <w:gridSpan w:val="3"/>
          </w:tcPr>
          <w:p>
            <w:pPr>
              <w:jc w:val="center"/>
              <w:spacing w:after="0"/>
              <w:rPr>
                <w:sz w:val="20"/>
                <w:szCs w:val="20"/>
                <w:color w:val="auto"/>
              </w:rPr>
            </w:pPr>
            <w:r>
              <w:rPr>
                <w:rFonts w:ascii="Arial" w:cs="Arial" w:eastAsia="Arial" w:hAnsi="Arial"/>
                <w:sz w:val="18"/>
                <w:szCs w:val="18"/>
                <w:color w:val="auto"/>
                <w:w w:val="96"/>
              </w:rPr>
              <w:t>/s/ KEVIN K. GORDON</w:t>
            </w:r>
          </w:p>
        </w:tc>
        <w:tc>
          <w:tcPr>
            <w:tcW w:w="518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720" w:type="dxa"/>
            <w:vAlign w:val="bottom"/>
            <w:gridSpan w:val="3"/>
          </w:tcPr>
          <w:p>
            <w:pPr>
              <w:jc w:val="center"/>
              <w:ind w:left="310"/>
              <w:spacing w:after="0"/>
              <w:rPr>
                <w:sz w:val="20"/>
                <w:szCs w:val="20"/>
                <w:color w:val="auto"/>
              </w:rPr>
            </w:pPr>
            <w:r>
              <w:rPr>
                <w:rFonts w:ascii="Arial" w:cs="Arial" w:eastAsia="Arial" w:hAnsi="Arial"/>
                <w:sz w:val="18"/>
                <w:szCs w:val="18"/>
                <w:color w:val="auto"/>
                <w:w w:val="89"/>
              </w:rPr>
              <w:t>February 22, 2021</w:t>
            </w: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700" w:type="dxa"/>
            <w:vAlign w:val="bottom"/>
            <w:gridSpan w:val="3"/>
          </w:tcPr>
          <w:p>
            <w:pPr>
              <w:jc w:val="center"/>
              <w:spacing w:after="0"/>
              <w:rPr>
                <w:sz w:val="20"/>
                <w:szCs w:val="20"/>
                <w:color w:val="auto"/>
              </w:rPr>
            </w:pPr>
            <w:r>
              <w:rPr>
                <w:rFonts w:ascii="Arial" w:cs="Arial" w:eastAsia="Arial" w:hAnsi="Arial"/>
                <w:sz w:val="18"/>
                <w:szCs w:val="18"/>
                <w:color w:val="auto"/>
                <w:w w:val="93"/>
              </w:rPr>
              <w:t>Kevin K. Gordon</w:t>
            </w: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700" w:type="dxa"/>
            <w:vAlign w:val="bottom"/>
            <w:gridSpan w:val="3"/>
          </w:tcPr>
          <w:p>
            <w:pPr>
              <w:jc w:val="center"/>
              <w:spacing w:after="0"/>
              <w:rPr>
                <w:sz w:val="20"/>
                <w:szCs w:val="20"/>
                <w:color w:val="auto"/>
              </w:rPr>
            </w:pPr>
            <w:r>
              <w:rPr>
                <w:rFonts w:ascii="Arial" w:cs="Arial" w:eastAsia="Arial" w:hAnsi="Arial"/>
                <w:sz w:val="18"/>
                <w:szCs w:val="18"/>
                <w:color w:val="auto"/>
                <w:w w:val="94"/>
              </w:rPr>
              <w:t>/s/ JENS HOLSTEIN</w:t>
            </w:r>
          </w:p>
        </w:tc>
        <w:tc>
          <w:tcPr>
            <w:tcW w:w="518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720" w:type="dxa"/>
            <w:vAlign w:val="bottom"/>
            <w:gridSpan w:val="3"/>
          </w:tcPr>
          <w:p>
            <w:pPr>
              <w:jc w:val="center"/>
              <w:ind w:left="310"/>
              <w:spacing w:after="0"/>
              <w:rPr>
                <w:sz w:val="20"/>
                <w:szCs w:val="20"/>
                <w:color w:val="auto"/>
              </w:rPr>
            </w:pPr>
            <w:r>
              <w:rPr>
                <w:rFonts w:ascii="Arial" w:cs="Arial" w:eastAsia="Arial" w:hAnsi="Arial"/>
                <w:sz w:val="18"/>
                <w:szCs w:val="18"/>
                <w:color w:val="auto"/>
                <w:w w:val="89"/>
              </w:rPr>
              <w:t>February 22, 2021</w:t>
            </w: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700" w:type="dxa"/>
            <w:vAlign w:val="bottom"/>
            <w:gridSpan w:val="3"/>
          </w:tcPr>
          <w:p>
            <w:pPr>
              <w:jc w:val="center"/>
              <w:spacing w:after="0"/>
              <w:rPr>
                <w:sz w:val="20"/>
                <w:szCs w:val="20"/>
                <w:color w:val="auto"/>
              </w:rPr>
            </w:pPr>
            <w:r>
              <w:rPr>
                <w:rFonts w:ascii="Arial" w:cs="Arial" w:eastAsia="Arial" w:hAnsi="Arial"/>
                <w:sz w:val="18"/>
                <w:szCs w:val="18"/>
                <w:color w:val="auto"/>
                <w:w w:val="88"/>
              </w:rPr>
              <w:t>Jens Holstein</w:t>
            </w: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700" w:type="dxa"/>
            <w:vAlign w:val="bottom"/>
            <w:gridSpan w:val="3"/>
          </w:tcPr>
          <w:p>
            <w:pPr>
              <w:jc w:val="center"/>
              <w:spacing w:after="0"/>
              <w:rPr>
                <w:sz w:val="20"/>
                <w:szCs w:val="20"/>
                <w:color w:val="auto"/>
              </w:rPr>
            </w:pPr>
            <w:r>
              <w:rPr>
                <w:rFonts w:ascii="Arial" w:cs="Arial" w:eastAsia="Arial" w:hAnsi="Arial"/>
                <w:sz w:val="18"/>
                <w:szCs w:val="18"/>
                <w:color w:val="auto"/>
                <w:w w:val="92"/>
              </w:rPr>
              <w:t>/s/ EVAN JONES</w:t>
            </w:r>
          </w:p>
        </w:tc>
        <w:tc>
          <w:tcPr>
            <w:tcW w:w="518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1720" w:type="dxa"/>
            <w:vAlign w:val="bottom"/>
            <w:gridSpan w:val="3"/>
          </w:tcPr>
          <w:p>
            <w:pPr>
              <w:jc w:val="center"/>
              <w:ind w:left="310"/>
              <w:spacing w:after="0"/>
              <w:rPr>
                <w:sz w:val="20"/>
                <w:szCs w:val="20"/>
                <w:color w:val="auto"/>
              </w:rPr>
            </w:pPr>
            <w:r>
              <w:rPr>
                <w:rFonts w:ascii="Arial" w:cs="Arial" w:eastAsia="Arial" w:hAnsi="Arial"/>
                <w:sz w:val="18"/>
                <w:szCs w:val="18"/>
                <w:color w:val="auto"/>
                <w:w w:val="89"/>
              </w:rPr>
              <w:t>February 22, 2021</w:t>
            </w: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700" w:type="dxa"/>
            <w:vAlign w:val="bottom"/>
            <w:gridSpan w:val="3"/>
          </w:tcPr>
          <w:p>
            <w:pPr>
              <w:jc w:val="center"/>
              <w:spacing w:after="0"/>
              <w:rPr>
                <w:sz w:val="20"/>
                <w:szCs w:val="20"/>
                <w:color w:val="auto"/>
              </w:rPr>
            </w:pPr>
            <w:r>
              <w:rPr>
                <w:rFonts w:ascii="Arial" w:cs="Arial" w:eastAsia="Arial" w:hAnsi="Arial"/>
                <w:sz w:val="18"/>
                <w:szCs w:val="18"/>
                <w:color w:val="auto"/>
                <w:w w:val="85"/>
              </w:rPr>
              <w:t>Evan Jones</w:t>
            </w: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20"/>
          <w:szCs w:val="20"/>
          <w:b w:val="1"/>
          <w:bCs w:val="1"/>
          <w:u w:val="single" w:color="auto"/>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5349240" cy="685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extLst>
                    </a:blip>
                    <a:srcRect/>
                    <a:stretch>
                      <a:fillRect/>
                    </a:stretch>
                  </pic:blipFill>
                  <pic:spPr bwMode="auto">
                    <a:xfrm>
                      <a:off x="0" y="0"/>
                      <a:ext cx="534924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February 22, 2021</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Veracyte, Inc.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6000 Shoreline Court, Suite 300</w:t>
      </w:r>
    </w:p>
    <w:p>
      <w:pPr>
        <w:spacing w:after="0"/>
        <w:rPr>
          <w:sz w:val="20"/>
          <w:szCs w:val="20"/>
          <w:color w:val="auto"/>
        </w:rPr>
      </w:pPr>
      <w:r>
        <w:rPr>
          <w:rFonts w:ascii="Arial" w:cs="Arial" w:eastAsia="Arial" w:hAnsi="Arial"/>
          <w:sz w:val="20"/>
          <w:szCs w:val="20"/>
          <w:color w:val="auto"/>
        </w:rPr>
        <w:t>South San Francisco, California 94080</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At your request, as your counsel, we have examined the Registration Statement on Form S-8 (the “</w:t>
      </w:r>
      <w:r>
        <w:rPr>
          <w:rFonts w:ascii="Arial" w:cs="Arial" w:eastAsia="Arial" w:hAnsi="Arial"/>
          <w:sz w:val="19"/>
          <w:szCs w:val="19"/>
          <w:b w:val="1"/>
          <w:bCs w:val="1"/>
          <w:i w:val="1"/>
          <w:iCs w:val="1"/>
          <w:color w:val="auto"/>
        </w:rPr>
        <w:t>Registration Statement</w:t>
      </w:r>
      <w:r>
        <w:rPr>
          <w:rFonts w:ascii="Arial" w:cs="Arial" w:eastAsia="Arial" w:hAnsi="Arial"/>
          <w:sz w:val="19"/>
          <w:szCs w:val="19"/>
          <w:color w:val="auto"/>
        </w:rPr>
        <w:t>”) to be filed by Veracyte, Inc., a Delaware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with the Securities and Exchange Commission (the “</w:t>
      </w:r>
      <w:r>
        <w:rPr>
          <w:rFonts w:ascii="Arial" w:cs="Arial" w:eastAsia="Arial" w:hAnsi="Arial"/>
          <w:sz w:val="19"/>
          <w:szCs w:val="19"/>
          <w:b w:val="1"/>
          <w:bCs w:val="1"/>
          <w:i w:val="1"/>
          <w:iCs w:val="1"/>
          <w:color w:val="auto"/>
        </w:rPr>
        <w:t>Commission</w:t>
      </w:r>
      <w:r>
        <w:rPr>
          <w:rFonts w:ascii="Arial" w:cs="Arial" w:eastAsia="Arial" w:hAnsi="Arial"/>
          <w:sz w:val="19"/>
          <w:szCs w:val="19"/>
          <w:color w:val="auto"/>
        </w:rPr>
        <w:t>”) on or about February 22, 2021 in connection with the registration under the Securities Act of 1933, as amended (the “</w:t>
      </w:r>
      <w:r>
        <w:rPr>
          <w:rFonts w:ascii="Arial" w:cs="Arial" w:eastAsia="Arial" w:hAnsi="Arial"/>
          <w:sz w:val="19"/>
          <w:szCs w:val="19"/>
          <w:b w:val="1"/>
          <w:bCs w:val="1"/>
          <w:i w:val="1"/>
          <w:iCs w:val="1"/>
          <w:color w:val="auto"/>
        </w:rPr>
        <w:t>Securities Act</w:t>
      </w:r>
      <w:r>
        <w:rPr>
          <w:rFonts w:ascii="Arial" w:cs="Arial" w:eastAsia="Arial" w:hAnsi="Arial"/>
          <w:sz w:val="19"/>
          <w:szCs w:val="19"/>
          <w:color w:val="auto"/>
        </w:rPr>
        <w:t>”), of the issuance of an aggregate of 2,328,021 shares (the “</w:t>
      </w:r>
      <w:r>
        <w:rPr>
          <w:rFonts w:ascii="Arial" w:cs="Arial" w:eastAsia="Arial" w:hAnsi="Arial"/>
          <w:sz w:val="19"/>
          <w:szCs w:val="19"/>
          <w:b w:val="1"/>
          <w:bCs w:val="1"/>
          <w:i w:val="1"/>
          <w:iCs w:val="1"/>
          <w:color w:val="auto"/>
        </w:rPr>
        <w:t>Shares</w:t>
      </w:r>
      <w:r>
        <w:rPr>
          <w:rFonts w:ascii="Arial" w:cs="Arial" w:eastAsia="Arial" w:hAnsi="Arial"/>
          <w:sz w:val="19"/>
          <w:szCs w:val="19"/>
          <w:color w:val="auto"/>
        </w:rPr>
        <w:t>”) of the Company’s Common Stock, $0.001 par value per share (the “</w:t>
      </w:r>
      <w:r>
        <w:rPr>
          <w:rFonts w:ascii="Arial" w:cs="Arial" w:eastAsia="Arial" w:hAnsi="Arial"/>
          <w:sz w:val="19"/>
          <w:szCs w:val="19"/>
          <w:b w:val="1"/>
          <w:bCs w:val="1"/>
          <w:i w:val="1"/>
          <w:iCs w:val="1"/>
          <w:color w:val="auto"/>
        </w:rPr>
        <w:t>Common</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Stock</w:t>
      </w:r>
      <w:r>
        <w:rPr>
          <w:rFonts w:ascii="Arial" w:cs="Arial" w:eastAsia="Arial" w:hAnsi="Arial"/>
          <w:sz w:val="19"/>
          <w:szCs w:val="19"/>
          <w:color w:val="auto"/>
        </w:rPr>
        <w:t>”), subject to issuance by the Company upon the exercise or settlement of awards granted or to be granted under the Company’s 2013</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Stock Incentive Plan, as amended (the “</w:t>
      </w:r>
      <w:r>
        <w:rPr>
          <w:rFonts w:ascii="Arial" w:cs="Arial" w:eastAsia="Arial" w:hAnsi="Arial"/>
          <w:sz w:val="19"/>
          <w:szCs w:val="19"/>
          <w:b w:val="1"/>
          <w:bCs w:val="1"/>
          <w:i w:val="1"/>
          <w:iCs w:val="1"/>
          <w:color w:val="auto"/>
        </w:rPr>
        <w:t>2013 Plan</w:t>
      </w:r>
      <w:r>
        <w:rPr>
          <w:rFonts w:ascii="Arial" w:cs="Arial" w:eastAsia="Arial" w:hAnsi="Arial"/>
          <w:sz w:val="19"/>
          <w:szCs w:val="19"/>
          <w:color w:val="auto"/>
        </w:rPr>
        <w: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At your request we are providing this letter to express our opinion on the matters set forth below in this letter (“</w:t>
      </w:r>
      <w:r>
        <w:rPr>
          <w:rFonts w:ascii="Arial" w:cs="Arial" w:eastAsia="Arial" w:hAnsi="Arial"/>
          <w:sz w:val="19"/>
          <w:szCs w:val="19"/>
          <w:b w:val="1"/>
          <w:bCs w:val="1"/>
          <w:i w:val="1"/>
          <w:iCs w:val="1"/>
          <w:color w:val="auto"/>
        </w:rPr>
        <w:t>our opinion</w:t>
      </w:r>
      <w:r>
        <w:rPr>
          <w:rFonts w:ascii="Arial" w:cs="Arial" w:eastAsia="Arial" w:hAnsi="Arial"/>
          <w:sz w:val="19"/>
          <w:szCs w:val="19"/>
          <w:color w:val="auto"/>
        </w:rPr>
        <w:t>”).</w:t>
      </w:r>
    </w:p>
    <w:p>
      <w:pPr>
        <w:spacing w:after="0" w:line="22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In connection with our opinion, we have examined such matters of fact as we have deemed necessary, which included examination of originals or copies of: the Company’s current Certificate of Incorporation and Bylaws, as amended (collectively, the “</w:t>
      </w:r>
      <w:r>
        <w:rPr>
          <w:rFonts w:ascii="Arial" w:cs="Arial" w:eastAsia="Arial" w:hAnsi="Arial"/>
          <w:sz w:val="19"/>
          <w:szCs w:val="19"/>
          <w:b w:val="1"/>
          <w:bCs w:val="1"/>
          <w:i w:val="1"/>
          <w:iCs w:val="1"/>
          <w:color w:val="auto"/>
        </w:rPr>
        <w:t>Charter Documents</w:t>
      </w:r>
      <w:r>
        <w:rPr>
          <w:rFonts w:ascii="Arial" w:cs="Arial" w:eastAsia="Arial" w:hAnsi="Arial"/>
          <w:sz w:val="19"/>
          <w:szCs w:val="19"/>
          <w:color w:val="auto"/>
        </w:rPr>
        <w:t>”), the 2013 Plan, the Registration Statement and the exhibits thereto; certain corporate proceedings of the Company’s Board of Directors (the “</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and the Company’s stockholders relating to adoption or approval of the Charter Documents, the 2013 Plan, the reservation of the Shares for sale and issuance, the filing of the Registration Statement and the registration of the issuance of the Shares under the Securities Act and documents (including a certificate from the Company’s transfer agent) regarding the Company’s outstanding and reserved capital stock and other securities and such other documents as we have deemed advisable, and we have examined such questions of law as we have considered necessary.</w:t>
      </w:r>
    </w:p>
    <w:p>
      <w:pPr>
        <w:spacing w:after="0" w:line="18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In our examination of documents for purposes of this opinion, we have assumed, and express no opinion as to, the authenticity and completeness of all documents submitted to us as originals, the genuineness of signatures on documents reviewed by us, the conformity to originals and the completeness of all documents submitted to us as copies, the legal capacity of all parties executing any documents (other than the Company), the lack of any undisclosed termination or modification or waiver of any document, the absence of any extrinsic agreements or documents that might change or affect the interpretation or terms of documents, and the due authorization, execution and delivery of all documents by each party thereto other than the Company. We have also assumed that any certificates or instruments representing the Shares, if and when issued, will be executed by the Company by officers of the Company duly authorized to do so. In rendering our opinion, we have also relied upon a Certificate of Good Standing dated February 19, 2021 issued by the Delaware Secretary of State with respect to the Company and representations and certifications made to us by the Company, including without limitation representations in a Management Certificate addressed to us of even date herewith that the Company has</w:t>
      </w:r>
    </w:p>
    <w:p>
      <w:pPr>
        <w:sectPr>
          <w:pgSz w:w="11900" w:h="16838" w:orient="portrait"/>
          <w:cols w:equalWidth="0" w:num="1">
            <w:col w:w="11240"/>
          </w:cols>
          <w:pgMar w:left="320" w:top="1143" w:right="339" w:bottom="1440" w:gutter="0" w:footer="0" w:header="0"/>
        </w:sectPr>
      </w:pPr>
    </w:p>
    <w:bookmarkStart w:id="7" w:name="page8"/>
    <w:bookmarkEnd w:id="7"/>
    <w:p>
      <w:pPr>
        <w:jc w:val="both"/>
        <w:spacing w:after="0" w:line="316" w:lineRule="auto"/>
        <w:rPr>
          <w:sz w:val="20"/>
          <w:szCs w:val="20"/>
          <w:color w:val="auto"/>
        </w:rPr>
      </w:pPr>
      <w:r>
        <w:rPr>
          <w:rFonts w:ascii="Arial" w:cs="Arial" w:eastAsia="Arial" w:hAnsi="Arial"/>
          <w:sz w:val="18"/>
          <w:szCs w:val="18"/>
          <w:color w:val="auto"/>
        </w:rPr>
        <w:t>available a sufficient number of authorized shares of Common Stock that are not currently outstanding or reserved for issuance under other outstanding securities or plans of the Company, to enable the Company to issue and deliver all of the Shares as of the date of this letter.</w:t>
      </w:r>
    </w:p>
    <w:p>
      <w:pPr>
        <w:spacing w:after="0" w:line="1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0"/>
          <w:szCs w:val="20"/>
          <w:color w:val="auto"/>
        </w:rPr>
        <w:t>We render this opinion only with respect to, and we express no opinion herein concerning the application or effect of the laws of any jurisdiction other than, the existing Delaware General Corporation Law now in effect. We express no opinion with respect to the securities or “blue sky” laws of any state.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Based upon, and subject to, the foregoing, it is our opinion that when the 2,328,021 Shares of Common Stock that may be issued and</w:t>
      </w:r>
    </w:p>
    <w:p>
      <w:pPr>
        <w:spacing w:after="0" w:line="7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sold by the Company upon the exercise or settlement of awards granted or to be granted under the 2013 Plan, have been issued and sold by the Company against the Company’s receipt of payment therefor (in an amount and type of consideration not less than the par value per Share) in accordance with the terms (including without limitation payment and authorization provisions) of the 2013 Plan and have been duly registered on the books of the transfer agent and registrar for the Shares in the name or on behalf of the holders thereof, such Shares will be validly issued, fully paid and non-assessable.</w:t>
      </w:r>
    </w:p>
    <w:p>
      <w:pPr>
        <w:spacing w:after="0" w:line="194" w:lineRule="exact"/>
        <w:rPr>
          <w:sz w:val="20"/>
          <w:szCs w:val="20"/>
          <w:color w:val="auto"/>
        </w:rPr>
      </w:pPr>
    </w:p>
    <w:p>
      <w:pPr>
        <w:jc w:val="both"/>
        <w:ind w:firstLine="673"/>
        <w:spacing w:after="0" w:line="306" w:lineRule="auto"/>
        <w:rPr>
          <w:sz w:val="20"/>
          <w:szCs w:val="20"/>
          <w:color w:val="auto"/>
        </w:rPr>
      </w:pPr>
      <w:r>
        <w:rPr>
          <w:rFonts w:ascii="Arial" w:cs="Arial" w:eastAsia="Arial" w:hAnsi="Arial"/>
          <w:sz w:val="16"/>
          <w:szCs w:val="16"/>
          <w:color w:val="auto"/>
        </w:rPr>
        <w:t>We consent to the use of this opinion as an exhibit to the Registration Statement and further consent to all references to us, if any, in the Registration Statement, the prospectuses constituting a part thereof and any amendments thereto. We do not thereby admit that we are within the category of persons whose consent is required under Section 7 of the Securities Act or the rules and regulations of the Commission thereunder</w:t>
      </w:r>
      <w:r>
        <w:rPr>
          <w:rFonts w:ascii="Arial" w:cs="Arial" w:eastAsia="Arial" w:hAnsi="Arial"/>
          <w:sz w:val="14"/>
          <w:szCs w:val="14"/>
          <w:color w:val="auto"/>
        </w:rPr>
        <w:t>.</w:t>
      </w:r>
      <w:r>
        <w:rPr>
          <w:rFonts w:ascii="Arial" w:cs="Arial" w:eastAsia="Arial" w:hAnsi="Arial"/>
          <w:sz w:val="16"/>
          <w:szCs w:val="16"/>
          <w:color w:val="auto"/>
        </w:rPr>
        <w:t xml:space="preserve"> This opinion is intended solely for use in connection with issuance and sale of the Shares subject to the Registration Statement and is not to be relied upon for any other purpose. In providing this letter, we are opining only as to the specific legal issues expressly set</w:t>
      </w:r>
    </w:p>
    <w:p>
      <w:pPr>
        <w:spacing w:after="0" w:line="2"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forth above, and no opinion shall be inferred as to any other matter or matters. This opinion is rendered on, and speaks only as of, the date of this letter first written above, and does not address any potential change in facts or law that may occur after the date of this opinion letter. We assume no obligation to advise you of any fact, circumstance, event or change in the law or the facts that may hereafter be brought to our attention, whether or not such occurrence would affect or modify any of the opinions expressed herein.</w:t>
      </w:r>
    </w:p>
    <w:p>
      <w:pPr>
        <w:spacing w:after="0" w:line="17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Very truly yours,</w:t>
      </w:r>
    </w:p>
    <w:p>
      <w:pPr>
        <w:spacing w:after="0" w:line="210"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FENWICK &amp; WEST LLP</w:t>
      </w:r>
    </w:p>
    <w:p>
      <w:pPr>
        <w:spacing w:after="0" w:line="200" w:lineRule="exact"/>
        <w:rPr>
          <w:sz w:val="20"/>
          <w:szCs w:val="20"/>
          <w:color w:val="auto"/>
        </w:rPr>
      </w:pPr>
    </w:p>
    <w:p>
      <w:pPr>
        <w:spacing w:after="0" w:line="238"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/s/ Fenwick &amp; West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2655570</wp:posOffset>
            </wp:positionH>
            <wp:positionV relativeFrom="paragraph">
              <wp:posOffset>-14605</wp:posOffset>
            </wp:positionV>
            <wp:extent cx="13982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extLst>
                    </a:blip>
                    <a:srcRect/>
                    <a:stretch>
                      <a:fillRect/>
                    </a:stretch>
                  </pic:blipFill>
                  <pic:spPr bwMode="auto">
                    <a:xfrm>
                      <a:off x="0" y="0"/>
                      <a:ext cx="1398270" cy="8890"/>
                    </a:xfrm>
                    <a:prstGeom prst="rect">
                      <a:avLst/>
                    </a:prstGeom>
                    <a:noFill/>
                  </pic:spPr>
                </pic:pic>
              </a:graphicData>
            </a:graphic>
          </wp:anchor>
        </w:drawing>
      </w:r>
    </w:p>
    <w:p>
      <w:pPr>
        <w:sectPr>
          <w:pgSz w:w="11900" w:h="16838" w:orient="portrait"/>
          <w:cols w:equalWidth="0" w:num="1">
            <w:col w:w="11240"/>
          </w:cols>
          <w:pgMar w:left="320" w:top="1162"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2013 Stock Incentive Plan of Veracyte, Inc. of our reports dated February 22, 2021, with respect to the consolidated financial statements of Veracyte, Inc. and the effectiveness of internal control over financial reporting of Veracyte, Inc. included in its Annual Report (Form 10-K) for the year ended December 31, 2020, filed with the Securities and Exchange Commission.</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22, 2021</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8"/>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lowerRoman"/>
      <w:start w:val="2"/>
    </w:lvl>
  </w:abstractNum>
  <w:abstractNum w:abstractNumId="5">
    <w:nsid w:val="2EB141F2"/>
    <w:multiLevelType w:val="hybridMultilevel"/>
    <w:lvl w:ilvl="0">
      <w:lvlJc w:val="left"/>
      <w:lvlText w:val="(%1)"/>
      <w:numFmt w:val="decimal"/>
      <w:start w:val="2"/>
    </w:lvl>
  </w:abstractNum>
  <w:abstractNum w:abstractNumId="6">
    <w:nsid w:val="41B71EF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jpeg"/><Relationship Id="rId18" Type="http://schemas.openxmlformats.org/officeDocument/2006/relationships/image" Target="media/image5.png"/><Relationship Id="rId10" Type="http://schemas.openxmlformats.org/officeDocument/2006/relationships/hyperlink" Target="https://www.sec.gov/ix?doc=/Archives/edgar/data/1384101/000138410121000012/vcyt-20201231.htm" TargetMode="External"/><Relationship Id="rId11" Type="http://schemas.openxmlformats.org/officeDocument/2006/relationships/hyperlink" Target="https://www.sec.gov/Archives/edgar/data/1384101/000110465913078343/a13-16266_158a12b.htm" TargetMode="External"/><Relationship Id="rId12" Type="http://schemas.openxmlformats.org/officeDocument/2006/relationships/hyperlink" Target="http://www.sec.gov/Archives/edgar/data/1384101/000110465913082910/a13-23874_1ex3d1.htm" TargetMode="External"/><Relationship Id="rId13" Type="http://schemas.openxmlformats.org/officeDocument/2006/relationships/hyperlink" Target="https://www.sec.gov/Archives/edgar/data/1384101/000143774921001142/ex_222251.htm" TargetMode="External"/><Relationship Id="rId14" Type="http://schemas.openxmlformats.org/officeDocument/2006/relationships/hyperlink" Target="http://www.sec.gov/Archives/edgar/data/1384101/000104746913009631/a2216954zex-4_1.htm" TargetMode="External"/><Relationship Id="rId15" Type="http://schemas.openxmlformats.org/officeDocument/2006/relationships/hyperlink" Target="https://www.sec.gov/Archives/edgar/data/1384101/000138410118000006/vcyt-12312017x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2021-02-22T15:28:43Z</dcterms:created>
  <dcterms:modified xsi:type="dcterms:W3CDTF">2021-02-22T15:28:43Z</dcterms:modified>
</cp:coreProperties>
</file>