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424(b)(3)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No. 333-204368</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4,907,975 Shares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selling stockholders identified in this prospectus may sell up to an aggregate of 4,907,975 shares of our common stock.</w:t>
      </w:r>
    </w:p>
    <w:p>
      <w:pPr>
        <w:spacing w:after="0" w:line="225" w:lineRule="exact"/>
        <w:rPr>
          <w:sz w:val="24"/>
          <w:szCs w:val="24"/>
          <w:color w:val="auto"/>
        </w:rPr>
      </w:pPr>
    </w:p>
    <w:p>
      <w:pPr>
        <w:ind w:right="40" w:firstLine="648"/>
        <w:spacing w:after="0" w:line="257" w:lineRule="auto"/>
        <w:rPr>
          <w:sz w:val="20"/>
          <w:szCs w:val="20"/>
          <w:color w:val="auto"/>
        </w:rPr>
      </w:pPr>
      <w:r>
        <w:rPr>
          <w:rFonts w:ascii="Arial" w:cs="Arial" w:eastAsia="Arial" w:hAnsi="Arial"/>
          <w:sz w:val="18"/>
          <w:szCs w:val="18"/>
          <w:color w:val="auto"/>
        </w:rPr>
        <w:t>Our registration of the shares of our common stock covered by this prospectus does not mean that the selling stockholders will offer or sell any of the shares of our common stock. The selling stockholders may sell the shares of our common stock covered by this prospectus in a number of different ways and at varying prices. For additional information on the possible methods of sale that may be used by the selling stockholders, you should refer to the information under the heading “Plan of Distribution” on page 4 of this prospectus. We will not receive any of the proceeds from the sale of the shares of our common stock by the selling stockholders.</w:t>
      </w:r>
    </w:p>
    <w:p>
      <w:pPr>
        <w:spacing w:after="0" w:line="188"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June 4, 2015, the last reported sale price of our common stock on The NASDAQ Global Market was $11.46 per share.</w:t>
      </w:r>
    </w:p>
    <w:p>
      <w:pPr>
        <w:spacing w:after="0" w:line="157" w:lineRule="exact"/>
        <w:rPr>
          <w:sz w:val="24"/>
          <w:szCs w:val="24"/>
          <w:color w:val="auto"/>
        </w:rPr>
      </w:pPr>
    </w:p>
    <w:p>
      <w:pPr>
        <w:ind w:right="560" w:firstLine="648"/>
        <w:spacing w:after="0" w:line="335" w:lineRule="auto"/>
        <w:rPr>
          <w:sz w:val="20"/>
          <w:szCs w:val="20"/>
          <w:color w:val="auto"/>
        </w:rPr>
      </w:pPr>
      <w:r>
        <w:rPr>
          <w:rFonts w:ascii="Arial" w:cs="Arial" w:eastAsia="Arial" w:hAnsi="Arial"/>
          <w:sz w:val="19"/>
          <w:szCs w:val="19"/>
          <w:b w:val="1"/>
          <w:bCs w:val="1"/>
          <w:color w:val="auto"/>
        </w:rPr>
        <w:t>Investing in our securities involves risks. See the section entitled “Risk Factors” beginning on page 2 and in the documents we incorporate by reference in this prospectus before making your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144780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right="38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168275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580" w:type="dxa"/>
            <w:vAlign w:val="bottom"/>
            <w:gridSpan w:val="5"/>
          </w:tcPr>
          <w:p>
            <w:pPr>
              <w:jc w:val="right"/>
              <w:ind w:right="4220"/>
              <w:spacing w:after="0"/>
              <w:rPr>
                <w:sz w:val="20"/>
                <w:szCs w:val="20"/>
                <w:color w:val="auto"/>
              </w:rPr>
            </w:pPr>
            <w:r>
              <w:rPr>
                <w:rFonts w:ascii="Arial" w:cs="Arial" w:eastAsia="Arial" w:hAnsi="Arial"/>
                <w:sz w:val="18"/>
                <w:szCs w:val="18"/>
                <w:color w:val="auto"/>
              </w:rPr>
              <w:t>The date of this prospectus is June 5, 2015</w:t>
            </w:r>
          </w:p>
        </w:tc>
      </w:tr>
      <w:tr>
        <w:trPr>
          <w:trHeight w:val="348"/>
        </w:trPr>
        <w:tc>
          <w:tcPr>
            <w:tcW w:w="56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80" w:type="dxa"/>
            <w:vAlign w:val="bottom"/>
            <w:tcBorders>
              <w:bottom w:val="single" w:sz="8" w:color="010101"/>
            </w:tcBorders>
          </w:tcPr>
          <w:p>
            <w:pPr>
              <w:spacing w:after="0"/>
              <w:rPr>
                <w:sz w:val="24"/>
                <w:szCs w:val="24"/>
                <w:color w:val="auto"/>
              </w:rPr>
            </w:pPr>
          </w:p>
        </w:tc>
        <w:tc>
          <w:tcPr>
            <w:tcW w:w="2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60" w:type="dxa"/>
            <w:vAlign w:val="bottom"/>
            <w:tcBorders>
              <w:bottom w:val="single" w:sz="8" w:color="010101"/>
            </w:tcBorders>
          </w:tcPr>
          <w:p>
            <w:pPr>
              <w:spacing w:after="0"/>
              <w:rPr>
                <w:sz w:val="24"/>
                <w:szCs w:val="24"/>
                <w:color w:val="auto"/>
              </w:rPr>
            </w:pPr>
          </w:p>
        </w:tc>
        <w:tc>
          <w:tcPr>
            <w:tcW w:w="60" w:type="dxa"/>
            <w:vAlign w:val="bottom"/>
            <w:tcBorders>
              <w:bottom w:val="single" w:sz="8" w:color="010101"/>
            </w:tcBorders>
          </w:tcPr>
          <w:p>
            <w:pPr>
              <w:spacing w:after="0"/>
              <w:rPr>
                <w:sz w:val="24"/>
                <w:szCs w:val="24"/>
                <w:color w:val="auto"/>
              </w:rPr>
            </w:pPr>
          </w:p>
        </w:tc>
        <w:tc>
          <w:tcPr>
            <w:tcW w:w="6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c>
          <w:tcPr>
            <w:tcW w:w="1400" w:type="dxa"/>
            <w:vAlign w:val="bottom"/>
            <w:tcBorders>
              <w:bottom w:val="single" w:sz="8" w:color="010101"/>
            </w:tcBorders>
          </w:tcPr>
          <w:p>
            <w:pPr>
              <w:spacing w:after="0"/>
              <w:rPr>
                <w:sz w:val="24"/>
                <w:szCs w:val="24"/>
                <w:color w:val="auto"/>
              </w:rPr>
            </w:pPr>
          </w:p>
        </w:tc>
        <w:tc>
          <w:tcPr>
            <w:tcW w:w="2880" w:type="dxa"/>
            <w:vAlign w:val="bottom"/>
            <w:tcBorders>
              <w:bottom w:val="single" w:sz="8" w:color="010101"/>
            </w:tcBorders>
          </w:tcPr>
          <w:p>
            <w:pPr>
              <w:spacing w:after="0"/>
              <w:rPr>
                <w:sz w:val="24"/>
                <w:szCs w:val="24"/>
                <w:color w:val="auto"/>
              </w:rPr>
            </w:pPr>
          </w:p>
        </w:tc>
        <w:tc>
          <w:tcPr>
            <w:tcW w:w="3060" w:type="dxa"/>
            <w:vAlign w:val="bottom"/>
            <w:tcBorders>
              <w:bottom w:val="single" w:sz="8" w:color="010101"/>
            </w:tcBorders>
          </w:tcPr>
          <w:p>
            <w:pPr>
              <w:spacing w:after="0"/>
              <w:rPr>
                <w:sz w:val="24"/>
                <w:szCs w:val="24"/>
                <w:color w:val="auto"/>
              </w:rPr>
            </w:pPr>
          </w:p>
        </w:tc>
        <w:tc>
          <w:tcPr>
            <w:tcW w:w="12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r>
        <w:trPr>
          <w:trHeight w:val="523"/>
        </w:trPr>
        <w:tc>
          <w:tcPr>
            <w:tcW w:w="2880" w:type="dxa"/>
            <w:vAlign w:val="bottom"/>
            <w:gridSpan w:val="1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7180" w:type="dxa"/>
            <w:vAlign w:val="bottom"/>
            <w:gridSpan w:val="4"/>
          </w:tcPr>
          <w:p>
            <w:pPr>
              <w:jc w:val="right"/>
              <w:ind w:right="4780"/>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20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18"/>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2">
              <w:r>
                <w:rPr>
                  <w:rFonts w:ascii="Arial" w:cs="Arial" w:eastAsia="Arial" w:hAnsi="Arial"/>
                  <w:sz w:val="18"/>
                  <w:szCs w:val="18"/>
                  <w:color w:val="0000EE"/>
                  <w:w w:val="89"/>
                </w:rPr>
                <w:t>Risk Factors</w:t>
              </w:r>
            </w:hyperlink>
          </w:p>
        </w:tc>
        <w:tc>
          <w:tcPr>
            <w:tcW w:w="1960" w:type="dxa"/>
            <w:vAlign w:val="bottom"/>
            <w:gridSpan w:val="8"/>
          </w:tcPr>
          <w:p>
            <w:pPr>
              <w:spacing w:after="0"/>
              <w:rPr>
                <w:sz w:val="24"/>
                <w:szCs w:val="24"/>
                <w:color w:val="auto"/>
              </w:rPr>
            </w:pPr>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288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Veracyte, Inc.</w:t>
              </w:r>
            </w:hyperlink>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r>
      <w:tr>
        <w:trPr>
          <w:trHeight w:val="412"/>
        </w:trPr>
        <w:tc>
          <w:tcPr>
            <w:tcW w:w="288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Forward-Looking Statements</w:t>
              </w:r>
            </w:hyperlink>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2">
              <w:r>
                <w:rPr>
                  <w:rFonts w:ascii="Arial" w:cs="Arial" w:eastAsia="Arial" w:hAnsi="Arial"/>
                  <w:sz w:val="18"/>
                  <w:szCs w:val="18"/>
                  <w:color w:val="0000EE"/>
                  <w:w w:val="87"/>
                </w:rPr>
                <w:t>Use of Proceeds</w:t>
              </w:r>
            </w:hyperlink>
          </w:p>
        </w:tc>
        <w:tc>
          <w:tcPr>
            <w:tcW w:w="940" w:type="dxa"/>
            <w:vAlign w:val="bottom"/>
            <w:tcBorders>
              <w:top w:val="single" w:sz="8" w:color="0000EE"/>
            </w:tcBorders>
            <w:gridSpan w:val="4"/>
          </w:tcPr>
          <w:p>
            <w:pPr>
              <w:spacing w:after="0"/>
              <w:rPr>
                <w:sz w:val="24"/>
                <w:szCs w:val="24"/>
                <w:color w:val="auto"/>
              </w:rPr>
            </w:pPr>
          </w:p>
        </w:tc>
        <w:tc>
          <w:tcPr>
            <w:tcW w:w="760" w:type="dxa"/>
            <w:vAlign w:val="bottom"/>
          </w:tcPr>
          <w:p>
            <w:pPr>
              <w:spacing w:after="0"/>
              <w:rPr>
                <w:sz w:val="24"/>
                <w:szCs w:val="24"/>
                <w:color w:val="auto"/>
              </w:rPr>
            </w:pPr>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2880" w:type="dxa"/>
            <w:vAlign w:val="bottom"/>
            <w:gridSpan w:val="10"/>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Selling Stockholders</w:t>
              </w:r>
            </w:hyperlink>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14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3">
              <w:r>
                <w:rPr>
                  <w:rFonts w:ascii="Arial" w:cs="Arial" w:eastAsia="Arial" w:hAnsi="Arial"/>
                  <w:sz w:val="18"/>
                  <w:szCs w:val="18"/>
                  <w:color w:val="0000EE"/>
                  <w:w w:val="93"/>
                </w:rPr>
                <w:t>Plan of Distribution</w:t>
              </w:r>
            </w:hyperlink>
          </w:p>
        </w:tc>
        <w:tc>
          <w:tcPr>
            <w:tcW w:w="60" w:type="dxa"/>
            <w:vAlign w:val="bottom"/>
            <w:tcBorders>
              <w:top w:val="single" w:sz="8" w:color="0000EE"/>
            </w:tcBorders>
          </w:tcPr>
          <w:p>
            <w:pPr>
              <w:spacing w:after="0"/>
              <w:rPr>
                <w:sz w:val="24"/>
                <w:szCs w:val="24"/>
                <w:color w:val="auto"/>
              </w:rPr>
            </w:pPr>
          </w:p>
        </w:tc>
        <w:tc>
          <w:tcPr>
            <w:tcW w:w="1380" w:type="dxa"/>
            <w:vAlign w:val="bottom"/>
            <w:gridSpan w:val="2"/>
          </w:tcPr>
          <w:p>
            <w:pPr>
              <w:spacing w:after="0"/>
              <w:rPr>
                <w:sz w:val="24"/>
                <w:szCs w:val="24"/>
                <w:color w:val="auto"/>
              </w:rPr>
            </w:pPr>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4</w:t>
            </w:r>
          </w:p>
        </w:tc>
      </w:tr>
      <w:tr>
        <w:trPr>
          <w:trHeight w:val="412"/>
        </w:trPr>
        <w:tc>
          <w:tcPr>
            <w:tcW w:w="10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5">
              <w:r>
                <w:rPr>
                  <w:rFonts w:ascii="Arial" w:cs="Arial" w:eastAsia="Arial" w:hAnsi="Arial"/>
                  <w:sz w:val="18"/>
                  <w:szCs w:val="18"/>
                  <w:color w:val="0000EE"/>
                  <w:w w:val="91"/>
                </w:rPr>
                <w:t>Legal Matters</w:t>
              </w:r>
            </w:hyperlink>
          </w:p>
        </w:tc>
        <w:tc>
          <w:tcPr>
            <w:tcW w:w="1860" w:type="dxa"/>
            <w:vAlign w:val="bottom"/>
            <w:gridSpan w:val="6"/>
          </w:tcPr>
          <w:p>
            <w:pPr>
              <w:spacing w:after="0"/>
              <w:rPr>
                <w:sz w:val="24"/>
                <w:szCs w:val="24"/>
                <w:color w:val="auto"/>
              </w:rPr>
            </w:pPr>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Experts</w:t>
              </w:r>
            </w:hyperlink>
          </w:p>
        </w:tc>
        <w:tc>
          <w:tcPr>
            <w:tcW w:w="2320" w:type="dxa"/>
            <w:vAlign w:val="bottom"/>
            <w:gridSpan w:val="9"/>
          </w:tcPr>
          <w:p>
            <w:pPr>
              <w:spacing w:after="0"/>
              <w:rPr>
                <w:sz w:val="24"/>
                <w:szCs w:val="24"/>
                <w:color w:val="auto"/>
              </w:rPr>
            </w:pPr>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28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Where You Can Find More Information</w:t>
              </w:r>
            </w:hyperlink>
          </w:p>
        </w:tc>
        <w:tc>
          <w:tcPr>
            <w:tcW w:w="8580" w:type="dxa"/>
            <w:vAlign w:val="bottom"/>
            <w:gridSpan w:val="5"/>
          </w:tcPr>
          <w:p>
            <w:pPr>
              <w:jc w:val="right"/>
              <w:ind w:right="40"/>
              <w:spacing w:after="0"/>
              <w:rPr>
                <w:sz w:val="20"/>
                <w:szCs w:val="20"/>
                <w:color w:val="auto"/>
              </w:rPr>
            </w:pPr>
            <w:r>
              <w:rPr>
                <w:rFonts w:ascii="Arial" w:cs="Arial" w:eastAsia="Arial" w:hAnsi="Arial"/>
                <w:sz w:val="18"/>
                <w:szCs w:val="18"/>
                <w:color w:val="auto"/>
              </w:rPr>
              <w:t>7</w:t>
            </w:r>
          </w:p>
        </w:tc>
      </w:tr>
      <w:tr>
        <w:trPr>
          <w:trHeight w:val="345"/>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0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-3543300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-3543300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0"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We have not authorized anyone to provide any information other than that contained or incorporated by reference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in this prospectus and any prospectus supplement, or incorporated by reference, is accurate only as of the dates of those documents.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200025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60"/>
          </w:cols>
          <w:pgMar w:left="240" w:top="233" w:right="199" w:bottom="405" w:gutter="0" w:footer="0" w:header="0"/>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Unless the context otherwise requires, references in this prospectus to “Veracyte,” the “company,” “we,” “us” and “our” refer to Veracyte, Inc. and its subsidiaries.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Veracyte, Afirma, Percepta, the Veracyte logo and the Afirma logo are our trademarks or registered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87"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When we refer to the selling stockholders in this prospectus, we are referring to the stockholder identified in the table under the heading “Selling Stockholders” herein as well as its donees, pledgees, transferees or other successors-in-interest that received shares of our common stock after the date of this prospectus from the selling stockholders pursuant to a gift, a pledge, a partnership distribution or other transfer (other than a public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Investing in our common stock involves risk. Prior to making a decision about investing in our common stock, you should carefully consider all of the information appearing or incorporated by reference in this prospectus, including the risk factors incorporated by reference to our most recent Annual Report on Form 10-K, Quarterly Reports on Form 10-Q and Current Reports on Form 8-K. The occurrence of any of these risks or additional risks and uncertainties that are not currently known to us or that we currently consider immaterial may cause you to lose all or part of your investment in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9" w:lineRule="exact"/>
        <w:rPr>
          <w:sz w:val="20"/>
          <w:szCs w:val="20"/>
          <w:color w:val="auto"/>
        </w:rPr>
      </w:pPr>
    </w:p>
    <w:p>
      <w:pPr>
        <w:ind w:right="180" w:firstLine="648"/>
        <w:spacing w:after="0" w:line="291" w:lineRule="auto"/>
        <w:rPr>
          <w:sz w:val="20"/>
          <w:szCs w:val="20"/>
          <w:color w:val="auto"/>
        </w:rPr>
      </w:pPr>
      <w:r>
        <w:rPr>
          <w:rFonts w:ascii="Arial" w:cs="Arial" w:eastAsia="Arial" w:hAnsi="Arial"/>
          <w:sz w:val="16"/>
          <w:szCs w:val="16"/>
          <w:color w:val="auto"/>
        </w:rPr>
        <w:t>We are a molecular diagnostics company, pioneering the field of molecular cytology with genomic solutions that resolve diagnostic ambiguity and enable physicians to make more informed treatment decisions at an early stage in patient care. We believe that diagnostic ambiguity is a significant problem impacting our healthcare system, resulting in hundreds of thousands of patients undergoing unnecessary, invasive procedures and wasting billions of healthcare dollars each year. We target diseases in which large numbers of patients undergo invasive and costly diagnostic procedures that could be avoided with a more accurate diagnosis from a cytology sample taken preoperatively. By improving diagnosis preoperatively, we help patients avoid unnecessary invasive procedures and surgeries while reducing healthcare costs. We are focused on the continued growth of our endocrinology franchise, and we recently entered into our second clinical indication, pulmonology, with the launch of our Percepta Bronchial Genomic Classifier in April 2015.</w:t>
      </w:r>
    </w:p>
    <w:p>
      <w:pPr>
        <w:spacing w:after="0" w:line="16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7000 Shoreline Court, Suite 250,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When used in this prospectus,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These forward-looking statements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will not receive any proceeds from the sale of the shares by the selling stockholders. All proceeds from the sale of the shares will be for the accounts of the selling stockholders. See “Selling Stockholders” and “Plan of Distribution.”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On April 28, 2015, we sold to the selling stockholders 4,907,975 shares of our common stock in a private placement, pursuant to a securities purchase agreement with the selling stockholders. The registration statement to which this prospectus relates is being filed pursuant to a registration rights agreement we entered into with the selling stockholders.</w:t>
      </w:r>
    </w:p>
    <w:p>
      <w:pPr>
        <w:spacing w:after="0" w:line="181"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color w:val="auto"/>
        </w:rPr>
        <w:t>The following table sets forth, to our knowledge, certain information as of May 11, 2015 regarding the beneficial ownership of our common stock by the selling stockholders and the shares being offered by the selling stockholders. Information with respect to beneficial ownership is based upon information obtained from the selling stockholders. Information with respect to shares owned beneficially after the offering assumes the sale of all of the shares offered and no other purchases or sales of our common stock. The selling stockholders may offer and sell some, all or none of their shares.</w:t>
      </w:r>
    </w:p>
    <w:p>
      <w:pPr>
        <w:sectPr>
          <w:pgSz w:w="11900" w:h="16838" w:orient="portrait"/>
          <w:cols w:equalWidth="0" w:num="1">
            <w:col w:w="11420"/>
          </w:cols>
          <w:pgMar w:left="240" w:top="125" w:right="239" w:bottom="0" w:gutter="0" w:footer="0" w:header="0"/>
        </w:sectPr>
      </w:pPr>
    </w:p>
    <w:bookmarkStart w:id="2" w:name="page3"/>
    <w:bookmarkEnd w:id="2"/>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4"/>
          </w:tcPr>
          <w:p>
            <w:pPr>
              <w:jc w:val="center"/>
              <w:ind w:left="196"/>
              <w:spacing w:after="0"/>
              <w:rPr>
                <w:sz w:val="20"/>
                <w:szCs w:val="20"/>
                <w:color w:val="auto"/>
              </w:rPr>
            </w:pPr>
            <w:r>
              <w:rPr>
                <w:rFonts w:ascii="Arial" w:cs="Arial" w:eastAsia="Arial" w:hAnsi="Arial"/>
                <w:sz w:val="14"/>
                <w:szCs w:val="14"/>
                <w:b w:val="1"/>
                <w:bCs w:val="1"/>
                <w:color w:val="auto"/>
                <w:w w:val="91"/>
              </w:rPr>
              <w:t>Shares Beneficially</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272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center"/>
              <w:ind w:left="816"/>
              <w:spacing w:after="0" w:line="149" w:lineRule="exact"/>
              <w:rPr>
                <w:sz w:val="20"/>
                <w:szCs w:val="20"/>
                <w:color w:val="auto"/>
              </w:rPr>
            </w:pPr>
            <w:r>
              <w:rPr>
                <w:rFonts w:ascii="Arial" w:cs="Arial" w:eastAsia="Arial" w:hAnsi="Arial"/>
                <w:sz w:val="14"/>
                <w:szCs w:val="14"/>
                <w:b w:val="1"/>
                <w:bCs w:val="1"/>
                <w:color w:val="auto"/>
                <w:w w:val="94"/>
              </w:rPr>
              <w:t>Owned</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Being</w:t>
            </w:r>
          </w:p>
        </w:tc>
        <w:tc>
          <w:tcPr>
            <w:tcW w:w="2720" w:type="dxa"/>
            <w:vAlign w:val="bottom"/>
            <w:gridSpan w:val="4"/>
          </w:tcPr>
          <w:p>
            <w:pPr>
              <w:jc w:val="right"/>
              <w:ind w:right="760"/>
              <w:spacing w:after="0" w:line="149" w:lineRule="exact"/>
              <w:rPr>
                <w:sz w:val="20"/>
                <w:szCs w:val="20"/>
                <w:color w:val="auto"/>
              </w:rPr>
            </w:pPr>
            <w:r>
              <w:rPr>
                <w:rFonts w:ascii="Arial" w:cs="Arial" w:eastAsia="Arial" w:hAnsi="Arial"/>
                <w:sz w:val="14"/>
                <w:szCs w:val="14"/>
                <w:b w:val="1"/>
                <w:bCs w:val="1"/>
                <w:color w:val="auto"/>
              </w:rPr>
              <w:t>Owned After Offering</w:t>
            </w:r>
          </w:p>
        </w:tc>
        <w:tc>
          <w:tcPr>
            <w:tcW w:w="0" w:type="dxa"/>
            <w:vAlign w:val="bottom"/>
          </w:tcPr>
          <w:p>
            <w:pPr>
              <w:spacing w:after="0"/>
              <w:rPr>
                <w:sz w:val="1"/>
                <w:szCs w:val="1"/>
                <w:color w:val="auto"/>
              </w:rPr>
            </w:pPr>
          </w:p>
        </w:tc>
      </w:tr>
      <w:tr>
        <w:trPr>
          <w:trHeight w:val="17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2260" w:type="dxa"/>
            <w:vAlign w:val="bottom"/>
            <w:gridSpan w:val="4"/>
          </w:tcPr>
          <w:p>
            <w:pPr>
              <w:jc w:val="center"/>
              <w:ind w:left="196"/>
              <w:spacing w:after="0"/>
              <w:rPr>
                <w:sz w:val="20"/>
                <w:szCs w:val="20"/>
                <w:color w:val="auto"/>
              </w:rPr>
            </w:pPr>
            <w:r>
              <w:rPr>
                <w:rFonts w:ascii="Arial" w:cs="Arial" w:eastAsia="Arial" w:hAnsi="Arial"/>
                <w:sz w:val="14"/>
                <w:szCs w:val="14"/>
                <w:b w:val="1"/>
                <w:bCs w:val="1"/>
                <w:color w:val="auto"/>
                <w:w w:val="97"/>
              </w:rPr>
              <w:t>Prior to Offering (1)(2)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Offered</w:t>
            </w:r>
          </w:p>
        </w:tc>
        <w:tc>
          <w:tcPr>
            <w:tcW w:w="1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62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Number</w:t>
            </w:r>
          </w:p>
        </w:tc>
        <w:tc>
          <w:tcPr>
            <w:tcW w:w="6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7"/>
              </w:rPr>
              <w:t>Percent</w:t>
            </w:r>
          </w:p>
        </w:tc>
        <w:tc>
          <w:tcPr>
            <w:tcW w:w="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Number</w:t>
            </w:r>
          </w:p>
        </w:tc>
        <w:tc>
          <w:tcPr>
            <w:tcW w:w="11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Deerfield Special Situations Fund, L.P. (3)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tcPr>
          <w:p>
            <w:pPr>
              <w:spacing w:after="0" w:line="201" w:lineRule="exact"/>
              <w:rPr>
                <w:sz w:val="20"/>
                <w:szCs w:val="20"/>
                <w:color w:val="auto"/>
              </w:rPr>
            </w:pPr>
            <w:r>
              <w:rPr>
                <w:rFonts w:ascii="Arial" w:cs="Arial" w:eastAsia="Arial" w:hAnsi="Arial"/>
                <w:sz w:val="18"/>
                <w:szCs w:val="18"/>
                <w:color w:val="auto"/>
              </w:rPr>
              <w:t>Entities affiliated with Longwood Capital Partners LLC</w:t>
            </w: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710,077</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613,497</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96,580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2B LLC (5)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42,945</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venBio Select Fund LLC (6)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570,552</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570,552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Camber Capital Management,</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LLC (7)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1,226,994</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1,226,994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 Consonance Opportunities LTD (8)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61,350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61,350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Altairis Offshore Levered (9)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429,447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429,447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Eventide Asset Management, LLC (10)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2,008,298</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7.3%</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490,798</w:t>
            </w:r>
          </w:p>
        </w:tc>
        <w:tc>
          <w:tcPr>
            <w:tcW w:w="1140" w:type="dxa"/>
            <w:vAlign w:val="bottom"/>
          </w:tcPr>
          <w:p>
            <w:pPr>
              <w:jc w:val="right"/>
              <w:spacing w:after="0"/>
              <w:rPr>
                <w:sz w:val="20"/>
                <w:szCs w:val="20"/>
                <w:color w:val="auto"/>
              </w:rPr>
            </w:pPr>
            <w:r>
              <w:rPr>
                <w:rFonts w:ascii="Arial" w:cs="Arial" w:eastAsia="Arial" w:hAnsi="Arial"/>
                <w:sz w:val="18"/>
                <w:szCs w:val="18"/>
                <w:color w:val="auto"/>
              </w:rPr>
              <w:t>1,517,500</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Broadfin Healthcare Master Fund, LTD (11)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60" w:hanging="628"/>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960" w:hanging="628"/>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27,462,532 shares of our common stock outstanding as of May 1, 2015.</w:t>
      </w:r>
    </w:p>
    <w:p>
      <w:pPr>
        <w:spacing w:after="0" w:line="9" w:lineRule="exact"/>
        <w:rPr>
          <w:rFonts w:ascii="Arial" w:cs="Arial" w:eastAsia="Arial" w:hAnsi="Arial"/>
          <w:sz w:val="18"/>
          <w:szCs w:val="18"/>
          <w:color w:val="auto"/>
        </w:rPr>
      </w:pPr>
    </w:p>
    <w:p>
      <w:pPr>
        <w:ind w:left="960" w:right="120" w:hanging="628"/>
        <w:spacing w:after="0" w:line="28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our knowledge, the persons named in the table have sole voting and investment power with respect to all shares of common stock shown as beneficially owned by them, subject to community property laws, where applicable, and the information contained in the footnotes to this table.</w:t>
      </w:r>
    </w:p>
    <w:p>
      <w:pPr>
        <w:spacing w:after="0" w:line="1" w:lineRule="exact"/>
        <w:rPr>
          <w:rFonts w:ascii="Arial" w:cs="Arial" w:eastAsia="Arial" w:hAnsi="Arial"/>
          <w:sz w:val="16"/>
          <w:szCs w:val="16"/>
          <w:color w:val="auto"/>
        </w:rPr>
      </w:pPr>
    </w:p>
    <w:p>
      <w:pPr>
        <w:ind w:left="960" w:right="120" w:hanging="628"/>
        <w:spacing w:after="0" w:line="265"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James E. Flynn has voting and investment power over of all of the shares held by Deerfield Special Situations Fund, L.P. Mr. Flynn disclaims beneficial ownership over all of the shares held by Deerfield Special Situations Fund, L.P., except to the extent of his pecuniary interest therein. The address for Deerfield Special Situations Fund, L.P is 780 Third Avenue, 37th Floor, New York, New York 10017.</w:t>
      </w:r>
    </w:p>
    <w:p>
      <w:pPr>
        <w:ind w:left="960" w:right="140" w:hanging="628"/>
        <w:spacing w:after="0" w:line="281"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Shareholdings consist of 429,672 shares held by Longwood Capital, LP, 184,141 shares held by Longwood Shares Opportunity Fund, LP and 96,264 shares held by 2B LLC. Shares offered consist of 429,448 shares held by Longwood Capital, LP and 184,049 shares held by Longwood Opportunity Fund, LP. Richard Lin is the Managing Member of Longwood Capital Partners LLC, the general partner of Longwood Capital, LP and Longwood Opportunity Fund, LP and an investment manager for 2B LLC and has voting and investment power over all of the shares held by Longwood Capital, LP and Longwood Opportunity Fund, LP and the 96,264 shares held by 2B LLC but does not have voting or investment power over the shares held by 2B LLC described in footnote 5 below. Mr. Lin disclaims beneficial ownership over all of the shares held by Longwood Capital, LP, Longwood Opportunity Fund, LP and 2B LLC, except to the extent of his pecuniary interest therein.</w:t>
      </w:r>
    </w:p>
    <w:p>
      <w:pPr>
        <w:spacing w:after="0" w:line="4" w:lineRule="exact"/>
        <w:rPr>
          <w:rFonts w:ascii="Arial" w:cs="Arial" w:eastAsia="Arial" w:hAnsi="Arial"/>
          <w:sz w:val="16"/>
          <w:szCs w:val="16"/>
          <w:color w:val="auto"/>
        </w:rPr>
      </w:pPr>
    </w:p>
    <w:p>
      <w:pPr>
        <w:ind w:left="960" w:right="220" w:hanging="628"/>
        <w:spacing w:after="0" w:line="250"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J. Darius Bikoff, a Member of 2B LLC, has voting and investment control over all the shares held by 2B LLC. Mr. Bikoff disclaims beneficial ownership over all the shares held by 2B LLC, except to the extent of his pecuniary interest therein.</w:t>
      </w:r>
    </w:p>
    <w:p>
      <w:pPr>
        <w:ind w:left="960" w:right="100" w:hanging="628"/>
        <w:spacing w:after="0" w:line="250"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Behzad Aghazadeh, the portfolio manager of venBio Select Fund LLC, has voting and investment power over all of the shares held by venBio Select Fund LLC. Mr. Aghazadeh disclaims beneficial ownership over all of the shares held by venBio Select Fund LLC, except to the extent of his pecuniary interest therein.</w:t>
      </w:r>
    </w:p>
    <w:p>
      <w:pPr>
        <w:spacing w:after="0" w:line="1" w:lineRule="exact"/>
        <w:rPr>
          <w:rFonts w:ascii="Arial" w:cs="Arial" w:eastAsia="Arial" w:hAnsi="Arial"/>
          <w:sz w:val="18"/>
          <w:szCs w:val="18"/>
          <w:color w:val="auto"/>
        </w:rPr>
      </w:pPr>
    </w:p>
    <w:p>
      <w:pPr>
        <w:ind w:left="960" w:right="220" w:hanging="628"/>
        <w:spacing w:after="0" w:line="265"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color w:val="auto"/>
        </w:rPr>
        <w:t>Shareholdings consist of 1,181,718 shares held by Camber Capital Master Fund, LP, 8,834 shares held by Camber Capital Fund II, LP, and 36,442 shares held by Arthur J. Remillard Jr. Trust. Camber Capital Management, LLC has voting and investment power over all of the shares held by Camber Capital Master Fund, LP, Camber Capital Fund II, LP and Arthur J. Remillard Jr. Trust. Camber Capital Management, LLC disclaims beneficial ownership over all of the shares held by Camber Capital Master Fund, LP, Camber Capital Fund II, LP and Arthur J. Remillard Jr. Trust, except to the extent of any pecuniary interest therein.</w:t>
      </w:r>
    </w:p>
    <w:p>
      <w:pPr>
        <w:spacing w:after="0" w:line="1" w:lineRule="exact"/>
        <w:rPr>
          <w:rFonts w:ascii="Arial" w:cs="Arial" w:eastAsia="Arial" w:hAnsi="Arial"/>
          <w:sz w:val="17"/>
          <w:szCs w:val="17"/>
          <w:color w:val="auto"/>
        </w:rPr>
      </w:pPr>
    </w:p>
    <w:p>
      <w:pPr>
        <w:ind w:left="960" w:right="440" w:hanging="628"/>
        <w:spacing w:after="0" w:line="255"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Consonance Capital Opportunity Fund Management LP has voting and investment power over all the shares held by P Consonance Opportunities LTD. Consonance Capital Opportunity Fund Management LP disclaims beneficial ownership over all of the shares held by P Consonance Opportunities LTD, except to the extent of any pecuniary interest therein.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60" w:right="100" w:hanging="628"/>
        <w:spacing w:after="0" w:line="25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Polar Securities Inc. serves as investment advisor to Altairis Offshore Levered and has voting and investment control over all the shares held by Altairis Offshore Levered. Polar Securities Inc. disclaims beneficial ownership over all of the shares held by Altairis Offshore Levered except to the extent of its pecuniary interest therein.</w:t>
      </w:r>
    </w:p>
    <w:p>
      <w:pPr>
        <w:ind w:left="960" w:right="140" w:hanging="628"/>
        <w:spacing w:after="0" w:line="250"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Shareholdings consist of 1,193,431 shares held by Eventide Gilead Fund and 814,867 shares held by Eventide Healthcare &amp; Life Sciences Fund, each of which is a registered investment company for which Eventide Asset Management, LLC acts as investment adviser. Eventide Asset Management, LLC has voting and investment power with respect to all of such shares. The address of Eventide Asset Management, LLC is 60 State Street, Suite 700, Boston, Massachusetts, 02109. Of the shares offered, Eventide Gilead Fund holds 381,731 shares and Eventide Healthcare &amp; Life Sciences Fund holds 109,067 shares.</w:t>
      </w:r>
    </w:p>
    <w:p>
      <w:pPr>
        <w:spacing w:after="0" w:line="2" w:lineRule="exact"/>
        <w:rPr>
          <w:rFonts w:ascii="Arial" w:cs="Arial" w:eastAsia="Arial" w:hAnsi="Arial"/>
          <w:sz w:val="18"/>
          <w:szCs w:val="18"/>
          <w:color w:val="auto"/>
        </w:rPr>
      </w:pPr>
    </w:p>
    <w:p>
      <w:pPr>
        <w:ind w:left="960" w:right="160" w:hanging="628"/>
        <w:spacing w:after="0" w:line="273" w:lineRule="auto"/>
        <w:tabs>
          <w:tab w:leader="none" w:pos="960" w:val="left"/>
        </w:tabs>
        <w:numPr>
          <w:ilvl w:val="0"/>
          <w:numId w:val="3"/>
        </w:numPr>
        <w:rPr>
          <w:rFonts w:ascii="Arial" w:cs="Arial" w:eastAsia="Arial" w:hAnsi="Arial"/>
          <w:sz w:val="17"/>
          <w:szCs w:val="17"/>
          <w:color w:val="auto"/>
        </w:rPr>
      </w:pPr>
      <w:r>
        <w:rPr>
          <w:rFonts w:ascii="Arial" w:cs="Arial" w:eastAsia="Arial" w:hAnsi="Arial"/>
          <w:sz w:val="17"/>
          <w:szCs w:val="17"/>
          <w:color w:val="auto"/>
        </w:rPr>
        <w:t>Broadfin Capital, LLC serves as investment adviser to Broadfin Healthcare Master Fund, LTD with the power to direct investments and/or sole power to vote the shares owned by Broadfin Healthcare Master Fund, LTD. Kevin Kotler is the Managing Member of Broadfin Capital, LLC. Mr. Kotler has voting and dispositive power over the shares held by Broadfin Healthcare Master Fund, LTD. Mr. Kotler disclaims beneficial ownership of all shares beneficially owned, except to the extent of his pecuniary interests in such shares.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We are registering the shares of common stock issued to the selling stockholders to permit the resale of these shares of common stock by the holders of the shares of common stock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4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shares:</w:t>
      </w:r>
    </w:p>
    <w:p>
      <w:pPr>
        <w:sectPr>
          <w:pgSz w:w="11900" w:h="16851" w:orient="portrait"/>
          <w:cols w:equalWidth="0" w:num="1">
            <w:col w:w="11420"/>
          </w:cols>
          <w:pgMar w:left="240" w:top="104" w:right="239" w:bottom="0" w:gutter="0" w:footer="0" w:header="0"/>
        </w:sectPr>
      </w:pPr>
    </w:p>
    <w:bookmarkStart w:id="3" w:name="page4"/>
    <w:bookmarkEnd w:id="3"/>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such options are listed on an options exchange or otherwise;</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connection with sales of the shares of common stock or otherwise, the selling stockholders may enter into hedging transactions with broker-dealers or other financial institutions, which may in turn engage in short sales of the shares of common stock in the course of hedging in positions they assume. The selling stockholders may also sell shares of common stock short and if such short sale shall take place after the date that this registration statement is declared effective by the Securities and Exchange Commission, or SEC, the selling stockholders may deliver shares of common stock covered by this prospectus to close out short positions and to return borrowed shares in connection with such short sales. The selling stockholders may also loan or pledge shares of common stock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shares registered on this registration statement to cover short sales of our common stock made prior to the date the registration statement, of which this prospectus forms a part, has been declared effective by the SEC.</w:t>
      </w:r>
    </w:p>
    <w:p>
      <w:pPr>
        <w:spacing w:after="0" w:line="1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8" w:lineRule="exact"/>
        <w:rPr>
          <w:sz w:val="20"/>
          <w:szCs w:val="20"/>
          <w:color w:val="auto"/>
        </w:rPr>
      </w:pPr>
    </w:p>
    <w:p>
      <w:pPr>
        <w:ind w:right="140" w:firstLine="648"/>
        <w:spacing w:after="0" w:line="255" w:lineRule="auto"/>
        <w:rPr>
          <w:sz w:val="20"/>
          <w:szCs w:val="20"/>
          <w:color w:val="auto"/>
        </w:rPr>
      </w:pPr>
      <w:r>
        <w:rPr>
          <w:rFonts w:ascii="Arial" w:cs="Arial" w:eastAsia="Arial" w:hAnsi="Arial"/>
          <w:sz w:val="18"/>
          <w:szCs w:val="18"/>
          <w:color w:val="auto"/>
        </w:rPr>
        <w:t>The selling stockholders and any broker-dealer or agents participating in the distribution of the shares of common stock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 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or the Exchange Act.</w:t>
      </w:r>
    </w:p>
    <w:p>
      <w:pPr>
        <w:spacing w:after="0" w:line="189"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Each selling stockholder has informed us that it is not a registered broker-dealer and does not have any written or oral agreement or understanding, directly or indirectly, with any person to distribute the common stock. Upon a selling stockholder notifying us in writing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of common 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0" w:gutter="0" w:footer="0" w:header="0"/>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shelf registration statement, of which this prospectus forms a part.</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registration rights agreement, or we may be entitled to contribution.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validity of the common stock offered by this prospectus is being passed upon for us by Pillsbury Winthrop Shaw Pittman LLP, San Francisco and Palo Alto, California.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Ernst &amp; Young LLP, independent registered public accounting firm, has audited our consolidated financial statements as of and for the year ended December 31, 2014 included in our Annual Report on Form 10-K for the year ended December 31, 2014, as set forth in their report, which is incorporated by reference in this prospectus and elsewhere in the registration statement. Our consolidated financial statements are incorporated by reference in reliance on Ernst &amp; Young LLP’s report, given on their authority as experts in accounting and auditing.</w:t>
      </w:r>
    </w:p>
    <w:p>
      <w:pPr>
        <w:spacing w:after="0" w:line="171"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The financial statements as of December 31, 2013 and for each of the two years in the period ended December 31, 2013 incorporated in this Prospectus by reference to the Annual Report on Form 10-K for the year ended December 31, 2014 have been so incorporated in reliance on the report of PricewaterhouseCoopers LLP, an independent registered public accounting firm, given on the authority of said firm as experts in auditing and accounting.</w:t>
      </w:r>
    </w:p>
    <w:p>
      <w:pPr>
        <w:spacing w:after="0" w:line="147" w:lineRule="exact"/>
        <w:rPr>
          <w:sz w:val="20"/>
          <w:szCs w:val="20"/>
          <w:color w:val="auto"/>
        </w:rPr>
      </w:pPr>
    </w:p>
    <w:p>
      <w:pPr>
        <w:ind w:right="560" w:firstLine="648"/>
        <w:spacing w:after="0" w:line="259" w:lineRule="auto"/>
        <w:rPr>
          <w:sz w:val="20"/>
          <w:szCs w:val="20"/>
          <w:color w:val="auto"/>
        </w:rPr>
      </w:pPr>
      <w:r>
        <w:rPr>
          <w:rFonts w:ascii="Arial" w:cs="Arial" w:eastAsia="Arial" w:hAnsi="Arial"/>
          <w:sz w:val="18"/>
          <w:szCs w:val="18"/>
          <w:color w:val="auto"/>
        </w:rPr>
        <w:t>The audited historical financial statements of Allegro Diagnostics Corp. included in Veracyte, Inc.’s Current Report on Form 8-K/A dated September 16, 2014 have been so incorporated in reliance on the report (which contains an explanatory paragraph relating to the Company’s ability to continue as a going concern as described in Note 1 to the financial statements) of PricewaterhouseCoopers LLP, independent accountants, given on the authority of said firm as experts in auditing and accounting.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We have filed a registration statement on Form S-3 with the SEC under the Securities Act. This prospectus is part of the registration statement but the registration statement includes and incorporates by reference additional information and exhibits. We file annual, quarterly and current reports, proxy statements and other information with the SEC. You may read and copy the registration statement and any other document we file with the SEC at the public reference room maintained by the SEC at 100 F Street, N.E., Washington, D.C. 20549. You may obtain information on the operation of the public reference room by calling the SEC at 1-800-SEC-0330. The SEC also maintains a web site that contains reports, proxy and information statements and other information regarding companies, such as ours, that file documents electronically with the SEC. The address of that site on the world wide web is http://www.sec.gov. The information on the SEC’s web site is not part of this prospectus, and any references to this web site or any other web site are inactive textual references only.</w:t>
      </w:r>
    </w:p>
    <w:p>
      <w:pPr>
        <w:spacing w:after="0" w:line="192" w:lineRule="exact"/>
        <w:rPr>
          <w:sz w:val="20"/>
          <w:szCs w:val="20"/>
          <w:color w:val="auto"/>
        </w:rPr>
      </w:pPr>
    </w:p>
    <w:p>
      <w:pPr>
        <w:ind w:right="180" w:firstLine="648"/>
        <w:spacing w:after="0" w:line="255"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Later information that we file with the SEC will automatically update and supersede the information that is either contained, or incorporated by reference, in this prospectus, and will be considered to be a part of this prospectus from the date those documents are filed. We have filed with the SEC, and incorporate by reference in this prospectus:</w:t>
      </w:r>
    </w:p>
    <w:p>
      <w:pPr>
        <w:spacing w:after="0" w:line="193" w:lineRule="exact"/>
        <w:rPr>
          <w:sz w:val="20"/>
          <w:szCs w:val="20"/>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2014;</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Quarterly Report on Form 10-Q for the quarter ended March 31, 2015;</w:t>
      </w:r>
    </w:p>
    <w:p>
      <w:pPr>
        <w:spacing w:after="0" w:line="225" w:lineRule="exact"/>
        <w:rPr>
          <w:rFonts w:ascii="Arial" w:cs="Arial" w:eastAsia="Arial" w:hAnsi="Arial"/>
          <w:sz w:val="18"/>
          <w:szCs w:val="18"/>
          <w:color w:val="auto"/>
        </w:rPr>
      </w:pPr>
    </w:p>
    <w:p>
      <w:pPr>
        <w:jc w:val="both"/>
        <w:ind w:left="1040" w:right="520" w:hanging="384"/>
        <w:spacing w:after="0" w:line="342" w:lineRule="auto"/>
        <w:tabs>
          <w:tab w:leader="none" w:pos="1007"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Current Reports on Form 8-K filed with the SEC on September 14, 2014 (as amended on November 6, 2014, December 10, 2014 and May 21, 2015), January 12, 2015, March 5, 2015, March 13, 2015, March 31, 2015, April 7, 2015, April 24, 2015 and May 1, 2015; and</w:t>
      </w:r>
    </w:p>
    <w:p>
      <w:pPr>
        <w:sectPr>
          <w:pgSz w:w="11900" w:h="16838" w:orient="portrait"/>
          <w:cols w:equalWidth="0" w:num="1">
            <w:col w:w="11420"/>
          </w:cols>
          <w:pgMar w:left="240" w:top="368" w:right="239" w:bottom="0" w:gutter="0" w:footer="0" w:header="0"/>
        </w:sectPr>
      </w:pPr>
    </w:p>
    <w:bookmarkStart w:id="5" w:name="page6"/>
    <w:bookmarkEnd w:id="5"/>
    <w:p>
      <w:pPr>
        <w:ind w:left="1040" w:right="20" w:hanging="384"/>
        <w:spacing w:after="0" w:line="277" w:lineRule="auto"/>
        <w:tabs>
          <w:tab w:leader="none" w:pos="1007"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We also incorporate by reference all additional documents that we file with the SEC under the terms of Section 13(a), 13(c), 14 or 15(d) of the Exchange Act that are made after the initial filing date of the registration statement of which this prospectus is a part and the effectiveness of the registration statement, as well as between the date of this prospectus and the termination of any offering of securities offered by this prospectus. We are not, however, incorporating, in each case, any documents or information that we are deemed to furnish and not file in accordance with SEC rules.</w:t>
      </w:r>
    </w:p>
    <w:p>
      <w:pPr>
        <w:spacing w:after="0" w:line="171" w:lineRule="exact"/>
        <w:rPr>
          <w:sz w:val="20"/>
          <w:szCs w:val="20"/>
          <w:color w:val="auto"/>
        </w:rPr>
      </w:pPr>
    </w:p>
    <w:p>
      <w:pPr>
        <w:jc w:val="both"/>
        <w:ind w:right="260" w:firstLine="648"/>
        <w:spacing w:after="0" w:line="312" w:lineRule="auto"/>
        <w:rPr>
          <w:sz w:val="20"/>
          <w:szCs w:val="20"/>
          <w:color w:val="auto"/>
        </w:rPr>
      </w:pPr>
      <w:r>
        <w:rPr>
          <w:rFonts w:ascii="Arial" w:cs="Arial" w:eastAsia="Arial" w:hAnsi="Arial"/>
          <w:sz w:val="16"/>
          <w:szCs w:val="16"/>
          <w:color w:val="auto"/>
        </w:rPr>
        <w:t>You may request a copy of any or all of the documents incorporated by reference but not delivered with this prospectus, at no cost, by writing or telephoning us at the following address and number: Investor Relations, Veracyte, Inc., 7000 Shoreline Court, Suite 250, South San Francisco, California, 94080. We will not, however, send exhibits to those documents, unless the exhibits are specifically incorporated by reference in those documents.</w:t>
      </w:r>
    </w:p>
    <w:p>
      <w:pPr>
        <w:spacing w:after="0" w:line="1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5"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2019-12-08T18:18:03Z</dcterms:created>
  <dcterms:modified xsi:type="dcterms:W3CDTF">2019-12-08T18:18:03Z</dcterms:modified>
</cp:coreProperties>
</file>