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479425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616585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Report (Date of earliest event reported): February 25, 2020</w:t>
      </w:r>
    </w:p>
    <w:p>
      <w:pPr>
        <w:spacing w:after="0" w:line="255"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302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DELAWARE</w:t>
            </w:r>
          </w:p>
        </w:tc>
        <w:tc>
          <w:tcPr>
            <w:tcW w:w="372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48"/>
        </w:trPr>
        <w:tc>
          <w:tcPr>
            <w:tcW w:w="674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40" w:type="dxa"/>
            <w:vAlign w:val="bottom"/>
          </w:tcPr>
          <w:p>
            <w:pPr>
              <w:jc w:val="right"/>
              <w:ind w:right="690"/>
              <w:spacing w:after="0"/>
              <w:rPr>
                <w:sz w:val="20"/>
                <w:szCs w:val="20"/>
                <w:color w:val="auto"/>
              </w:rPr>
            </w:pPr>
            <w:r>
              <w:rPr>
                <w:rFonts w:ascii="Arial" w:cs="Arial" w:eastAsia="Arial" w:hAnsi="Arial"/>
                <w:sz w:val="18"/>
                <w:szCs w:val="18"/>
                <w:b w:val="1"/>
                <w:bCs w:val="1"/>
                <w:color w:val="auto"/>
              </w:rPr>
              <w:t>94080</w:t>
            </w:r>
          </w:p>
        </w:tc>
      </w:tr>
      <w:tr>
        <w:trPr>
          <w:trHeight w:val="297"/>
        </w:trPr>
        <w:tc>
          <w:tcPr>
            <w:tcW w:w="6740" w:type="dxa"/>
            <w:vAlign w:val="bottom"/>
            <w:gridSpan w:val="2"/>
          </w:tcPr>
          <w:p>
            <w:pPr>
              <w:jc w:val="center"/>
              <w:ind w:right="151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3" w:lineRule="exact"/>
        <w:rPr>
          <w:sz w:val="24"/>
          <w:szCs w:val="24"/>
          <w:color w:val="auto"/>
        </w:rPr>
      </w:pPr>
    </w:p>
    <w:p>
      <w:pPr>
        <w:ind w:left="140" w:right="40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720" w:hanging="631"/>
        <w:spacing w:after="0"/>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45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ind w:left="80"/>
              <w:spacing w:after="0"/>
              <w:rPr>
                <w:sz w:val="20"/>
                <w:szCs w:val="20"/>
                <w:color w:val="auto"/>
              </w:rPr>
            </w:pPr>
            <w:r>
              <w:rPr>
                <w:rFonts w:ascii="Arial" w:cs="Arial" w:eastAsia="Arial" w:hAnsi="Arial"/>
                <w:sz w:val="18"/>
                <w:szCs w:val="18"/>
                <w:b w:val="1"/>
                <w:bCs w:val="1"/>
                <w:color w:val="auto"/>
              </w:rPr>
              <w:t>Trading Symbols (s)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60" w:type="dxa"/>
            <w:vAlign w:val="bottom"/>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60" w:type="dxa"/>
            <w:vAlign w:val="bottom"/>
          </w:tcPr>
          <w:p>
            <w:pPr>
              <w:spacing w:after="0"/>
              <w:rPr>
                <w:sz w:val="20"/>
                <w:szCs w:val="20"/>
                <w:color w:val="auto"/>
              </w:rPr>
            </w:pPr>
          </w:p>
        </w:tc>
        <w:tc>
          <w:tcPr>
            <w:tcW w:w="45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Common Stock, par value, $0.001 per share</w:t>
            </w:r>
          </w:p>
        </w:tc>
        <w:tc>
          <w:tcPr>
            <w:tcW w:w="2220" w:type="dxa"/>
            <w:vAlign w:val="bottom"/>
            <w:gridSpan w:val="2"/>
          </w:tcPr>
          <w:p>
            <w:pPr>
              <w:ind w:left="840"/>
              <w:spacing w:after="0"/>
              <w:rPr>
                <w:sz w:val="20"/>
                <w:szCs w:val="20"/>
                <w:color w:val="auto"/>
              </w:rPr>
            </w:pPr>
            <w:r>
              <w:rPr>
                <w:rFonts w:ascii="Arial" w:cs="Arial" w:eastAsia="Arial" w:hAnsi="Arial"/>
                <w:sz w:val="18"/>
                <w:szCs w:val="18"/>
                <w:color w:val="auto"/>
              </w:rPr>
              <w:t>VCYT</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18" w:lineRule="exact"/>
        <w:rPr>
          <w:sz w:val="24"/>
          <w:szCs w:val="24"/>
          <w:color w:val="auto"/>
        </w:rPr>
      </w:pPr>
    </w:p>
    <w:p>
      <w:pPr>
        <w:ind w:left="160"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62" w:lineRule="exact"/>
        <w:rPr>
          <w:sz w:val="24"/>
          <w:szCs w:val="24"/>
          <w:color w:val="auto"/>
        </w:rPr>
      </w:pPr>
    </w:p>
    <w:p>
      <w:pPr>
        <w:ind w:left="1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7"/>
          <w:szCs w:val="17"/>
          <w:color w:val="auto"/>
        </w:rPr>
        <w:t>o</w:t>
      </w:r>
    </w:p>
    <w:p>
      <w:pPr>
        <w:spacing w:after="0" w:line="117" w:lineRule="exact"/>
        <w:rPr>
          <w:sz w:val="24"/>
          <w:szCs w:val="24"/>
          <w:color w:val="auto"/>
        </w:rPr>
      </w:pPr>
    </w:p>
    <w:p>
      <w:pPr>
        <w:ind w:left="160" w:right="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335915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328"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25, 2020, Veracyte, Inc. issued a press release announcing its financial results for the quarter and year ended December 31, 2019.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Exhibit No.</w:t>
            </w:r>
          </w:p>
        </w:tc>
        <w:tc>
          <w:tcPr>
            <w:tcW w:w="9840" w:type="dxa"/>
            <w:vAlign w:val="bottom"/>
            <w:gridSpan w:val="2"/>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5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r>
      <w:tr>
        <w:trPr>
          <w:trHeight w:val="493"/>
        </w:trPr>
        <w:tc>
          <w:tcPr>
            <w:tcW w:w="1580" w:type="dxa"/>
            <w:vAlign w:val="bottom"/>
          </w:tcPr>
          <w:p>
            <w:pPr>
              <w:jc w:val="right"/>
              <w:ind w:right="630"/>
              <w:spacing w:after="0"/>
              <w:rPr>
                <w:sz w:val="20"/>
                <w:szCs w:val="20"/>
                <w:color w:val="auto"/>
              </w:rPr>
            </w:pPr>
            <w:r>
              <w:rPr>
                <w:rFonts w:ascii="Arial" w:cs="Arial" w:eastAsia="Arial" w:hAnsi="Arial"/>
                <w:sz w:val="18"/>
                <w:szCs w:val="18"/>
                <w:color w:val="auto"/>
              </w:rPr>
              <w:t>99.1</w:t>
            </w:r>
          </w:p>
        </w:tc>
        <w:tc>
          <w:tcPr>
            <w:tcW w:w="984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by Veracyte, Inc. dated February 25, 2020.</w:t>
              </w:r>
            </w:hyperlink>
          </w:p>
        </w:tc>
      </w:tr>
      <w:tr>
        <w:trPr>
          <w:trHeight w:val="20"/>
        </w:trPr>
        <w:tc>
          <w:tcPr>
            <w:tcW w:w="158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ectPr>
          <w:pgSz w:w="11900" w:h="16838" w:orient="portrait"/>
          <w:cols w:equalWidth="0" w:num="1">
            <w:col w:w="11420"/>
          </w:cols>
          <w:pgMar w:left="240" w:top="553"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25, 2020</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53"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143510</wp:posOffset>
            </wp:positionV>
            <wp:extent cx="1166495" cy="87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Fourth Quarter and Full-Year 2019 Financial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Provides 2020 Financial Outlook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2019 Total Revenue Grew 31% to $120.4 Million; Genomic Test Volume Grew 25% to 39,612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Achieved Fourth Quarter 2019 Positive Cash Flow from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Acquisition Positions Company for Global Expansion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5:00 p.m. ET</w:t>
      </w:r>
    </w:p>
    <w:p>
      <w:pPr>
        <w:spacing w:after="0" w:line="200" w:lineRule="exact"/>
        <w:rPr>
          <w:sz w:val="20"/>
          <w:szCs w:val="20"/>
          <w:color w:val="auto"/>
        </w:rPr>
      </w:pPr>
    </w:p>
    <w:p>
      <w:pPr>
        <w:spacing w:after="0" w:line="25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SOUTH SAN FRANCISCO, Calif., February 25, 2020 --- Veracyte, Inc., (Nasdaq: VCYT) today announced financial results and business progress for the quarter and full year ended December 31, 2019, and provided financial guidance for 2020.</w:t>
      </w:r>
    </w:p>
    <w:p>
      <w:pPr>
        <w:spacing w:after="0" w:line="196"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“Veracyte experienced a transformational year in 2019 as we successfully drove strong revenue and volume growth across our products, secured strategic biopharmaceutical collaborations, advanced our pipeline - specifically, our nasal swab test for early lung cancer detection - and positioned the company to become a global leader in advanced genomic diagnostics on a world-class instrumentation platform,” said Bonnie H. Anderson, chairman and chief executive officer of Veracyte. “We also achieved cashflow breakeven status for the fourth quarter of 2019, underscoring our focus on driving business growth, while maintaining financial discipline. We expect 2020 to be a big year for the company as we grow our business, advance our pipeline and leverage the opportunity to expand our global footprint.”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2019 Financial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December 31, 2019, compared to the prior year:</w:t>
      </w:r>
    </w:p>
    <w:p>
      <w:pPr>
        <w:spacing w:after="0" w:line="2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$29.7 million, an increase of 15%;</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66%, unchanged;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$27.8 million, an increase of 38%;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($7.5) million, an increase of 140%;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($0.15), an increase of 88%;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was $1.8 million, compared to $1.2 million used;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$159.3 million at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compared to the prior year:</w:t>
      </w:r>
    </w:p>
    <w:p>
      <w:pPr>
        <w:spacing w:after="0" w:line="2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$120.4 million, an increase of 31%;</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70%, an increase of six percentage points;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$99.0 million, an increase of 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($12.6) million, an improvement of 45%;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($0.27), an improvement of 56%;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$3.2 million, an improvement of 76%.</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Full-Year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ectPr>
          <w:pgSz w:w="11900" w:h="16838" w:orient="portrait"/>
          <w:cols w:equalWidth="0" w:num="1">
            <w:col w:w="11420"/>
          </w:cols>
          <w:pgMar w:left="240" w:top="571" w:right="239" w:bottom="1440" w:gutter="0" w:footer="0" w:header="0"/>
        </w:sectPr>
      </w:pPr>
    </w:p>
    <w:bookmarkStart w:id="4" w:name="page5"/>
    <w:bookmarkEnd w:id="4"/>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strong revenue growth across our testing and product portfolio delivering $29.5 million in the fourth quarter and $108.3 million for 2019, an increase of 16% and 19%, respectively, compared to the prior year.</w:t>
      </w:r>
    </w:p>
    <w:p>
      <w:pPr>
        <w:ind w:left="660" w:right="1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pulmonology testing revenue to $2.0 million and $5.5 million for the fourth quarter and full year, respectively, a 123% and 174% increase compared to prior year.</w:t>
      </w: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total genomic volume (Afirma, Percepta and Envisia) by 18% to 10,846 tests in the fourth quarter of 2019 and by 25% to 39,612 tests in 2019, compared to prior year.</w:t>
      </w: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genomic volume for our pulmonology products by 136% in 2019 compared to prior year, achieving growth targets for both the Percepta and Envisia classifiers.</w:t>
      </w: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Received final Medicare coverage in March 2019 for the Envisia classifier and published strong clinical validation and clinical utility data in </w:t>
      </w:r>
      <w:r>
        <w:rPr>
          <w:rFonts w:ascii="Arial" w:cs="Arial" w:eastAsia="Arial" w:hAnsi="Arial"/>
          <w:sz w:val="18"/>
          <w:szCs w:val="18"/>
          <w:i w:val="1"/>
          <w:iCs w:val="1"/>
          <w:color w:val="auto"/>
        </w:rPr>
        <w:t>The Lancet Respiratory Medicine</w:t>
      </w:r>
      <w:r>
        <w:rPr>
          <w:rFonts w:ascii="Arial" w:cs="Arial" w:eastAsia="Arial" w:hAnsi="Arial"/>
          <w:sz w:val="18"/>
          <w:szCs w:val="18"/>
          <w:color w:val="auto"/>
        </w:rPr>
        <w:t>, propelling nationwide commercial expansion of the test in the second half of 2019.</w:t>
      </w:r>
    </w:p>
    <w:p>
      <w:pPr>
        <w:ind w:left="660" w:right="2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payer contracts by 14.4 million lives, making Veracyte an in-network genomic testing provider to health plans representing over 225 million members.</w:t>
      </w:r>
    </w:p>
    <w:p>
      <w:pPr>
        <w:ind w:left="660" w:right="40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to build an extensive library of clinical data across our portfolio in 2019, including 8 publications and 11 presentations at leading medical meetings, demonstrating our Afirma and pulmonology tests’ performance and clinical utility.</w:t>
      </w:r>
    </w:p>
    <w:p>
      <w:pPr>
        <w:ind w:left="660" w:right="40" w:hanging="328"/>
        <w:spacing w:after="0" w:line="24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Eleven abstracts were presented at the San Antonio Breast Cancer Symposium in December 2019, including data showing a benefit of Prosigna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over other genomic testing to identify patients’ long-term risk of developing distant metastases. In addition, data were presented showing the test’s ability to identify patients with intrinsic breast cancer subtypes that may potentially benefit from CDK4/6 inhibitors in place of standard chemotherapy.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Biopharmaceutical Collaborations/Pipeline Advancement:</w:t>
      </w:r>
    </w:p>
    <w:p>
      <w:pPr>
        <w:spacing w:after="0" w:line="243" w:lineRule="exact"/>
        <w:rPr>
          <w:sz w:val="20"/>
          <w:szCs w:val="20"/>
          <w:color w:val="auto"/>
        </w:rPr>
      </w:pPr>
    </w:p>
    <w:p>
      <w:pPr>
        <w:ind w:left="660" w:right="1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January 2019, announced a long-term strategic collaboration with Johnson &amp; Johnson Innovation LLC to advance the development and commercialization of novel diagnostic tests to detect lung cancer at its earliest stages, when the disease is most treatable.</w:t>
      </w:r>
    </w:p>
    <w:p>
      <w:pPr>
        <w:jc w:val="both"/>
        <w:ind w:left="660" w:right="2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Presented preliminary data at the American College of Chest Physicians (CHEST) annual meeting for our first-of-its-kind noninvasive nasal swab classifier for improved lung cancer diagnosis. The test, being developed through our Johnson &amp; Johnson collaboration, is expected to launch in early 2021.</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the second-generation Percepta GSC, completing the transition of our core classifiers to our RNA whole-transcriptome sequencing platform.</w:t>
      </w:r>
    </w:p>
    <w:p>
      <w:pPr>
        <w:ind w:left="660" w:right="280" w:hanging="328"/>
        <w:spacing w:after="0" w:line="29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Announced a multi-year collaboration with Acerta Pharma, the hematology research and development arm of AstraZeneca plc, to provide genomic information that will support the biopharmaceutical company’s development of oncology therapeutics in lymphoma.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Expansion:</w:t>
      </w:r>
    </w:p>
    <w:p>
      <w:pPr>
        <w:spacing w:after="0" w:line="243" w:lineRule="exact"/>
        <w:rPr>
          <w:sz w:val="20"/>
          <w:szCs w:val="20"/>
          <w:color w:val="auto"/>
        </w:rPr>
      </w:pPr>
    </w:p>
    <w:p>
      <w:pPr>
        <w:ind w:left="660" w:right="18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the exclusive global diagnostic rights to the NanoString nCounter FLEX Analysis System, as well as the Prosigna breast cancer assay and the in-development LymphMark lymphoma subtyping test. We believe this transaction positions us to access a $40 billion global market for our current and pipeline products, by offering a broad menu of advanced genomic tests in oncology and other indications using a distributed-kit model.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Outlook</w:t>
      </w:r>
    </w:p>
    <w:p>
      <w:pPr>
        <w:spacing w:after="0" w:line="24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Veracyte is guiding to full-year 2020 total revenue in the range of $138 million to $142 million and net cash used in operating activities in the range of $8 million to $12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4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Veracyte will host a conference call and webcast today at 5:00 p.m. Eastern Time to discuss the company’s financial results and provide a general business update. The conference call will be webcast live from the company’s website and will be available via the following link: https://edge.media-server.com/mmc/p/8zm4rsd5. The webcast should be accessed 10 minutes prior to the conference call start time. A replay of the webcast will be available for one year following the conclusion of the live broadcast and will be accessible on the company’s website at https://investor.veracyte.com/events-presentations approximately two hours following the completion of the call.</w:t>
      </w:r>
    </w:p>
    <w:p>
      <w:pPr>
        <w:sectPr>
          <w:pgSz w:w="11900" w:h="16838" w:orient="portrait"/>
          <w:cols w:equalWidth="0" w:num="1">
            <w:col w:w="11420"/>
          </w:cols>
          <w:pgMar w:left="240" w:top="78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7"/>
        </w:trPr>
        <w:tc>
          <w:tcPr>
            <w:tcW w:w="658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300" w:type="dxa"/>
            <w:vAlign w:val="bottom"/>
          </w:tcPr>
          <w:p>
            <w:pPr>
              <w:spacing w:after="0"/>
              <w:rPr>
                <w:sz w:val="18"/>
                <w:szCs w:val="18"/>
                <w:color w:val="auto"/>
              </w:rPr>
            </w:pPr>
          </w:p>
        </w:tc>
      </w:tr>
      <w:tr>
        <w:trPr>
          <w:trHeight w:val="594"/>
        </w:trPr>
        <w:tc>
          <w:tcPr>
            <w:tcW w:w="6580" w:type="dxa"/>
            <w:vAlign w:val="bottom"/>
          </w:tcPr>
          <w:p>
            <w:pPr>
              <w:ind w:left="1600"/>
              <w:spacing w:after="0"/>
              <w:rPr>
                <w:sz w:val="20"/>
                <w:szCs w:val="20"/>
                <w:color w:val="auto"/>
              </w:rPr>
            </w:pPr>
            <w:r>
              <w:rPr>
                <w:rFonts w:ascii="Arial" w:cs="Arial" w:eastAsia="Arial" w:hAnsi="Arial"/>
                <w:sz w:val="18"/>
                <w:szCs w:val="18"/>
                <w:color w:val="auto"/>
              </w:rPr>
              <w:t>U.S./Canada participant dial-in number (toll-free):</w:t>
            </w:r>
          </w:p>
        </w:tc>
        <w:tc>
          <w:tcPr>
            <w:tcW w:w="2300" w:type="dxa"/>
            <w:vAlign w:val="bottom"/>
          </w:tcPr>
          <w:p>
            <w:pPr>
              <w:ind w:left="1080"/>
              <w:spacing w:after="0"/>
              <w:rPr>
                <w:sz w:val="20"/>
                <w:szCs w:val="20"/>
                <w:color w:val="auto"/>
              </w:rPr>
            </w:pPr>
            <w:r>
              <w:rPr>
                <w:rFonts w:ascii="Arial" w:cs="Arial" w:eastAsia="Arial" w:hAnsi="Arial"/>
                <w:sz w:val="18"/>
                <w:szCs w:val="18"/>
                <w:color w:val="auto"/>
                <w:w w:val="97"/>
              </w:rPr>
              <w:t>(855) 541-0980</w:t>
            </w:r>
          </w:p>
        </w:tc>
      </w:tr>
      <w:tr>
        <w:trPr>
          <w:trHeight w:val="257"/>
        </w:trPr>
        <w:tc>
          <w:tcPr>
            <w:tcW w:w="6580" w:type="dxa"/>
            <w:vAlign w:val="bottom"/>
          </w:tcPr>
          <w:p>
            <w:pPr>
              <w:ind w:left="1600"/>
              <w:spacing w:after="0"/>
              <w:rPr>
                <w:sz w:val="20"/>
                <w:szCs w:val="20"/>
                <w:color w:val="auto"/>
              </w:rPr>
            </w:pPr>
            <w:r>
              <w:rPr>
                <w:rFonts w:ascii="Arial" w:cs="Arial" w:eastAsia="Arial" w:hAnsi="Arial"/>
                <w:sz w:val="18"/>
                <w:szCs w:val="18"/>
                <w:color w:val="auto"/>
              </w:rPr>
              <w:t>International participant dial-in number:</w:t>
            </w:r>
          </w:p>
        </w:tc>
        <w:tc>
          <w:tcPr>
            <w:tcW w:w="2300" w:type="dxa"/>
            <w:vAlign w:val="bottom"/>
          </w:tcPr>
          <w:p>
            <w:pPr>
              <w:ind w:left="1080"/>
              <w:spacing w:after="0"/>
              <w:rPr>
                <w:sz w:val="20"/>
                <w:szCs w:val="20"/>
                <w:color w:val="auto"/>
              </w:rPr>
            </w:pPr>
            <w:r>
              <w:rPr>
                <w:rFonts w:ascii="Arial" w:cs="Arial" w:eastAsia="Arial" w:hAnsi="Arial"/>
                <w:sz w:val="18"/>
                <w:szCs w:val="18"/>
                <w:color w:val="auto"/>
                <w:w w:val="97"/>
              </w:rPr>
              <w:t>(970) 315-0440</w:t>
            </w:r>
          </w:p>
        </w:tc>
      </w:tr>
      <w:tr>
        <w:trPr>
          <w:trHeight w:val="257"/>
        </w:trPr>
        <w:tc>
          <w:tcPr>
            <w:tcW w:w="6580" w:type="dxa"/>
            <w:vAlign w:val="bottom"/>
          </w:tcPr>
          <w:p>
            <w:pPr>
              <w:ind w:left="1600"/>
              <w:spacing w:after="0"/>
              <w:rPr>
                <w:sz w:val="20"/>
                <w:szCs w:val="20"/>
                <w:color w:val="auto"/>
              </w:rPr>
            </w:pPr>
            <w:r>
              <w:rPr>
                <w:rFonts w:ascii="Arial" w:cs="Arial" w:eastAsia="Arial" w:hAnsi="Arial"/>
                <w:sz w:val="18"/>
                <w:szCs w:val="18"/>
                <w:color w:val="auto"/>
              </w:rPr>
              <w:t>Conference I.D.:</w:t>
            </w:r>
          </w:p>
        </w:tc>
        <w:tc>
          <w:tcPr>
            <w:tcW w:w="2300" w:type="dxa"/>
            <w:vAlign w:val="bottom"/>
          </w:tcPr>
          <w:p>
            <w:pPr>
              <w:ind w:left="1080"/>
              <w:spacing w:after="0"/>
              <w:rPr>
                <w:sz w:val="20"/>
                <w:szCs w:val="20"/>
                <w:color w:val="auto"/>
              </w:rPr>
            </w:pPr>
            <w:r>
              <w:rPr>
                <w:rFonts w:ascii="Arial" w:cs="Arial" w:eastAsia="Arial" w:hAnsi="Arial"/>
                <w:sz w:val="18"/>
                <w:szCs w:val="18"/>
                <w:color w:val="auto"/>
              </w:rPr>
              <w:t>1184223</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Veracyte (Nasdaq: VCYT) is a leading genomic diagnostics company that improves patient care by providing answers to clinical questions that inform diagnosis and treatment decisions without the need for costly, risky surgeries that are often unnecessary. The company's core products are uniquely developed with RNA whole-transcriptome sequencing and machine learning to deliver results that give patients and physicians a clear path forward. Since its founding in 2008, Veracyte has commercialized seven genomic tests and is transforming the diagnosis of thyroid cancer, lung cancer and idiopathic pulmonary fibrosis. In December 2019, Veracyte acquired the exclusive global diagnostic rights to the nCounter platform from NanoString Technologies, Inc., through which it plans to make its genomic tests available to physicians and their patients worldwide. These include commercial and in-development tests in breast cancer and lymphoma, respectively, which Veracyte also acquired through the transaction. Veracyte is based in South San Francisco, California. For more information, please visit www.veracyte.com and follow the company on Twitter (@veracyte).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regarding Veracyte’s expectations regarding full-year 2020 total revenue and net cash used in operating activities, the expected impacts of the acquisition from NanoString on Veracyte, including its ability to expand its platform globally, its ability to increase the efficiency of its advanced genomic testing, and its plans to transfer its current and pipeline genomic tests onto the nCounter system; Veracyte’s ability to advance the development and commercialization of novel diagnostic tests under the collaboration with Johnson &amp; Johnson; the ability of Veracyte to achieve the expected benefits from the Acerta collaboration; and its ability to potentially inform diagnosis and treatment decisions in new oncology indications. Forward-looking statements are neither historical facts nor assurances of future performance, but are based only on our current beliefs, expectations and assumptions. These statements involve risks and uncertainties, which could cause actual results to differ materially from our predictions, and include, but are not limited to: Veracyte’s ability to achieve and maintain Medicare coverage for its tests; the benefits of our tests and the applicability of clinical results to actual outcomes; the laws and regulations applicable to Veracyte’s business, including potential regulation by the Food and Drug Administration or other regulatory bodies; Veracyte’s ability to successfully achieve and maintain adoption of and reimbursement for its products; the amount by which use of Veracyte’s products are able to reduce invasive procedures and misdiagnosis, and reduce healthcare costs; the occurrence and outcomes of clinical studies; and other risks set forth in Veracyte’s filings with the Securities and Exchange Commission, including the risks set forth in its annual report on Form 10-K for the year ended December 31, 2019.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Veracyte, Afirma, Percepta, Envisia, Prosigna, LymphMark, and the Veracyte logo are trademarks of Veracyte, Inc. Other trademarks are the property of their respective owners.</w:t>
      </w:r>
    </w:p>
    <w:p>
      <w:pPr>
        <w:sectPr>
          <w:pgSz w:w="11900" w:h="16838" w:orient="portrait"/>
          <w:cols w:equalWidth="0" w:num="1">
            <w:col w:w="11380"/>
          </w:cols>
          <w:pgMar w:left="240" w:top="571" w:right="27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CONDENSED STATEMENTS OF OPERATIONS AND COMPREHENSIVE LOSS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5"/>
          </w:tcPr>
          <w:p>
            <w:pPr>
              <w:spacing w:after="0"/>
              <w:rPr>
                <w:sz w:val="20"/>
                <w:szCs w:val="20"/>
                <w:color w:val="auto"/>
              </w:rPr>
            </w:pPr>
            <w:r>
              <w:rPr>
                <w:rFonts w:ascii="Arial" w:cs="Arial" w:eastAsia="Arial" w:hAnsi="Arial"/>
                <w:sz w:val="18"/>
                <w:szCs w:val="18"/>
                <w:color w:val="auto"/>
              </w:rPr>
              <w:t>Three Months Ended December</w:t>
            </w:r>
          </w:p>
        </w:tc>
        <w:tc>
          <w:tcPr>
            <w:tcW w:w="2820" w:type="dxa"/>
            <w:vAlign w:val="bottom"/>
            <w:gridSpan w:val="5"/>
          </w:tcPr>
          <w:p>
            <w:pPr>
              <w:jc w:val="right"/>
              <w:spacing w:after="0"/>
              <w:rPr>
                <w:sz w:val="20"/>
                <w:szCs w:val="20"/>
                <w:color w:val="auto"/>
              </w:rPr>
            </w:pPr>
            <w:r>
              <w:rPr>
                <w:rFonts w:ascii="Arial" w:cs="Arial" w:eastAsia="Arial" w:hAnsi="Arial"/>
                <w:sz w:val="18"/>
                <w:szCs w:val="18"/>
                <w:color w:val="auto"/>
              </w:rPr>
              <w:t>Twelve Months Ended December</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Testing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28.557</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107,355</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91,058</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Product revenue</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Biopharmaceutical revenue</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7"/>
        </w:trPr>
        <w:tc>
          <w:tcPr>
            <w:tcW w:w="534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34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29,730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25,750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120,368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92,008</w:t>
            </w:r>
          </w:p>
        </w:tc>
        <w:tc>
          <w:tcPr>
            <w:tcW w:w="0" w:type="dxa"/>
            <w:vAlign w:val="bottom"/>
          </w:tcPr>
          <w:p>
            <w:pPr>
              <w:spacing w:after="0"/>
              <w:rPr>
                <w:sz w:val="1"/>
                <w:szCs w:val="1"/>
                <w:color w:val="auto"/>
              </w:rPr>
            </w:pPr>
          </w:p>
        </w:tc>
      </w:tr>
      <w:tr>
        <w:trPr>
          <w:trHeight w:val="527"/>
        </w:trPr>
        <w:tc>
          <w:tcPr>
            <w:tcW w:w="53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Cost of testing revenue</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33,078</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Cost of product revenue</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14,820</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53,691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41,313</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8,581.00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6,645.00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29,029.00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23,963.00</w:t>
            </w:r>
          </w:p>
        </w:tc>
        <w:tc>
          <w:tcPr>
            <w:tcW w:w="0" w:type="dxa"/>
            <w:vAlign w:val="bottom"/>
          </w:tcPr>
          <w:p>
            <w:pPr>
              <w:spacing w:after="0"/>
              <w:rPr>
                <w:sz w:val="1"/>
                <w:szCs w:val="1"/>
                <w:color w:val="auto"/>
              </w:rPr>
            </w:pPr>
          </w:p>
        </w:tc>
      </w:tr>
      <w:tr>
        <w:trPr>
          <w:trHeight w:val="277"/>
        </w:trPr>
        <w:tc>
          <w:tcPr>
            <w:tcW w:w="53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0"/>
        </w:trPr>
        <w:tc>
          <w:tcPr>
            <w:tcW w:w="53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37,927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28,807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135,495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114,241</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(22,233)</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w:t>
            </w: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49,095,703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40,731,334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46,138,177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37,020,246</w:t>
            </w: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440" w:top="733" w:right="399" w:bottom="1440" w:gutter="0" w:footer="0" w:header="0"/>
        </w:sectPr>
      </w:pPr>
    </w:p>
    <w:bookmarkStart w:id="7" w:name="page8"/>
    <w:bookmarkEnd w:id="7"/>
    <w:p>
      <w:pPr>
        <w:jc w:val="center"/>
        <w:ind w:right="37"/>
        <w:spacing w:after="0"/>
        <w:rPr>
          <w:sz w:val="20"/>
          <w:szCs w:val="20"/>
          <w:color w:val="auto"/>
        </w:rPr>
      </w:pPr>
      <w:r>
        <w:rPr>
          <w:rFonts w:ascii="Arial" w:cs="Arial" w:eastAsia="Arial" w:hAnsi="Arial"/>
          <w:sz w:val="18"/>
          <w:szCs w:val="18"/>
          <w:color w:val="auto"/>
        </w:rPr>
        <w:t>VERACYTE, INC.</w:t>
      </w:r>
    </w:p>
    <w:p>
      <w:pPr>
        <w:spacing w:after="0" w:line="50" w:lineRule="exact"/>
        <w:rPr>
          <w:sz w:val="20"/>
          <w:szCs w:val="20"/>
          <w:color w:val="auto"/>
        </w:rPr>
      </w:pPr>
    </w:p>
    <w:p>
      <w:pPr>
        <w:jc w:val="center"/>
        <w:ind w:right="37"/>
        <w:spacing w:after="0"/>
        <w:rPr>
          <w:sz w:val="20"/>
          <w:szCs w:val="20"/>
          <w:color w:val="auto"/>
        </w:rPr>
      </w:pPr>
      <w:r>
        <w:rPr>
          <w:rFonts w:ascii="Arial" w:cs="Arial" w:eastAsia="Arial" w:hAnsi="Arial"/>
          <w:sz w:val="18"/>
          <w:szCs w:val="18"/>
          <w:color w:val="auto"/>
        </w:rPr>
        <w:t>CONSOLIDATED CONDENSED BALANCE SHEETS</w:t>
      </w:r>
    </w:p>
    <w:p>
      <w:pPr>
        <w:spacing w:after="0" w:line="50" w:lineRule="exact"/>
        <w:rPr>
          <w:sz w:val="20"/>
          <w:szCs w:val="20"/>
          <w:color w:val="auto"/>
        </w:rPr>
      </w:pPr>
    </w:p>
    <w:p>
      <w:pPr>
        <w:jc w:val="center"/>
        <w:ind w:right="37"/>
        <w:spacing w:after="0"/>
        <w:rPr>
          <w:sz w:val="20"/>
          <w:szCs w:val="20"/>
          <w:color w:val="auto"/>
        </w:rPr>
      </w:pPr>
      <w:r>
        <w:rPr>
          <w:rFonts w:ascii="Arial" w:cs="Arial" w:eastAsia="Arial" w:hAnsi="Arial"/>
          <w:sz w:val="18"/>
          <w:szCs w:val="18"/>
          <w:color w:val="auto"/>
        </w:rPr>
        <w:t>(In thousands)</w:t>
      </w: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December 31,</w:t>
            </w:r>
          </w:p>
        </w:tc>
        <w:tc>
          <w:tcPr>
            <w:tcW w:w="320" w:type="dxa"/>
            <w:vAlign w:val="bottom"/>
          </w:tcPr>
          <w:p>
            <w:pPr>
              <w:spacing w:after="0"/>
              <w:rPr>
                <w:sz w:val="18"/>
                <w:szCs w:val="18"/>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43"/>
        </w:trPr>
        <w:tc>
          <w:tcPr>
            <w:tcW w:w="6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(Unaudited)</w:t>
            </w:r>
          </w:p>
        </w:tc>
        <w:tc>
          <w:tcPr>
            <w:tcW w:w="320" w:type="dxa"/>
            <w:vAlign w:val="bottom"/>
          </w:tcPr>
          <w:p>
            <w:pPr>
              <w:spacing w:after="0"/>
              <w:rPr>
                <w:sz w:val="21"/>
                <w:szCs w:val="21"/>
                <w:color w:val="auto"/>
              </w:rPr>
            </w:pPr>
          </w:p>
        </w:tc>
        <w:tc>
          <w:tcPr>
            <w:tcW w:w="1820" w:type="dxa"/>
            <w:vAlign w:val="bottom"/>
          </w:tcPr>
          <w:p>
            <w:pPr>
              <w:jc w:val="center"/>
              <w:ind w:right="23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159,317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77,995</w:t>
            </w:r>
          </w:p>
        </w:tc>
        <w:tc>
          <w:tcPr>
            <w:tcW w:w="0" w:type="dxa"/>
            <w:vAlign w:val="bottom"/>
          </w:tcPr>
          <w:p>
            <w:pPr>
              <w:spacing w:after="0"/>
              <w:rPr>
                <w:sz w:val="1"/>
                <w:szCs w:val="1"/>
                <w:color w:val="auto"/>
              </w:rPr>
            </w:pPr>
          </w:p>
        </w:tc>
      </w:tr>
      <w:tr>
        <w:trPr>
          <w:trHeight w:val="270"/>
        </w:trPr>
        <w:tc>
          <w:tcPr>
            <w:tcW w:w="67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19,329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70"/>
        </w:trPr>
        <w:tc>
          <w:tcPr>
            <w:tcW w:w="6700" w:type="dxa"/>
            <w:vAlign w:val="bottom"/>
          </w:tcPr>
          <w:p>
            <w:pPr>
              <w:ind w:left="160"/>
              <w:spacing w:after="0"/>
              <w:rPr>
                <w:sz w:val="20"/>
                <w:szCs w:val="20"/>
                <w:color w:val="auto"/>
              </w:rPr>
            </w:pPr>
            <w:r>
              <w:rPr>
                <w:rFonts w:ascii="Arial" w:cs="Arial" w:eastAsia="Arial" w:hAnsi="Arial"/>
                <w:sz w:val="18"/>
                <w:szCs w:val="18"/>
                <w:color w:val="auto"/>
              </w:rPr>
              <w:t>Supplies</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77"/>
        </w:trPr>
        <w:tc>
          <w:tcPr>
            <w:tcW w:w="67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43"/>
        </w:trPr>
        <w:tc>
          <w:tcPr>
            <w:tcW w:w="67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187,687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96,952</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8,933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Right-of-use assets - operating lease</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65,019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275,212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0"/>
        </w:trPr>
        <w:tc>
          <w:tcPr>
            <w:tcW w:w="67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13,734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70"/>
        </w:trPr>
        <w:tc>
          <w:tcPr>
            <w:tcW w:w="67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3"/>
                <w:szCs w:val="23"/>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7"/>
        </w:trPr>
        <w:tc>
          <w:tcPr>
            <w:tcW w:w="670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17,469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320" w:type="dxa"/>
            <w:vAlign w:val="bottom"/>
          </w:tcPr>
          <w:p>
            <w:pPr>
              <w:spacing w:after="0"/>
              <w:rPr>
                <w:sz w:val="23"/>
                <w:szCs w:val="23"/>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8"/>
                <w:szCs w:val="18"/>
                <w:color w:val="auto"/>
              </w:rPr>
              <w:t>Acquisition related contingent consideration</w:t>
            </w: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35,757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40,883</w:t>
            </w: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239,455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79,755</w:t>
            </w: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275,212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 w:right="280" w:hanging="3"/>
        <w:spacing w:after="0" w:line="246" w:lineRule="auto"/>
        <w:tabs>
          <w:tab w:leader="none" w:pos="2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condensed balance sheet at December 31, 2018 has been derived from the audited financial statements at that date included in the Company's Form 10-K filed with the Securities and Exchange Commission dated February 25, 2019.</w:t>
      </w:r>
    </w:p>
    <w:p>
      <w:pPr>
        <w:sectPr>
          <w:pgSz w:w="11900" w:h="16838" w:orient="portrait"/>
          <w:cols w:equalWidth="0" w:num="1">
            <w:col w:w="11083"/>
          </w:cols>
          <w:pgMar w:left="457" w:top="733" w:right="3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CONDENSED STATEMENTS OF CASH FLOWS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of dollars)</w:t>
      </w:r>
    </w:p>
    <w:p>
      <w:pPr>
        <w:spacing w:after="0" w:line="261" w:lineRule="exact"/>
        <w:rPr>
          <w:sz w:val="20"/>
          <w:szCs w:val="20"/>
          <w:color w:val="auto"/>
        </w:rPr>
      </w:pPr>
    </w:p>
    <w:p>
      <w:pPr>
        <w:jc w:val="center"/>
        <w:ind w:left="6460"/>
        <w:spacing w:after="0"/>
        <w:rPr>
          <w:sz w:val="20"/>
          <w:szCs w:val="20"/>
          <w:color w:val="auto"/>
        </w:rPr>
      </w:pPr>
      <w:r>
        <w:rPr>
          <w:rFonts w:ascii="Arial" w:cs="Arial" w:eastAsia="Arial" w:hAnsi="Arial"/>
          <w:sz w:val="18"/>
          <w:szCs w:val="18"/>
          <w:color w:val="auto"/>
        </w:rPr>
        <w:t>Twelve Months Ended December</w:t>
      </w:r>
    </w:p>
    <w:p>
      <w:pPr>
        <w:jc w:val="center"/>
        <w:ind w:left="64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14605</wp:posOffset>
            </wp:positionV>
            <wp:extent cx="17151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(12,599)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(22,999)</w:t>
            </w: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3,920</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(Gain) loss on disposal of property and equipment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5,958</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Amortization and write-off of debt discount and issuance costs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Interest on end-of-term debt obligations and prepayment penalty</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312</w:t>
            </w: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Supplies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1,922</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Right-of-use assets - operating lease and operating lease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70"/>
        </w:trPr>
        <w:tc>
          <w:tcPr>
            <w:tcW w:w="64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77"/>
        </w:trPr>
        <w:tc>
          <w:tcPr>
            <w:tcW w:w="6400" w:type="dxa"/>
            <w:vAlign w:val="bottom"/>
          </w:tcPr>
          <w:p>
            <w:pPr>
              <w:ind w:left="160"/>
              <w:spacing w:after="0"/>
              <w:rPr>
                <w:sz w:val="20"/>
                <w:szCs w:val="20"/>
                <w:color w:val="auto"/>
              </w:rPr>
            </w:pPr>
            <w:r>
              <w:rPr>
                <w:rFonts w:ascii="Arial" w:cs="Arial" w:eastAsia="Arial" w:hAnsi="Arial"/>
                <w:sz w:val="18"/>
                <w:szCs w:val="18"/>
                <w:color w:val="auto"/>
              </w:rPr>
              <w:t>Accrued liabilities and deferred rent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(13,521)</w:t>
            </w: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Cash paid for acquisition</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277"/>
        </w:trPr>
        <w:tc>
          <w:tcPr>
            <w:tcW w:w="640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6400" w:type="dxa"/>
            <w:vAlign w:val="bottom"/>
          </w:tcPr>
          <w:p>
            <w:pPr>
              <w:spacing w:after="0"/>
              <w:rPr>
                <w:sz w:val="20"/>
                <w:szCs w:val="20"/>
                <w:color w:val="auto"/>
              </w:rPr>
            </w:pPr>
            <w:r>
              <w:rPr>
                <w:rFonts w:ascii="Arial" w:cs="Arial" w:eastAsia="Arial" w:hAnsi="Arial"/>
                <w:sz w:val="18"/>
                <w:szCs w:val="18"/>
                <w:color w:val="auto"/>
              </w:rPr>
              <w:t>issuance costs</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55,038</w:t>
            </w: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legal settlement regarding short-swing profits</w:t>
            </w:r>
          </w:p>
        </w:tc>
        <w:tc>
          <w:tcPr>
            <w:tcW w:w="28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financial lease liability</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purchases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14,647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4,350</w:t>
            </w: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127,287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59,499</w:t>
            </w:r>
          </w:p>
        </w:tc>
      </w:tr>
      <w:tr>
        <w:trPr>
          <w:trHeight w:val="243"/>
        </w:trPr>
        <w:tc>
          <w:tcPr>
            <w:tcW w:w="64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44,104</w:t>
            </w:r>
          </w:p>
        </w:tc>
      </w:tr>
      <w:tr>
        <w:trPr>
          <w:trHeight w:val="277"/>
        </w:trPr>
        <w:tc>
          <w:tcPr>
            <w:tcW w:w="64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78,598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159,920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78,598</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3280"/>
        <w:spacing w:after="0" w:line="246" w:lineRule="auto"/>
        <w:rPr>
          <w:sz w:val="20"/>
          <w:szCs w:val="20"/>
          <w:color w:val="auto"/>
        </w:rPr>
      </w:pPr>
      <w:r>
        <w:rPr>
          <w:rFonts w:ascii="Arial" w:cs="Arial" w:eastAsia="Arial" w:hAnsi="Arial"/>
          <w:sz w:val="18"/>
          <w:szCs w:val="18"/>
          <w:color w:val="auto"/>
        </w:rPr>
        <w:t>Supplementary cash flow information of non-cash investing and financing activities:</w:t>
      </w:r>
    </w:p>
    <w:p>
      <w:pPr>
        <w:sectPr>
          <w:pgSz w:w="11900" w:h="16838" w:orient="portrait"/>
          <w:cols w:equalWidth="0" w:num="1">
            <w:col w:w="9100"/>
          </w:cols>
          <w:pgMar w:left="1420" w:top="949" w:right="1379" w:bottom="1440" w:gutter="0" w:footer="0" w:header="0"/>
        </w:sectPr>
      </w:pPr>
    </w:p>
    <w:bookmarkStart w:id="9" w:name="page10"/>
    <w:bookmarkEnd w:id="9"/>
    <w:tbl>
      <w:tblPr>
        <w:tblLayout w:type="fixed"/>
        <w:tblInd w:w="40" w:type="dxa"/>
        <w:tblCellMar>
          <w:top w:w="0" w:type="dxa"/>
          <w:left w:w="0" w:type="dxa"/>
          <w:bottom w:w="0" w:type="dxa"/>
          <w:right w:w="0" w:type="dxa"/>
        </w:tblCellMar>
      </w:tblPr>
      <w:tr>
        <w:trPr>
          <w:trHeight w:val="207"/>
        </w:trPr>
        <w:tc>
          <w:tcPr>
            <w:tcW w:w="7600" w:type="dxa"/>
            <w:vAlign w:val="bottom"/>
          </w:tcPr>
          <w:p>
            <w:pPr>
              <w:ind w:left="1140"/>
              <w:spacing w:after="0"/>
              <w:rPr>
                <w:sz w:val="20"/>
                <w:szCs w:val="20"/>
                <w:color w:val="auto"/>
              </w:rPr>
            </w:pPr>
            <w:r>
              <w:rPr>
                <w:rFonts w:ascii="Arial" w:cs="Arial" w:eastAsia="Arial" w:hAnsi="Arial"/>
                <w:sz w:val="18"/>
                <w:szCs w:val="18"/>
                <w:color w:val="auto"/>
              </w:rPr>
              <w:t>Operating lease liability arising from obtaining right-of-use - operating lease at</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7600" w:type="dxa"/>
            <w:vAlign w:val="bottom"/>
          </w:tcPr>
          <w:p>
            <w:pPr>
              <w:ind w:left="1140"/>
              <w:spacing w:after="0"/>
              <w:rPr>
                <w:sz w:val="20"/>
                <w:szCs w:val="20"/>
                <w:color w:val="auto"/>
              </w:rPr>
            </w:pPr>
            <w:r>
              <w:rPr>
                <w:rFonts w:ascii="Arial" w:cs="Arial" w:eastAsia="Arial" w:hAnsi="Arial"/>
                <w:sz w:val="18"/>
                <w:szCs w:val="18"/>
                <w:color w:val="auto"/>
              </w:rPr>
              <w:t>beginning of period</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14,118</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70"/>
        </w:trPr>
        <w:tc>
          <w:tcPr>
            <w:tcW w:w="7600" w:type="dxa"/>
            <w:vAlign w:val="bottom"/>
          </w:tcPr>
          <w:p>
            <w:pPr>
              <w:ind w:left="1140"/>
              <w:spacing w:after="0"/>
              <w:rPr>
                <w:sz w:val="20"/>
                <w:szCs w:val="20"/>
                <w:color w:val="auto"/>
              </w:rPr>
            </w:pPr>
            <w:r>
              <w:rPr>
                <w:rFonts w:ascii="Arial" w:cs="Arial" w:eastAsia="Arial" w:hAnsi="Arial"/>
                <w:sz w:val="18"/>
                <w:szCs w:val="18"/>
                <w:color w:val="auto"/>
              </w:rPr>
              <w:t>Shares issued for purchase consideration for a business combination</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10,000</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r>
      <w:tr>
        <w:trPr>
          <w:trHeight w:val="270"/>
        </w:trPr>
        <w:tc>
          <w:tcPr>
            <w:tcW w:w="7600" w:type="dxa"/>
            <w:vAlign w:val="bottom"/>
          </w:tcPr>
          <w:p>
            <w:pPr>
              <w:ind w:left="1140"/>
              <w:spacing w:after="0"/>
              <w:rPr>
                <w:sz w:val="20"/>
                <w:szCs w:val="20"/>
                <w:color w:val="auto"/>
              </w:rPr>
            </w:pPr>
            <w:r>
              <w:rPr>
                <w:rFonts w:ascii="Arial" w:cs="Arial" w:eastAsia="Arial" w:hAnsi="Arial"/>
                <w:sz w:val="18"/>
                <w:szCs w:val="18"/>
                <w:color w:val="auto"/>
              </w:rPr>
              <w:t>Deferred purchase consideration for a business combination</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6,088</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3"/>
                <w:szCs w:val="23"/>
                <w:color w:val="auto"/>
              </w:rPr>
            </w:pPr>
          </w:p>
        </w:tc>
      </w:tr>
      <w:tr>
        <w:trPr>
          <w:trHeight w:val="242"/>
        </w:trPr>
        <w:tc>
          <w:tcPr>
            <w:tcW w:w="7600" w:type="dxa"/>
            <w:vAlign w:val="bottom"/>
          </w:tcPr>
          <w:p>
            <w:pPr>
              <w:ind w:left="1140"/>
              <w:spacing w:after="0"/>
              <w:rPr>
                <w:sz w:val="20"/>
                <w:szCs w:val="20"/>
                <w:color w:val="auto"/>
              </w:rPr>
            </w:pPr>
            <w:r>
              <w:rPr>
                <w:rFonts w:ascii="Arial" w:cs="Arial" w:eastAsia="Arial" w:hAnsi="Arial"/>
                <w:sz w:val="18"/>
                <w:szCs w:val="18"/>
                <w:color w:val="auto"/>
              </w:rPr>
              <w:t>Purchases of property and equipment included in accounts payable and accrued</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7"/>
        </w:trPr>
        <w:tc>
          <w:tcPr>
            <w:tcW w:w="7600" w:type="dxa"/>
            <w:vAlign w:val="bottom"/>
          </w:tcPr>
          <w:p>
            <w:pPr>
              <w:ind w:left="1140"/>
              <w:spacing w:after="0"/>
              <w:rPr>
                <w:sz w:val="20"/>
                <w:szCs w:val="20"/>
                <w:color w:val="auto"/>
              </w:rPr>
            </w:pPr>
            <w:r>
              <w:rPr>
                <w:rFonts w:ascii="Arial" w:cs="Arial" w:eastAsia="Arial" w:hAnsi="Arial"/>
                <w:sz w:val="18"/>
                <w:szCs w:val="18"/>
                <w:color w:val="auto"/>
              </w:rPr>
              <w:t>liabilities</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273</w:t>
            </w:r>
          </w:p>
        </w:tc>
        <w:tc>
          <w:tcPr>
            <w:tcW w:w="1100" w:type="dxa"/>
            <w:vAlign w:val="bottom"/>
          </w:tcPr>
          <w:p>
            <w:pPr>
              <w:spacing w:after="0"/>
              <w:rPr>
                <w:sz w:val="18"/>
                <w:szCs w:val="18"/>
                <w:color w:val="auto"/>
              </w:rPr>
            </w:pPr>
          </w:p>
        </w:tc>
      </w:tr>
      <w:tr>
        <w:trPr>
          <w:trHeight w:val="567"/>
        </w:trPr>
        <w:tc>
          <w:tcPr>
            <w:tcW w:w="7600" w:type="dxa"/>
            <w:vAlign w:val="bottom"/>
          </w:tcPr>
          <w:p>
            <w:pPr>
              <w:ind w:left="1140"/>
              <w:spacing w:after="0"/>
              <w:rPr>
                <w:sz w:val="20"/>
                <w:szCs w:val="20"/>
                <w:color w:val="auto"/>
              </w:rPr>
            </w:pPr>
            <w:r>
              <w:rPr>
                <w:rFonts w:ascii="Arial" w:cs="Arial" w:eastAsia="Arial" w:hAnsi="Arial"/>
                <w:sz w:val="18"/>
                <w:szCs w:val="18"/>
                <w:color w:val="auto"/>
              </w:rPr>
              <w:t>Supplementary cash flow information:</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7600" w:type="dxa"/>
            <w:vAlign w:val="bottom"/>
          </w:tcPr>
          <w:p>
            <w:pPr>
              <w:ind w:left="1140"/>
              <w:spacing w:after="0"/>
              <w:rPr>
                <w:sz w:val="20"/>
                <w:szCs w:val="20"/>
                <w:color w:val="auto"/>
              </w:rPr>
            </w:pPr>
            <w:r>
              <w:rPr>
                <w:rFonts w:ascii="Arial" w:cs="Arial" w:eastAsia="Arial" w:hAnsi="Arial"/>
                <w:sz w:val="18"/>
                <w:szCs w:val="18"/>
                <w:color w:val="auto"/>
              </w:rPr>
              <w:t>Cash paid for ineterest on debt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1,547</w:t>
            </w:r>
          </w:p>
        </w:tc>
        <w:tc>
          <w:tcPr>
            <w:tcW w:w="1100" w:type="dxa"/>
            <w:vAlign w:val="bottom"/>
          </w:tcPr>
          <w:p>
            <w:pPr>
              <w:spacing w:after="0"/>
              <w:rPr>
                <w:sz w:val="23"/>
                <w:szCs w:val="23"/>
                <w:color w:val="auto"/>
              </w:rPr>
            </w:pPr>
          </w:p>
        </w:tc>
      </w:tr>
      <w:tr>
        <w:trPr>
          <w:trHeight w:val="270"/>
        </w:trPr>
        <w:tc>
          <w:tcPr>
            <w:tcW w:w="7600" w:type="dxa"/>
            <w:vAlign w:val="bottom"/>
          </w:tcPr>
          <w:p>
            <w:pPr>
              <w:ind w:left="1140"/>
              <w:spacing w:after="0"/>
              <w:rPr>
                <w:sz w:val="20"/>
                <w:szCs w:val="20"/>
                <w:color w:val="auto"/>
              </w:rPr>
            </w:pPr>
            <w:r>
              <w:rPr>
                <w:rFonts w:ascii="Arial" w:cs="Arial" w:eastAsia="Arial" w:hAnsi="Arial"/>
                <w:sz w:val="18"/>
                <w:szCs w:val="18"/>
                <w:color w:val="auto"/>
              </w:rPr>
              <w:t>Cash paid for tax</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8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79</w:t>
            </w:r>
          </w:p>
        </w:tc>
        <w:tc>
          <w:tcPr>
            <w:tcW w:w="1100" w:type="dxa"/>
            <w:vAlign w:val="bottom"/>
          </w:tcPr>
          <w:p>
            <w:pPr>
              <w:spacing w:after="0"/>
              <w:rPr>
                <w:sz w:val="23"/>
                <w:szCs w:val="23"/>
                <w:color w:val="auto"/>
              </w:rPr>
            </w:pPr>
          </w:p>
        </w:tc>
      </w:tr>
      <w:tr>
        <w:trPr>
          <w:trHeight w:val="824"/>
        </w:trPr>
        <w:tc>
          <w:tcPr>
            <w:tcW w:w="8060" w:type="dxa"/>
            <w:vAlign w:val="bottom"/>
            <w:gridSpan w:val="2"/>
          </w:tcPr>
          <w:p>
            <w:pPr>
              <w:jc w:val="center"/>
              <w:ind w:left="3190"/>
              <w:spacing w:after="0"/>
              <w:rPr>
                <w:sz w:val="20"/>
                <w:szCs w:val="20"/>
                <w:color w:val="auto"/>
              </w:rPr>
            </w:pPr>
            <w:r>
              <w:rPr>
                <w:rFonts w:ascii="Arial" w:cs="Arial" w:eastAsia="Arial" w:hAnsi="Arial"/>
                <w:sz w:val="18"/>
                <w:szCs w:val="18"/>
                <w:color w:val="auto"/>
                <w:w w:val="99"/>
              </w:rPr>
              <w:t>CASH, CASH EQUIVALENTS AND RESTRICTED CASH</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7600" w:type="dxa"/>
            <w:vAlign w:val="bottom"/>
          </w:tcPr>
          <w:p>
            <w:pPr>
              <w:jc w:val="center"/>
              <w:ind w:left="3650"/>
              <w:spacing w:after="0"/>
              <w:rPr>
                <w:sz w:val="20"/>
                <w:szCs w:val="20"/>
                <w:color w:val="auto"/>
              </w:rPr>
            </w:pPr>
            <w:r>
              <w:rPr>
                <w:rFonts w:ascii="Arial" w:cs="Arial" w:eastAsia="Arial" w:hAnsi="Arial"/>
                <w:sz w:val="18"/>
                <w:szCs w:val="18"/>
                <w:color w:val="auto"/>
                <w:w w:val="99"/>
              </w:rPr>
              <w:t>(Unaudited)</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7600" w:type="dxa"/>
            <w:vAlign w:val="bottom"/>
          </w:tcPr>
          <w:p>
            <w:pPr>
              <w:jc w:val="center"/>
              <w:ind w:left="3650"/>
              <w:spacing w:after="0"/>
              <w:rPr>
                <w:sz w:val="20"/>
                <w:szCs w:val="20"/>
                <w:color w:val="auto"/>
              </w:rPr>
            </w:pPr>
            <w:r>
              <w:rPr>
                <w:rFonts w:ascii="Arial" w:cs="Arial" w:eastAsia="Arial" w:hAnsi="Arial"/>
                <w:sz w:val="18"/>
                <w:szCs w:val="18"/>
                <w:color w:val="auto"/>
              </w:rPr>
              <w:t>(In thousands of dollars)</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540"/>
        </w:trPr>
        <w:tc>
          <w:tcPr>
            <w:tcW w:w="7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December 31,</w:t>
            </w:r>
          </w:p>
        </w:tc>
        <w:tc>
          <w:tcPr>
            <w:tcW w:w="120" w:type="dxa"/>
            <w:vAlign w:val="bottom"/>
          </w:tcPr>
          <w:p>
            <w:pPr>
              <w:spacing w:after="0"/>
              <w:rPr>
                <w:sz w:val="24"/>
                <w:szCs w:val="24"/>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December 31,</w:t>
            </w:r>
          </w:p>
        </w:tc>
      </w:tr>
      <w:tr>
        <w:trPr>
          <w:trHeight w:val="277"/>
        </w:trPr>
        <w:tc>
          <w:tcPr>
            <w:tcW w:w="7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r>
      <w:tr>
        <w:trPr>
          <w:trHeight w:val="243"/>
        </w:trPr>
        <w:tc>
          <w:tcPr>
            <w:tcW w:w="7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159,317</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77,995</w:t>
            </w:r>
          </w:p>
        </w:tc>
      </w:tr>
      <w:tr>
        <w:trPr>
          <w:trHeight w:val="277"/>
        </w:trPr>
        <w:tc>
          <w:tcPr>
            <w:tcW w:w="7600" w:type="dxa"/>
            <w:vAlign w:val="bottom"/>
          </w:tcPr>
          <w:p>
            <w:pPr>
              <w:spacing w:after="0"/>
              <w:rPr>
                <w:sz w:val="20"/>
                <w:szCs w:val="20"/>
                <w:color w:val="auto"/>
              </w:rPr>
            </w:pPr>
            <w:r>
              <w:rPr>
                <w:rFonts w:ascii="Arial" w:cs="Arial" w:eastAsia="Arial" w:hAnsi="Arial"/>
                <w:sz w:val="18"/>
                <w:szCs w:val="18"/>
                <w:color w:val="auto"/>
              </w:rPr>
              <w:t>Restricted cash</w:t>
            </w:r>
          </w:p>
        </w:tc>
        <w:tc>
          <w:tcPr>
            <w:tcW w:w="4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603</w:t>
            </w:r>
          </w:p>
        </w:tc>
      </w:tr>
      <w:tr>
        <w:trPr>
          <w:trHeight w:val="257"/>
        </w:trPr>
        <w:tc>
          <w:tcPr>
            <w:tcW w:w="76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460" w:type="dxa"/>
            <w:vAlign w:val="bottom"/>
          </w:tcPr>
          <w:p>
            <w:pPr>
              <w:spacing w:after="0"/>
              <w:rPr>
                <w:sz w:val="22"/>
                <w:szCs w:val="22"/>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159,920</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78,598</w:t>
            </w:r>
          </w:p>
        </w:tc>
      </w:tr>
      <w:tr>
        <w:trPr>
          <w:trHeight w:val="20"/>
        </w:trPr>
        <w:tc>
          <w:tcPr>
            <w:tcW w:w="7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 Kennedy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650-243-6357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keith@veracyte.com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sectPr>
      <w:pgSz w:w="11900" w:h="16838" w:orient="portrait"/>
      <w:cols w:equalWidth="0" w:num="1">
        <w:col w:w="11420"/>
      </w:cols>
      <w:pgMar w:left="240" w:top="7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2020-02-25T15:34:46Z</dcterms:created>
  <dcterms:modified xsi:type="dcterms:W3CDTF">2020-02-25T15:34:46Z</dcterms:modified>
</cp:coreProperties>
</file>