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1091565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August 2, 2022</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VERACYTE,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47" w:lineRule="exact"/>
        <w:rPr>
          <w:sz w:val="24"/>
          <w:szCs w:val="24"/>
          <w:color w:val="auto"/>
        </w:rPr>
      </w:pPr>
    </w:p>
    <w:tbl>
      <w:tblPr>
        <w:tblLayout w:type="fixed"/>
        <w:tblInd w:w="760" w:type="dxa"/>
        <w:tblCellMar>
          <w:top w:w="0" w:type="dxa"/>
          <w:left w:w="0" w:type="dxa"/>
          <w:bottom w:w="0" w:type="dxa"/>
          <w:right w:w="0" w:type="dxa"/>
        </w:tblCellMar>
      </w:tblPr>
      <w:tr>
        <w:trPr>
          <w:trHeight w:val="238"/>
        </w:trPr>
        <w:tc>
          <w:tcPr>
            <w:tcW w:w="302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720" w:type="dxa"/>
            <w:vAlign w:val="bottom"/>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rPr>
              <w:t>001-36156</w:t>
            </w:r>
          </w:p>
        </w:tc>
        <w:tc>
          <w:tcPr>
            <w:tcW w:w="304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8"/>
              </w:rPr>
              <w:t>20-5455398</w:t>
            </w:r>
          </w:p>
        </w:tc>
      </w:tr>
      <w:tr>
        <w:trPr>
          <w:trHeight w:val="225"/>
        </w:trPr>
        <w:tc>
          <w:tcPr>
            <w:tcW w:w="302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304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(IRS Employer Identification</w:t>
            </w:r>
          </w:p>
        </w:tc>
      </w:tr>
      <w:tr>
        <w:trPr>
          <w:trHeight w:val="234"/>
        </w:trPr>
        <w:tc>
          <w:tcPr>
            <w:tcW w:w="302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rPr>
              <w:t>incorporation)</w:t>
            </w:r>
          </w:p>
        </w:tc>
        <w:tc>
          <w:tcPr>
            <w:tcW w:w="3720" w:type="dxa"/>
            <w:vAlign w:val="bottom"/>
          </w:tcPr>
          <w:p>
            <w:pPr>
              <w:spacing w:after="0"/>
              <w:rPr>
                <w:sz w:val="20"/>
                <w:szCs w:val="20"/>
                <w:color w:val="auto"/>
              </w:rPr>
            </w:pPr>
          </w:p>
        </w:tc>
        <w:tc>
          <w:tcPr>
            <w:tcW w:w="30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8"/>
              </w:rPr>
              <w:t>No.)</w:t>
            </w:r>
          </w:p>
        </w:tc>
      </w:tr>
      <w:tr>
        <w:trPr>
          <w:trHeight w:val="392"/>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6000 Shoreline Court, Suite 300, South San Francisco, California</w:t>
            </w:r>
          </w:p>
        </w:tc>
        <w:tc>
          <w:tcPr>
            <w:tcW w:w="304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257"/>
        </w:trPr>
        <w:tc>
          <w:tcPr>
            <w:tcW w:w="674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4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3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(650) 243-6300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1" w:lineRule="exact"/>
        <w:rPr>
          <w:sz w:val="24"/>
          <w:szCs w:val="24"/>
          <w:color w:val="auto"/>
        </w:rPr>
      </w:pPr>
    </w:p>
    <w:p>
      <w:pPr>
        <w:ind w:left="20" w:right="620" w:firstLine="54"/>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6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263"/>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0" w:type="dxa"/>
            <w:vAlign w:val="bottom"/>
          </w:tcPr>
          <w:p>
            <w:pPr>
              <w:spacing w:after="0"/>
              <w:rPr>
                <w:sz w:val="22"/>
                <w:szCs w:val="22"/>
                <w:color w:val="auto"/>
              </w:rPr>
            </w:pPr>
          </w:p>
        </w:tc>
        <w:tc>
          <w:tcPr>
            <w:tcW w:w="2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180" w:type="dxa"/>
            <w:vAlign w:val="bottom"/>
          </w:tcPr>
          <w:p>
            <w:pPr>
              <w:spacing w:after="0"/>
              <w:rPr>
                <w:sz w:val="22"/>
                <w:szCs w:val="22"/>
                <w:color w:val="auto"/>
              </w:rPr>
            </w:pPr>
          </w:p>
        </w:tc>
        <w:tc>
          <w:tcPr>
            <w:tcW w:w="4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43"/>
        </w:trPr>
        <w:tc>
          <w:tcPr>
            <w:tcW w:w="4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VCYT</w:t>
            </w:r>
          </w:p>
        </w:tc>
        <w:tc>
          <w:tcPr>
            <w:tcW w:w="4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44" w:lineRule="exact"/>
        <w:rPr>
          <w:sz w:val="24"/>
          <w:szCs w:val="24"/>
          <w:color w:val="auto"/>
        </w:rPr>
      </w:pPr>
    </w:p>
    <w:p>
      <w:pPr>
        <w:ind w:left="20" w:right="26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 w:lineRule="exact"/>
        <w:rPr>
          <w:sz w:val="24"/>
          <w:szCs w:val="24"/>
          <w:color w:val="auto"/>
        </w:rPr>
      </w:pPr>
    </w:p>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78" w:lineRule="exact"/>
        <w:rPr>
          <w:sz w:val="24"/>
          <w:szCs w:val="24"/>
          <w:color w:val="auto"/>
        </w:rPr>
      </w:pPr>
    </w:p>
    <w:p>
      <w:pPr>
        <w:ind w:left="20" w:right="140"/>
        <w:spacing w:after="0" w:line="22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1424305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330835</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236855</wp:posOffset>
            </wp:positionV>
            <wp:extent cx="7089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2, 2022, Veracyte, Inc. issued a press release announcing its financial results for the quarter ended June 30, 2022. The full text of the press release is furnished as Exhibit 99.1 to this report.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shall not be deemed to be “filed” for purposes of Section 18 of the Securities Exchange Act of 1934 (the “Exchange Act”), or otherwise subject to the liability of that section, and shall not be incorporated by reference into any registration statement or other document filed under the Securities Act of 1933 or the Exchange Act, except as shall be expressly set forth by specific reference in such filing.</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56"/>
        </w:trPr>
        <w:tc>
          <w:tcPr>
            <w:tcW w:w="1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26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9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c>
          <w:tcPr>
            <w:tcW w:w="320" w:type="dxa"/>
            <w:vAlign w:val="bottom"/>
          </w:tcPr>
          <w:p>
            <w:pPr>
              <w:spacing w:after="0"/>
              <w:rPr>
                <w:sz w:val="22"/>
                <w:szCs w:val="22"/>
                <w:color w:val="auto"/>
              </w:rPr>
            </w:pPr>
          </w:p>
        </w:tc>
      </w:tr>
      <w:tr>
        <w:trPr>
          <w:trHeight w:val="291"/>
        </w:trPr>
        <w:tc>
          <w:tcPr>
            <w:tcW w:w="14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99.1</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issued by Veracyte, Inc. dated August 2, 2022.</w:t>
            </w:r>
          </w:p>
        </w:tc>
        <w:tc>
          <w:tcPr>
            <w:tcW w:w="5220" w:type="dxa"/>
            <w:vAlign w:val="bottom"/>
            <w:gridSpan w:val="2"/>
          </w:tcPr>
          <w:p>
            <w:pPr>
              <w:spacing w:after="0"/>
              <w:rPr>
                <w:sz w:val="24"/>
                <w:szCs w:val="24"/>
                <w:color w:val="auto"/>
              </w:rPr>
            </w:pPr>
          </w:p>
        </w:tc>
      </w:tr>
      <w:tr>
        <w:trPr>
          <w:trHeight w:val="277"/>
        </w:trPr>
        <w:tc>
          <w:tcPr>
            <w:tcW w:w="14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762"/>
        </w:trPr>
        <w:tc>
          <w:tcPr>
            <w:tcW w:w="14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p>
      <w:pPr>
        <w:ind w:left="80"/>
        <w:spacing w:after="0"/>
        <w:tabs>
          <w:tab w:leader="none" w:pos="92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August 2, 2022</w:t>
      </w:r>
    </w:p>
    <w:p>
      <w:pPr>
        <w:spacing w:after="0" w:line="306"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VERACYTE, INC.</w:t>
      </w:r>
    </w:p>
    <w:p>
      <w:pPr>
        <w:spacing w:after="0" w:line="279" w:lineRule="exact"/>
        <w:rPr>
          <w:sz w:val="20"/>
          <w:szCs w:val="20"/>
          <w:color w:val="auto"/>
        </w:rPr>
      </w:pPr>
    </w:p>
    <w:p>
      <w:pPr>
        <w:ind w:left="4260"/>
        <w:spacing w:after="0"/>
        <w:tabs>
          <w:tab w:leader="none" w:pos="5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Rebecca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26035</wp:posOffset>
            </wp:positionV>
            <wp:extent cx="3926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30" w:lineRule="exact"/>
        <w:rPr>
          <w:sz w:val="20"/>
          <w:szCs w:val="20"/>
          <w:color w:val="auto"/>
        </w:rPr>
      </w:pPr>
    </w:p>
    <w:p>
      <w:pPr>
        <w:ind w:left="4260"/>
        <w:spacing w:after="0"/>
        <w:tabs>
          <w:tab w:leader="none" w:pos="51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Rebecca Chambers</w:t>
      </w:r>
    </w:p>
    <w:p>
      <w:pPr>
        <w:spacing w:after="0" w:line="61" w:lineRule="exact"/>
        <w:rPr>
          <w:sz w:val="20"/>
          <w:szCs w:val="20"/>
          <w:color w:val="auto"/>
        </w:rPr>
      </w:pPr>
    </w:p>
    <w:p>
      <w:pPr>
        <w:ind w:left="4260"/>
        <w:spacing w:after="0"/>
        <w:tabs>
          <w:tab w:leader="none" w:pos="51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Chief Financial Officer</w:t>
      </w:r>
    </w:p>
    <w:p>
      <w:pPr>
        <w:spacing w:after="0" w:line="5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00"/>
          </w:cols>
          <w:pgMar w:left="320" w:top="1440"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172085</wp:posOffset>
            </wp:positionV>
            <wp:extent cx="1165860" cy="8743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65860"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Veracyte Announces Second Quarter 2022 Financial Results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Grew Total Revenue to $72.9 million, an Increase of 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Conference Call and Webcast Today at 4:30 p.m. ET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SOUTH SAN FRANCISCO, Calif., August 2, 2022 --- Veracyte, Inc. (Nasdaq: VCYT) today announced financial results for the second quarter ended June 30, 2022.</w:t>
      </w:r>
    </w:p>
    <w:p>
      <w:pPr>
        <w:spacing w:after="0" w:line="153"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“Our second quarter results reflect our continued focus on execution, and as a result, our portfolio delivered robust revenue growth,” said Marc Stapley, Veracyte’s chief executive officer. “In addition, we significantly expanded the library of clinical evidence demonstrating the performance and utility of our genomic tests and biopharma offerings, which we believe will help drive further test adoption and partnerships. We remain firmly focused on exercising financial discipline as we continue to invest in our near- and long-term growth opportunities to deliver on our strategic vision of improving outcomes for patients all over the world.”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Highlights:</w:t>
      </w:r>
    </w:p>
    <w:p>
      <w:pPr>
        <w:spacing w:after="0" w:line="90"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second quarter total revenue by 32% to $72.9 million, compared to the second quarter of 2021;</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Grew total test volume to 24,904, an increase of 19% compared to the second quarter of 2021;</w:t>
      </w:r>
    </w:p>
    <w:p>
      <w:pPr>
        <w:spacing w:after="0" w:line="49" w:lineRule="exact"/>
        <w:rPr>
          <w:rFonts w:ascii="Arial" w:cs="Arial" w:eastAsia="Arial" w:hAnsi="Arial"/>
          <w:sz w:val="18"/>
          <w:szCs w:val="18"/>
          <w:color w:val="auto"/>
        </w:rPr>
      </w:pPr>
    </w:p>
    <w:p>
      <w:pPr>
        <w:ind w:left="660" w:right="160" w:hanging="328"/>
        <w:spacing w:after="0" w:line="253"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Announced that an updated clinical guideline from the American Urological Association and American Society for Radiation Oncology features a favorable statement for genomic testing, including Decipher Prostate, to help guide care for men with localized prostate cancer.</w:t>
      </w:r>
    </w:p>
    <w:p>
      <w:pPr>
        <w:spacing w:after="0" w:line="6"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Unveiled key clinical evidence across Veracyte’s portfolio:</w:t>
      </w:r>
    </w:p>
    <w:p>
      <w:pPr>
        <w:spacing w:after="0" w:line="49" w:lineRule="exact"/>
        <w:rPr>
          <w:rFonts w:ascii="Arial" w:cs="Arial" w:eastAsia="Arial" w:hAnsi="Arial"/>
          <w:sz w:val="18"/>
          <w:szCs w:val="18"/>
          <w:color w:val="auto"/>
        </w:rPr>
      </w:pPr>
    </w:p>
    <w:p>
      <w:pPr>
        <w:ind w:left="1300" w:right="40" w:hanging="324"/>
        <w:spacing w:after="0" w:line="247" w:lineRule="auto"/>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Decipher Prostate</w:t>
      </w:r>
      <w:r>
        <w:rPr>
          <w:rFonts w:ascii="Arial" w:cs="Arial" w:eastAsia="Arial" w:hAnsi="Arial"/>
          <w:sz w:val="18"/>
          <w:szCs w:val="18"/>
          <w:color w:val="auto"/>
        </w:rPr>
        <w:t xml:space="preserve"> – Data was published in </w:t>
      </w:r>
      <w:r>
        <w:rPr>
          <w:rFonts w:ascii="Arial" w:cs="Arial" w:eastAsia="Arial" w:hAnsi="Arial"/>
          <w:sz w:val="18"/>
          <w:szCs w:val="18"/>
          <w:i w:val="1"/>
          <w:iCs w:val="1"/>
          <w:color w:val="auto"/>
        </w:rPr>
        <w:t>Annals of Oncology</w:t>
      </w:r>
      <w:r>
        <w:rPr>
          <w:rFonts w:ascii="Arial" w:cs="Arial" w:eastAsia="Arial" w:hAnsi="Arial"/>
          <w:sz w:val="18"/>
          <w:szCs w:val="18"/>
          <w:color w:val="auto"/>
        </w:rPr>
        <w:t xml:space="preserve"> </w:t>
      </w:r>
      <w:r>
        <w:rPr>
          <w:rFonts w:ascii="Arial" w:cs="Arial" w:eastAsia="Arial" w:hAnsi="Arial"/>
          <w:sz w:val="18"/>
          <w:szCs w:val="18"/>
          <w:color w:val="222222"/>
        </w:rPr>
        <w:t>reinforcing the clinical utility of the Decipher Prostate</w:t>
      </w:r>
      <w:r>
        <w:rPr>
          <w:rFonts w:ascii="Arial" w:cs="Arial" w:eastAsia="Arial" w:hAnsi="Arial"/>
          <w:sz w:val="18"/>
          <w:szCs w:val="18"/>
          <w:color w:val="auto"/>
        </w:rPr>
        <w:t xml:space="preserve"> </w:t>
      </w:r>
      <w:r>
        <w:rPr>
          <w:rFonts w:ascii="Arial" w:cs="Arial" w:eastAsia="Arial" w:hAnsi="Arial"/>
          <w:sz w:val="18"/>
          <w:szCs w:val="18"/>
          <w:color w:val="222222"/>
        </w:rPr>
        <w:t>genomic classifier for helping to guide the timing and intensity of therapy in men experiencing prostate cancer recurrence following radical prostatectomy</w:t>
      </w:r>
      <w:r>
        <w:rPr>
          <w:rFonts w:ascii="Arial" w:cs="Arial" w:eastAsia="Arial" w:hAnsi="Arial"/>
          <w:sz w:val="18"/>
          <w:szCs w:val="18"/>
          <w:color w:val="000000"/>
        </w:rPr>
        <w:t>. Additionally, data unveiled at the 2022 ASCO Annual Meeting</w:t>
      </w:r>
      <w:r>
        <w:rPr>
          <w:rFonts w:ascii="Arial" w:cs="Arial" w:eastAsia="Arial" w:hAnsi="Arial"/>
          <w:sz w:val="18"/>
          <w:szCs w:val="18"/>
          <w:color w:val="222222"/>
        </w:rPr>
        <w:t xml:space="preserve"> demonstrated that population-based prostate cancer treatment patterns are independently associated with Decipher classifier score;</w:t>
      </w:r>
    </w:p>
    <w:p>
      <w:pPr>
        <w:spacing w:after="0" w:line="11" w:lineRule="exact"/>
        <w:rPr>
          <w:rFonts w:ascii="Arial" w:cs="Arial" w:eastAsia="Arial" w:hAnsi="Arial"/>
          <w:sz w:val="18"/>
          <w:szCs w:val="18"/>
          <w:color w:val="auto"/>
        </w:rPr>
      </w:pPr>
    </w:p>
    <w:p>
      <w:pPr>
        <w:jc w:val="right"/>
        <w:ind w:left="1300" w:right="240" w:hanging="324"/>
        <w:spacing w:after="0" w:line="266" w:lineRule="auto"/>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Afirma Genomic Sequencing Classifier</w:t>
      </w:r>
      <w:r>
        <w:rPr>
          <w:rFonts w:ascii="Arial" w:cs="Arial" w:eastAsia="Arial" w:hAnsi="Arial"/>
          <w:sz w:val="18"/>
          <w:szCs w:val="18"/>
          <w:color w:val="auto"/>
        </w:rPr>
        <w:t xml:space="preserve"> – Meta-analysis of independent, real-world studies were presented at ENDO 2022 </w:t>
      </w:r>
      <w:r>
        <w:rPr>
          <w:rFonts w:ascii="Arial" w:cs="Arial" w:eastAsia="Arial" w:hAnsi="Arial"/>
          <w:sz w:val="18"/>
          <w:szCs w:val="18"/>
          <w:color w:val="222222"/>
        </w:rPr>
        <w:t xml:space="preserve">demonstrating consistent and </w:t>
      </w:r>
      <w:r>
        <w:rPr>
          <w:rFonts w:ascii="Arial" w:cs="Arial" w:eastAsia="Arial" w:hAnsi="Arial"/>
          <w:sz w:val="18"/>
          <w:szCs w:val="18"/>
          <w:color w:val="000000"/>
        </w:rPr>
        <w:t>enhanced</w:t>
      </w:r>
      <w:r>
        <w:rPr>
          <w:rFonts w:ascii="Arial" w:cs="Arial" w:eastAsia="Arial" w:hAnsi="Arial"/>
          <w:sz w:val="18"/>
          <w:szCs w:val="18"/>
          <w:color w:val="222222"/>
        </w:rPr>
        <w:t xml:space="preserve"> Afirma GSC performance, compared to the test’s original clinical validation study;</w:t>
      </w:r>
    </w:p>
    <w:p>
      <w:pPr>
        <w:ind w:left="1300" w:right="100" w:hanging="324"/>
        <w:spacing w:after="0" w:line="241" w:lineRule="auto"/>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Prosigna Breast Cancer Assay</w:t>
      </w:r>
      <w:r>
        <w:rPr>
          <w:rFonts w:ascii="Arial" w:cs="Arial" w:eastAsia="Arial" w:hAnsi="Arial"/>
          <w:sz w:val="18"/>
          <w:szCs w:val="18"/>
          <w:color w:val="auto"/>
        </w:rPr>
        <w:t xml:space="preserve"> – New consensus survey data presented at the ESMO Breast annual meeting showed that leading breast cancer oncologists in Europe agree on the value of gene expression profiling tests, such as Prosigna, and on the importance of molecular subtype information to help inform treatment decisions for patients with early-stage breast cancer;</w:t>
      </w:r>
    </w:p>
    <w:p>
      <w:pPr>
        <w:spacing w:after="0" w:line="19" w:lineRule="exact"/>
        <w:rPr>
          <w:rFonts w:ascii="Arial" w:cs="Arial" w:eastAsia="Arial" w:hAnsi="Arial"/>
          <w:sz w:val="18"/>
          <w:szCs w:val="18"/>
          <w:color w:val="auto"/>
        </w:rPr>
      </w:pPr>
    </w:p>
    <w:p>
      <w:pPr>
        <w:ind w:left="1300" w:right="440" w:hanging="324"/>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Biopharma</w:t>
      </w:r>
      <w:r>
        <w:rPr>
          <w:rFonts w:ascii="Arial" w:cs="Arial" w:eastAsia="Arial" w:hAnsi="Arial"/>
          <w:sz w:val="18"/>
          <w:szCs w:val="18"/>
          <w:color w:val="auto"/>
        </w:rPr>
        <w:t xml:space="preserve"> – New study findings presented orally at ASCO and in a paper published in </w:t>
      </w:r>
      <w:r>
        <w:rPr>
          <w:rFonts w:ascii="Arial" w:cs="Arial" w:eastAsia="Arial" w:hAnsi="Arial"/>
          <w:sz w:val="18"/>
          <w:szCs w:val="18"/>
          <w:i w:val="1"/>
          <w:iCs w:val="1"/>
          <w:color w:val="auto"/>
        </w:rPr>
        <w:t>Lancet Oncology</w:t>
      </w:r>
      <w:r>
        <w:rPr>
          <w:rFonts w:ascii="Arial" w:cs="Arial" w:eastAsia="Arial" w:hAnsi="Arial"/>
          <w:sz w:val="18"/>
          <w:szCs w:val="18"/>
          <w:color w:val="auto"/>
        </w:rPr>
        <w:t xml:space="preserve"> showed the Immunoscore Immune Checkpoint (IC) biomarker’s ability to identify which patients will benefit from immune checkpoint inhibitors in metastatic non-small cell lung cancer and metastatic colorectal cancer, respectively; and</w:t>
      </w:r>
    </w:p>
    <w:p>
      <w:pPr>
        <w:spacing w:after="0" w:line="6" w:lineRule="exact"/>
        <w:rPr>
          <w:rFonts w:ascii="Arial" w:cs="Arial" w:eastAsia="Arial" w:hAnsi="Arial"/>
          <w:sz w:val="18"/>
          <w:szCs w:val="18"/>
          <w:color w:val="auto"/>
        </w:rPr>
      </w:pPr>
    </w:p>
    <w:p>
      <w:pPr>
        <w:ind w:left="1300" w:right="360" w:hanging="324"/>
        <w:spacing w:after="0" w:line="266" w:lineRule="auto"/>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Percepta Nasal Swab</w:t>
      </w:r>
      <w:r>
        <w:rPr>
          <w:rFonts w:ascii="Arial" w:cs="Arial" w:eastAsia="Arial" w:hAnsi="Arial"/>
          <w:sz w:val="18"/>
          <w:szCs w:val="18"/>
          <w:color w:val="auto"/>
        </w:rPr>
        <w:t xml:space="preserve"> – Data presented at the ATS annual meeting showed that the noninvasive genomic test performed similarly well across the spectrum of tobacco-related risk.</w:t>
      </w:r>
    </w:p>
    <w:p>
      <w:pPr>
        <w:ind w:left="660" w:right="340" w:hanging="328"/>
        <w:spacing w:after="0" w:line="27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Ended the second quarter of 2022 with cash, cash equivalents and short-term investments of $164.0 million, compared to $166.4 million at the end of the first quarter of 2022.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2022 Financial Results</w:t>
      </w:r>
    </w:p>
    <w:p>
      <w:pPr>
        <w:spacing w:after="0" w:line="40"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Total revenue for the second quarter of 2022 was $72.9 million, an increase of 32% compared to $55.1 million in the second quarter of 2021. Testing revenue was $59.7 million, an increase of 18% compared to $50.8 million in the</w:t>
      </w:r>
    </w:p>
    <w:p>
      <w:pPr>
        <w:sectPr>
          <w:pgSz w:w="11900" w:h="16838" w:orient="portrait"/>
          <w:cols w:equalWidth="0" w:num="1">
            <w:col w:w="11240"/>
          </w:cols>
          <w:pgMar w:left="320" w:top="890" w:right="339" w:bottom="1440" w:gutter="0" w:footer="0" w:header="0"/>
        </w:sectPr>
      </w:pPr>
    </w:p>
    <w:bookmarkStart w:id="4" w:name="page5"/>
    <w:bookmarkEnd w:id="4"/>
    <w:p>
      <w:pPr>
        <w:jc w:val="both"/>
        <w:ind w:right="320"/>
        <w:spacing w:after="0" w:line="253" w:lineRule="auto"/>
        <w:rPr>
          <w:sz w:val="20"/>
          <w:szCs w:val="20"/>
          <w:color w:val="auto"/>
        </w:rPr>
      </w:pPr>
      <w:r>
        <w:rPr>
          <w:rFonts w:ascii="Arial" w:cs="Arial" w:eastAsia="Arial" w:hAnsi="Arial"/>
          <w:sz w:val="18"/>
          <w:szCs w:val="18"/>
          <w:color w:val="auto"/>
        </w:rPr>
        <w:t>second quarter of 2021 driven primarily by the strong performance of our urology tests. Product revenue was $3.1 million, an increase of 16% compared to $ 2.7 million in the second quarter of 2021. Biopharmaceutical and other revenue was $10.0 million, an increase of $8.4 million compared to $1.6 million in the second quarter of 2021, driven primarily by the contribution of the HalioDx acquisition.</w:t>
      </w:r>
    </w:p>
    <w:p>
      <w:pPr>
        <w:spacing w:after="0" w:line="25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Total gross margin for the second quarter of 2022, including the amortization of acquired intangible assets, was 59%, compared to 62% in the second quarter of 2021. Non-GAAP gross margin, excluding the amortization of acquired intangible assets and other acquisition related expenses was 66%, compared to 68% in the second quarter of 2021.</w:t>
      </w:r>
    </w:p>
    <w:p>
      <w:pPr>
        <w:spacing w:after="0" w:line="25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Operating expenses, excluding cost of revenue, were $53.7 million, an increase of 29% compared to the second quarter of 2021. Non-GAAP operating expenses, excluding cost of revenue, amortization of acquired intangible assets and other acquisition related expenses, were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$49.0 million compared to $38.0 million in the second quarter of 2021.</w:t>
      </w:r>
    </w:p>
    <w:p>
      <w:pPr>
        <w:spacing w:after="0" w:line="275"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Second quarter 2022 net loss was $9.5 million, an increase of 5% compared to the second quarter of 2021. Basic and diluted net loss per common share was $0.13, flat to the second quarter of 2021. Net cash used by operating activities in the first six months of 2022 was $9.2 million, an improvement of $29.4 million compared to the same period in 2021.</w:t>
      </w:r>
    </w:p>
    <w:p>
      <w:pPr>
        <w:spacing w:after="0" w:line="196"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A reconciliation of GAAP to non-GAAP financial measures has been provided in the tables included in this press release. An explanation of these measures is also included below under the heading "Note Regarding Use of Non-GAAP Financial Measures."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Financial Outlook</w:t>
      </w:r>
    </w:p>
    <w:p>
      <w:pPr>
        <w:spacing w:after="0" w:line="14"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222222"/>
        </w:rPr>
        <w:t>The company is currently projecting full-year 2022 total revenue of $272 million to $280 million, representing year-over-year growth of 24% to 28% compared to the prior year, assuming currency rates as of August 2, 2022. This represents an improved outlook compared to our prior guidance of $265 million to $275 million.</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 Details</w:t>
      </w:r>
    </w:p>
    <w:p>
      <w:pPr>
        <w:spacing w:after="0" w:line="14"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 xml:space="preserve">Veracyte will host a conference call and webcast today at 4:30 p.m. Eastern Time to discuss the company's financial results and provide a general business update. The conference call will be webcast live from the company’s website and will be available via the following link: </w:t>
      </w:r>
      <w:r>
        <w:rPr>
          <w:rFonts w:ascii="Arial" w:cs="Arial" w:eastAsia="Arial" w:hAnsi="Arial"/>
          <w:sz w:val="18"/>
          <w:szCs w:val="18"/>
          <w:color w:val="0000FF"/>
        </w:rPr>
        <w:t>https://edge.media-server.com/mmc/p/xvodmkry</w:t>
      </w:r>
      <w:r>
        <w:rPr>
          <w:rFonts w:ascii="Arial" w:cs="Arial" w:eastAsia="Arial" w:hAnsi="Arial"/>
          <w:sz w:val="18"/>
          <w:szCs w:val="18"/>
          <w:color w:val="000000"/>
        </w:rPr>
        <w:t>. The webcast should be accessed 10 minutes prior to the conference call start time. A</w:t>
      </w:r>
      <w:r>
        <w:rPr>
          <w:rFonts w:ascii="Arial" w:cs="Arial" w:eastAsia="Arial" w:hAnsi="Arial"/>
          <w:sz w:val="18"/>
          <w:szCs w:val="18"/>
          <w:color w:val="0000FF"/>
        </w:rPr>
        <w:t xml:space="preserve"> </w:t>
      </w:r>
      <w:r>
        <w:rPr>
          <w:rFonts w:ascii="Arial" w:cs="Arial" w:eastAsia="Arial" w:hAnsi="Arial"/>
          <w:sz w:val="18"/>
          <w:szCs w:val="18"/>
          <w:color w:val="000000"/>
        </w:rPr>
        <w:t xml:space="preserve">replay of the webcast will be available for one year following the conclusion of the live broadcast and will be accessible on the company’s website at </w:t>
      </w:r>
      <w:r>
        <w:rPr>
          <w:rFonts w:ascii="Arial" w:cs="Arial" w:eastAsia="Arial" w:hAnsi="Arial"/>
          <w:sz w:val="18"/>
          <w:szCs w:val="18"/>
          <w:color w:val="0000FF"/>
        </w:rPr>
        <w:t>https://investor.veracyte.com/events-presentations</w:t>
      </w:r>
      <w:r>
        <w:rPr>
          <w:rFonts w:ascii="Arial" w:cs="Arial" w:eastAsia="Arial" w:hAnsi="Arial"/>
          <w:sz w:val="18"/>
          <w:szCs w:val="18"/>
          <w:color w:val="000000"/>
        </w:rPr>
        <w: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conference call dial-in can be accessed by registering at the following link: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0000FF"/>
        </w:rPr>
        <w:t>https://register.vevent.com/register/BI2d52800c01ef45e7b962619638558741</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Veracyte</w:t>
      </w:r>
    </w:p>
    <w:p>
      <w:pPr>
        <w:spacing w:after="0" w:line="27" w:lineRule="exact"/>
        <w:rPr>
          <w:sz w:val="20"/>
          <w:szCs w:val="20"/>
          <w:color w:val="auto"/>
        </w:rPr>
      </w:pPr>
    </w:p>
    <w:p>
      <w:pPr>
        <w:ind w:right="220"/>
        <w:spacing w:after="0" w:line="241" w:lineRule="auto"/>
        <w:rPr>
          <w:sz w:val="20"/>
          <w:szCs w:val="20"/>
          <w:color w:val="auto"/>
        </w:rPr>
      </w:pPr>
      <w:r>
        <w:rPr>
          <w:rFonts w:ascii="Arial" w:cs="Arial" w:eastAsia="Arial" w:hAnsi="Arial"/>
          <w:sz w:val="18"/>
          <w:szCs w:val="18"/>
          <w:color w:val="222222"/>
        </w:rPr>
        <w:t>Veracyte (Nasdaq: VCYT) is a global diagnostics company that improves patient care by answering important clinical questions to inform diagnosis and treatment decisions. Our growing menu of advanced diagnostic tests help patients avoid risky, costly procedures and interventions, and reduce time to appropriate treatment. In addition to making our tests available in the United States through our central laboratories, our exclusive license to our best-in-class diagnostics instrument positions us to deliver our tests to patients worldwide through laboratories that can perform them locally. Veracyte is based in South San Francisco, California. For more information, please visit www.veracyte.com and follow the company on Twitter (@veracyte).</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 w:lineRule="exact"/>
        <w:rPr>
          <w:sz w:val="20"/>
          <w:szCs w:val="20"/>
          <w:color w:val="auto"/>
        </w:rPr>
      </w:pPr>
    </w:p>
    <w:p>
      <w:pPr>
        <w:ind w:right="120"/>
        <w:spacing w:after="0" w:line="234" w:lineRule="auto"/>
        <w:rPr>
          <w:sz w:val="20"/>
          <w:szCs w:val="20"/>
          <w:color w:val="auto"/>
        </w:rPr>
      </w:pPr>
      <w:r>
        <w:rPr>
          <w:rFonts w:ascii="Arial" w:cs="Arial" w:eastAsia="Arial" w:hAnsi="Arial"/>
          <w:sz w:val="18"/>
          <w:szCs w:val="18"/>
          <w:color w:val="auto"/>
        </w:rPr>
        <w:t>This press release contains forward-looking statements, including, but not limited to, our statements related to our expected total revenue and other financial and operating results for 2022 and our plans, objectives, expectations (financial and otherwise) or intentions with respect to our Prosigna, Afirma, Percepta, Envisia, LymphMark, Decipher Prostate, Percepta Nasal Swab, Percepta Genomic Atlas and Decipher</w:t>
      </w:r>
    </w:p>
    <w:p>
      <w:pPr>
        <w:spacing w:after="0" w:line="2"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Bladder tests and products, including our biopharma atlas, for use in diagnosing and treating diseases, Medicare coverage, and our commercial organization. Forward-looking statements can be identified by words such as: “appears,” "anticipate," "intend," "plan," "expect,"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"believe," "should," "may," "will," “positioned,” “designed” and similar references to future periods. Actual results may</w:t>
      </w:r>
    </w:p>
    <w:p>
      <w:pPr>
        <w:sectPr>
          <w:pgSz w:w="11900" w:h="16838" w:orient="portrait"/>
          <w:cols w:equalWidth="0" w:num="1">
            <w:col w:w="11240"/>
          </w:cols>
          <w:pgMar w:left="320" w:top="877" w:right="339" w:bottom="1440" w:gutter="0" w:footer="0" w:header="0"/>
        </w:sectPr>
      </w:pPr>
    </w:p>
    <w:bookmarkStart w:id="5" w:name="page6"/>
    <w:bookmarkEnd w:id="5"/>
    <w:p>
      <w:pPr>
        <w:ind w:right="120"/>
        <w:spacing w:after="0" w:line="238" w:lineRule="auto"/>
        <w:rPr>
          <w:sz w:val="20"/>
          <w:szCs w:val="20"/>
          <w:color w:val="auto"/>
        </w:rPr>
      </w:pPr>
      <w:r>
        <w:rPr>
          <w:rFonts w:ascii="Arial" w:cs="Arial" w:eastAsia="Arial" w:hAnsi="Arial"/>
          <w:sz w:val="18"/>
          <w:szCs w:val="18"/>
          <w:color w:val="auto"/>
        </w:rPr>
        <w:t>differ materially from those projected or suggested in any forward-looking statements. These statements involve risks and uncertainties, which could cause actual results to differ materially from our predictions, and include, but are not limited to: our ability to launch, commercialize and receive reimbursement for our products; to demonstrate the validity and utility of our genomic tests and biopharma offerings to continue to integrate and expand the HalioDx and Decipher businesses and execute on our business plans; to continue to scale our global operations and enhance our internal control environment; the impact of the COVID-19 pandemic and its variants on our business and general economic conditions; the impact of foreign currency fluctuations and inflation; and the performance and utility of our tests in the</w:t>
      </w:r>
    </w:p>
    <w:p>
      <w:pPr>
        <w:spacing w:after="0" w:line="1"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clinical environment. Additional factors that may impact these forward-looking statements can be found under the caption “Risk Factors” in our Annual Report on Form 10-K filed on February 28, 2022, and our Quarterly Report on Form 10-Q to be filed for the three months ended</w:t>
      </w:r>
    </w:p>
    <w:p>
      <w:pPr>
        <w:spacing w:after="0" w:line="1" w:lineRule="exact"/>
        <w:rPr>
          <w:sz w:val="20"/>
          <w:szCs w:val="20"/>
          <w:color w:val="auto"/>
        </w:rPr>
      </w:pPr>
    </w:p>
    <w:p>
      <w:pPr>
        <w:ind w:right="60"/>
        <w:spacing w:after="0"/>
        <w:rPr>
          <w:sz w:val="20"/>
          <w:szCs w:val="20"/>
          <w:color w:val="auto"/>
        </w:rPr>
      </w:pPr>
      <w:r>
        <w:rPr>
          <w:rFonts w:ascii="Arial" w:cs="Arial" w:eastAsia="Arial" w:hAnsi="Arial"/>
          <w:sz w:val="18"/>
          <w:szCs w:val="18"/>
          <w:color w:val="auto"/>
        </w:rPr>
        <w:t>June 30, 2022. Copies of these documents, when available, may be found in the Investors section of our website at www.investor.veracyte.com. These forward-looking statements speak only as of the date hereof and, except as required by law, we specifically disclaim any obligation to update these forward-looking statements or reasons why actual results might differ, whether as a result of new information, future events or otherwise.</w:t>
      </w:r>
    </w:p>
    <w:p>
      <w:pPr>
        <w:spacing w:after="0" w:line="221"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Veracyte, the Veracyte logo, Decipher, Decipher GRID, Afirma, Percepta, Envisia, Prosigna, Lymphmark, TMExplore, Brightplex, Immunosign, “Know by Design” and “More about You” are registered trademarks of Veracyte, Inc. and its subsidiaries in the U.S. and selected countries. Immunoscore IC® is a trademark of Veracyte SAS registered in France. Immunoscore is a registered trademark of Inserm used by Veracyte under license. nCounter is the registered trademark of NanoString Technologies used by Veracyte under license.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Use of Non-GAAP Financial Measures</w:t>
      </w:r>
    </w:p>
    <w:p>
      <w:pPr>
        <w:spacing w:after="0" w:line="239" w:lineRule="exact"/>
        <w:rPr>
          <w:sz w:val="20"/>
          <w:szCs w:val="20"/>
          <w:color w:val="auto"/>
        </w:rPr>
      </w:pPr>
    </w:p>
    <w:p>
      <w:pPr>
        <w:ind w:right="200"/>
        <w:spacing w:after="0" w:line="212" w:lineRule="exact"/>
        <w:rPr>
          <w:sz w:val="20"/>
          <w:szCs w:val="20"/>
          <w:color w:val="auto"/>
        </w:rPr>
      </w:pPr>
      <w:r>
        <w:rPr>
          <w:rFonts w:ascii="Arial" w:cs="Arial" w:eastAsia="Arial" w:hAnsi="Arial"/>
          <w:sz w:val="18"/>
          <w:szCs w:val="18"/>
          <w:color w:val="auto"/>
        </w:rPr>
        <w:t>In addition to the financial measures prepared in accordance with generally accepted accounting principles (GAAP), this press release and the accompanying tables contain, and reference certain non</w:t>
      </w:r>
      <w:r>
        <w:rPr>
          <w:rFonts w:ascii="MS PGothic" w:cs="MS PGothic" w:eastAsia="MS PGothic" w:hAnsi="MS PGothic"/>
          <w:sz w:val="18"/>
          <w:szCs w:val="18"/>
          <w:color w:val="auto"/>
        </w:rPr>
        <w:t>‐</w:t>
      </w:r>
      <w:r>
        <w:rPr>
          <w:rFonts w:ascii="Arial" w:cs="Arial" w:eastAsia="Arial" w:hAnsi="Arial"/>
          <w:sz w:val="18"/>
          <w:szCs w:val="18"/>
          <w:color w:val="auto"/>
        </w:rPr>
        <w:t>GAAP results including non-GAAP gross margin, non-GAAP operating</w:t>
      </w:r>
    </w:p>
    <w:p>
      <w:pPr>
        <w:spacing w:after="0"/>
        <w:rPr>
          <w:sz w:val="20"/>
          <w:szCs w:val="20"/>
          <w:color w:val="auto"/>
        </w:rPr>
      </w:pPr>
      <w:r>
        <w:rPr>
          <w:rFonts w:ascii="Arial" w:cs="Arial" w:eastAsia="Arial" w:hAnsi="Arial"/>
          <w:sz w:val="17"/>
          <w:szCs w:val="17"/>
          <w:color w:val="auto"/>
        </w:rPr>
        <w:t>expenses, and non-GAAP loss from operations. These measures are not meant to be considered superior to or a substitute for financial measures calculated in accordance with GAAP, and investors are cautioned that there are material limitations associated with the use of non-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GAAP financial measures as an analytical tool.</w:t>
      </w:r>
    </w:p>
    <w:p>
      <w:pPr>
        <w:spacing w:after="0" w:line="221" w:lineRule="exact"/>
        <w:rPr>
          <w:sz w:val="20"/>
          <w:szCs w:val="20"/>
          <w:color w:val="auto"/>
        </w:rPr>
      </w:pPr>
    </w:p>
    <w:p>
      <w:pPr>
        <w:ind w:right="220"/>
        <w:spacing w:after="0" w:line="244" w:lineRule="auto"/>
        <w:rPr>
          <w:sz w:val="20"/>
          <w:szCs w:val="20"/>
          <w:color w:val="auto"/>
        </w:rPr>
      </w:pPr>
      <w:r>
        <w:rPr>
          <w:rFonts w:ascii="Arial" w:cs="Arial" w:eastAsia="Arial" w:hAnsi="Arial"/>
          <w:sz w:val="18"/>
          <w:szCs w:val="18"/>
          <w:color w:val="auto"/>
        </w:rPr>
        <w:t>We use non-GAAP measures to internally evaluate and analyze financial results. We believe these non-GAAP financial measures provide investors with useful supplemental information about the financial performance of our business, enable comparison of financial results between periods where certain items may vary independent of business performance, and enable comparison of our financial results with other public companies, many of which present similar non-GAAP financial measures. However, the non-GAAP measures we present may be different from those used by other companies.</w:t>
      </w:r>
    </w:p>
    <w:p>
      <w:pPr>
        <w:spacing w:after="0" w:line="203" w:lineRule="exact"/>
        <w:rPr>
          <w:sz w:val="20"/>
          <w:szCs w:val="20"/>
          <w:color w:val="auto"/>
        </w:rPr>
      </w:pPr>
    </w:p>
    <w:p>
      <w:pPr>
        <w:spacing w:after="0" w:line="208" w:lineRule="exact"/>
        <w:rPr>
          <w:sz w:val="20"/>
          <w:szCs w:val="20"/>
          <w:color w:val="auto"/>
        </w:rPr>
      </w:pPr>
      <w:r>
        <w:rPr>
          <w:rFonts w:ascii="Arial" w:cs="Arial" w:eastAsia="Arial" w:hAnsi="Arial"/>
          <w:sz w:val="18"/>
          <w:szCs w:val="18"/>
          <w:color w:val="auto"/>
        </w:rPr>
        <w:t>We exclude amortization of acquired intangible assets, acquisition-related expenses relating to our acquisitions of Decipher Biosciences and HalioDx from certain of our non-GAAP measures. Management has excluded the effects of these items in non-GAAP measures to help investors gain a better understanding of the core operating results and future prospects of the company, consistent with how management measures and forecasts the company's performance, especially when comparing such results to previous periods or forecasts. The company encourages investors to carefully consider its results under GAAP, as well as its supplemental non</w:t>
      </w:r>
      <w:r>
        <w:rPr>
          <w:rFonts w:ascii="MS PGothic" w:cs="MS PGothic" w:eastAsia="MS PGothic" w:hAnsi="MS PGothic"/>
          <w:sz w:val="18"/>
          <w:szCs w:val="18"/>
          <w:color w:val="auto"/>
        </w:rPr>
        <w:t>‐</w:t>
      </w:r>
      <w:r>
        <w:rPr>
          <w:rFonts w:ascii="Arial" w:cs="Arial" w:eastAsia="Arial" w:hAnsi="Arial"/>
          <w:sz w:val="18"/>
          <w:szCs w:val="18"/>
          <w:color w:val="auto"/>
        </w:rPr>
        <w:t>GAAP information and the reconciliation between these presentations, to more fully understand its business.</w:t>
      </w:r>
    </w:p>
    <w:p>
      <w:pPr>
        <w:spacing w:after="0" w:line="169"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Reconciliations between our GAAP results and non</w:t>
      </w:r>
      <w:r>
        <w:rPr>
          <w:rFonts w:ascii="MS PGothic" w:cs="MS PGothic" w:eastAsia="MS PGothic" w:hAnsi="MS PGothic"/>
          <w:sz w:val="18"/>
          <w:szCs w:val="18"/>
          <w:color w:val="auto"/>
        </w:rPr>
        <w:t>‐</w:t>
      </w:r>
      <w:r>
        <w:rPr>
          <w:rFonts w:ascii="Arial" w:cs="Arial" w:eastAsia="Arial" w:hAnsi="Arial"/>
          <w:sz w:val="18"/>
          <w:szCs w:val="18"/>
          <w:color w:val="auto"/>
        </w:rPr>
        <w:t>GAAP financial measures are presented in the tables of this release.</w:t>
      </w:r>
    </w:p>
    <w:p>
      <w:pPr>
        <w:sectPr>
          <w:pgSz w:w="11900" w:h="16838" w:orient="portrait"/>
          <w:cols w:equalWidth="0" w:num="1">
            <w:col w:w="11220"/>
          </w:cols>
          <w:pgMar w:left="320" w:top="877" w:right="359" w:bottom="1440" w:gutter="0" w:footer="0" w:header="0"/>
        </w:sectPr>
      </w:pPr>
    </w:p>
    <w:bookmarkStart w:id="6" w:name="page7"/>
    <w:bookmarkEnd w:id="6"/>
    <w:p>
      <w:pPr>
        <w:spacing w:after="0" w:line="72"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VERACYTE, INC.</w:t>
      </w:r>
    </w:p>
    <w:p>
      <w:pPr>
        <w:spacing w:after="0" w:line="32"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CONDENSED CONSOLIDATED STATEMENTS OF OPERATIONS</w:t>
      </w:r>
    </w:p>
    <w:p>
      <w:pPr>
        <w:spacing w:after="0" w:line="23"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(In thousands of dollars, except share and per share amounts)</w:t>
      </w:r>
    </w:p>
    <w:p>
      <w:pPr>
        <w:spacing w:after="0" w:line="270" w:lineRule="exact"/>
        <w:rPr>
          <w:sz w:val="20"/>
          <w:szCs w:val="20"/>
          <w:color w:val="auto"/>
        </w:rPr>
      </w:pPr>
    </w:p>
    <w:tbl>
      <w:tblPr>
        <w:tblLayout w:type="fixed"/>
        <w:tblInd w:w="192" w:type="dxa"/>
        <w:tblCellMar>
          <w:top w:w="0" w:type="dxa"/>
          <w:left w:w="0" w:type="dxa"/>
          <w:bottom w:w="0" w:type="dxa"/>
          <w:right w:w="0" w:type="dxa"/>
        </w:tblCellMar>
      </w:tblPr>
      <w:tr>
        <w:trPr>
          <w:trHeight w:val="242"/>
        </w:trPr>
        <w:tc>
          <w:tcPr>
            <w:tcW w:w="5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740" w:type="dxa"/>
            <w:vAlign w:val="bottom"/>
            <w:gridSpan w:val="5"/>
          </w:tcPr>
          <w:p>
            <w:pPr>
              <w:ind w:left="40"/>
              <w:spacing w:after="0"/>
              <w:rPr>
                <w:sz w:val="20"/>
                <w:szCs w:val="20"/>
                <w:color w:val="auto"/>
              </w:rPr>
            </w:pPr>
            <w:r>
              <w:rPr>
                <w:rFonts w:ascii="Arial" w:cs="Arial" w:eastAsia="Arial" w:hAnsi="Arial"/>
                <w:sz w:val="18"/>
                <w:szCs w:val="18"/>
                <w:color w:val="auto"/>
              </w:rPr>
              <w:t>Three Months Ended June 30,</w:t>
            </w:r>
          </w:p>
        </w:tc>
        <w:tc>
          <w:tcPr>
            <w:tcW w:w="200" w:type="dxa"/>
            <w:vAlign w:val="bottom"/>
          </w:tcPr>
          <w:p>
            <w:pPr>
              <w:spacing w:after="0"/>
              <w:rPr>
                <w:sz w:val="21"/>
                <w:szCs w:val="21"/>
                <w:color w:val="auto"/>
              </w:rPr>
            </w:pPr>
          </w:p>
        </w:tc>
        <w:tc>
          <w:tcPr>
            <w:tcW w:w="2580" w:type="dxa"/>
            <w:vAlign w:val="bottom"/>
            <w:gridSpan w:val="4"/>
          </w:tcPr>
          <w:p>
            <w:pPr>
              <w:jc w:val="right"/>
              <w:ind w:right="190"/>
              <w:spacing w:after="0"/>
              <w:rPr>
                <w:sz w:val="20"/>
                <w:szCs w:val="20"/>
                <w:color w:val="auto"/>
              </w:rPr>
            </w:pPr>
            <w:r>
              <w:rPr>
                <w:rFonts w:ascii="Arial" w:cs="Arial" w:eastAsia="Arial" w:hAnsi="Arial"/>
                <w:sz w:val="18"/>
                <w:szCs w:val="18"/>
                <w:color w:val="auto"/>
              </w:rPr>
              <w:t>Six Months Ended June 30,</w:t>
            </w:r>
          </w:p>
        </w:tc>
        <w:tc>
          <w:tcPr>
            <w:tcW w:w="0" w:type="dxa"/>
            <w:vAlign w:val="bottom"/>
          </w:tcPr>
          <w:p>
            <w:pPr>
              <w:spacing w:after="0"/>
              <w:rPr>
                <w:sz w:val="1"/>
                <w:szCs w:val="1"/>
                <w:color w:val="auto"/>
              </w:rPr>
            </w:pPr>
          </w:p>
        </w:tc>
      </w:tr>
      <w:tr>
        <w:trPr>
          <w:trHeight w:val="237"/>
        </w:trPr>
        <w:tc>
          <w:tcPr>
            <w:tcW w:w="5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11"/>
        </w:trPr>
        <w:tc>
          <w:tcPr>
            <w:tcW w:w="5200" w:type="dxa"/>
            <w:vAlign w:val="bottom"/>
          </w:tcPr>
          <w:p>
            <w:pPr>
              <w:spacing w:after="0"/>
              <w:rPr>
                <w:sz w:val="20"/>
                <w:szCs w:val="20"/>
                <w:color w:val="auto"/>
              </w:rPr>
            </w:pPr>
            <w:r>
              <w:rPr>
                <w:rFonts w:ascii="Arial" w:cs="Arial" w:eastAsia="Arial" w:hAnsi="Arial"/>
                <w:sz w:val="18"/>
                <w:szCs w:val="18"/>
                <w:color w:val="auto"/>
              </w:rPr>
              <w:t>Revenues:</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100"/>
              <w:spacing w:after="0"/>
              <w:rPr>
                <w:sz w:val="20"/>
                <w:szCs w:val="20"/>
                <w:color w:val="auto"/>
              </w:rPr>
            </w:pPr>
            <w:r>
              <w:rPr>
                <w:rFonts w:ascii="Arial" w:cs="Arial" w:eastAsia="Arial" w:hAnsi="Arial"/>
                <w:sz w:val="18"/>
                <w:szCs w:val="18"/>
                <w:color w:val="auto"/>
              </w:rPr>
              <w:t>Testing 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59,718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50,793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115,698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83,871</w:t>
            </w:r>
          </w:p>
        </w:tc>
        <w:tc>
          <w:tcPr>
            <w:tcW w:w="0" w:type="dxa"/>
            <w:vAlign w:val="bottom"/>
          </w:tcPr>
          <w:p>
            <w:pPr>
              <w:spacing w:after="0"/>
              <w:rPr>
                <w:sz w:val="1"/>
                <w:szCs w:val="1"/>
                <w:color w:val="auto"/>
              </w:rPr>
            </w:pPr>
          </w:p>
        </w:tc>
      </w:tr>
      <w:tr>
        <w:trPr>
          <w:trHeight w:val="230"/>
        </w:trPr>
        <w:tc>
          <w:tcPr>
            <w:tcW w:w="5200" w:type="dxa"/>
            <w:vAlign w:val="bottom"/>
          </w:tcPr>
          <w:p>
            <w:pPr>
              <w:ind w:left="100"/>
              <w:spacing w:after="0"/>
              <w:rPr>
                <w:sz w:val="20"/>
                <w:szCs w:val="20"/>
                <w:color w:val="auto"/>
              </w:rPr>
            </w:pPr>
            <w:r>
              <w:rPr>
                <w:rFonts w:ascii="Arial" w:cs="Arial" w:eastAsia="Arial" w:hAnsi="Arial"/>
                <w:sz w:val="18"/>
                <w:szCs w:val="18"/>
                <w:color w:val="auto"/>
              </w:rPr>
              <w:t>Product revenue</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5,747</w:t>
            </w:r>
          </w:p>
        </w:tc>
        <w:tc>
          <w:tcPr>
            <w:tcW w:w="0" w:type="dxa"/>
            <w:vAlign w:val="bottom"/>
          </w:tcPr>
          <w:p>
            <w:pPr>
              <w:spacing w:after="0"/>
              <w:rPr>
                <w:sz w:val="1"/>
                <w:szCs w:val="1"/>
                <w:color w:val="auto"/>
              </w:rPr>
            </w:pPr>
          </w:p>
        </w:tc>
      </w:tr>
      <w:tr>
        <w:trPr>
          <w:trHeight w:val="235"/>
        </w:trPr>
        <w:tc>
          <w:tcPr>
            <w:tcW w:w="5200" w:type="dxa"/>
            <w:vAlign w:val="bottom"/>
          </w:tcPr>
          <w:p>
            <w:pPr>
              <w:ind w:left="100"/>
              <w:spacing w:after="0"/>
              <w:rPr>
                <w:sz w:val="20"/>
                <w:szCs w:val="20"/>
                <w:color w:val="auto"/>
              </w:rPr>
            </w:pPr>
            <w:r>
              <w:rPr>
                <w:rFonts w:ascii="Arial" w:cs="Arial" w:eastAsia="Arial" w:hAnsi="Arial"/>
                <w:sz w:val="18"/>
                <w:szCs w:val="18"/>
                <w:color w:val="auto"/>
              </w:rPr>
              <w:t>Biopharmaceutical and other revenue</w:t>
            </w: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10,038</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18,862</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223"/>
        </w:trPr>
        <w:tc>
          <w:tcPr>
            <w:tcW w:w="5200" w:type="dxa"/>
            <w:vAlign w:val="bottom"/>
          </w:tcPr>
          <w:p>
            <w:pPr>
              <w:ind w:left="220"/>
              <w:spacing w:after="0"/>
              <w:rPr>
                <w:sz w:val="20"/>
                <w:szCs w:val="20"/>
                <w:color w:val="auto"/>
              </w:rPr>
            </w:pPr>
            <w:r>
              <w:rPr>
                <w:rFonts w:ascii="Arial" w:cs="Arial" w:eastAsia="Arial" w:hAnsi="Arial"/>
                <w:sz w:val="18"/>
                <w:szCs w:val="18"/>
                <w:color w:val="auto"/>
              </w:rPr>
              <w:t>Total revenue</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72,864</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55,105</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140,647</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91,808</w:t>
            </w:r>
          </w:p>
        </w:tc>
        <w:tc>
          <w:tcPr>
            <w:tcW w:w="0" w:type="dxa"/>
            <w:vAlign w:val="bottom"/>
          </w:tcPr>
          <w:p>
            <w:pPr>
              <w:spacing w:after="0"/>
              <w:rPr>
                <w:sz w:val="1"/>
                <w:szCs w:val="1"/>
                <w:color w:val="auto"/>
              </w:rPr>
            </w:pPr>
          </w:p>
        </w:tc>
      </w:tr>
      <w:tr>
        <w:trPr>
          <w:trHeight w:val="461"/>
        </w:trPr>
        <w:tc>
          <w:tcPr>
            <w:tcW w:w="5200" w:type="dxa"/>
            <w:vAlign w:val="bottom"/>
          </w:tcPr>
          <w:p>
            <w:pPr>
              <w:spacing w:after="0"/>
              <w:rPr>
                <w:sz w:val="20"/>
                <w:szCs w:val="20"/>
                <w:color w:val="auto"/>
              </w:rPr>
            </w:pPr>
            <w:r>
              <w:rPr>
                <w:rFonts w:ascii="Arial" w:cs="Arial" w:eastAsia="Arial" w:hAnsi="Arial"/>
                <w:sz w:val="18"/>
                <w:szCs w:val="18"/>
                <w:color w:val="auto"/>
              </w:rPr>
              <w:t>Operating expenses (1):</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100"/>
              <w:spacing w:after="0"/>
              <w:rPr>
                <w:sz w:val="20"/>
                <w:szCs w:val="20"/>
                <w:color w:val="auto"/>
              </w:rPr>
            </w:pPr>
            <w:r>
              <w:rPr>
                <w:rFonts w:ascii="Arial" w:cs="Arial" w:eastAsia="Arial" w:hAnsi="Arial"/>
                <w:sz w:val="18"/>
                <w:szCs w:val="18"/>
                <w:color w:val="auto"/>
              </w:rPr>
              <w:t>Cost of testing revenue</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18,584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15,589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36,107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26,421</w:t>
            </w:r>
          </w:p>
        </w:tc>
        <w:tc>
          <w:tcPr>
            <w:tcW w:w="0" w:type="dxa"/>
            <w:vAlign w:val="bottom"/>
          </w:tcPr>
          <w:p>
            <w:pPr>
              <w:spacing w:after="0"/>
              <w:rPr>
                <w:sz w:val="1"/>
                <w:szCs w:val="1"/>
                <w:color w:val="auto"/>
              </w:rPr>
            </w:pPr>
          </w:p>
        </w:tc>
      </w:tr>
      <w:tr>
        <w:trPr>
          <w:trHeight w:val="230"/>
        </w:trPr>
        <w:tc>
          <w:tcPr>
            <w:tcW w:w="5200" w:type="dxa"/>
            <w:vAlign w:val="bottom"/>
          </w:tcPr>
          <w:p>
            <w:pPr>
              <w:ind w:left="100"/>
              <w:spacing w:after="0"/>
              <w:rPr>
                <w:sz w:val="20"/>
                <w:szCs w:val="20"/>
                <w:color w:val="auto"/>
              </w:rPr>
            </w:pPr>
            <w:r>
              <w:rPr>
                <w:rFonts w:ascii="Arial" w:cs="Arial" w:eastAsia="Arial" w:hAnsi="Arial"/>
                <w:sz w:val="18"/>
                <w:szCs w:val="18"/>
                <w:color w:val="auto"/>
              </w:rPr>
              <w:t>Cost of product revenue</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2,813</w:t>
            </w:r>
          </w:p>
        </w:tc>
        <w:tc>
          <w:tcPr>
            <w:tcW w:w="0" w:type="dxa"/>
            <w:vAlign w:val="bottom"/>
          </w:tcPr>
          <w:p>
            <w:pPr>
              <w:spacing w:after="0"/>
              <w:rPr>
                <w:sz w:val="1"/>
                <w:szCs w:val="1"/>
                <w:color w:val="auto"/>
              </w:rPr>
            </w:pPr>
          </w:p>
        </w:tc>
      </w:tr>
      <w:tr>
        <w:trPr>
          <w:trHeight w:val="229"/>
        </w:trPr>
        <w:tc>
          <w:tcPr>
            <w:tcW w:w="5200" w:type="dxa"/>
            <w:vAlign w:val="bottom"/>
          </w:tcPr>
          <w:p>
            <w:pPr>
              <w:ind w:left="100"/>
              <w:spacing w:after="0"/>
              <w:rPr>
                <w:sz w:val="20"/>
                <w:szCs w:val="20"/>
                <w:color w:val="auto"/>
              </w:rPr>
            </w:pPr>
            <w:r>
              <w:rPr>
                <w:rFonts w:ascii="Arial" w:cs="Arial" w:eastAsia="Arial" w:hAnsi="Arial"/>
                <w:sz w:val="18"/>
                <w:szCs w:val="18"/>
                <w:color w:val="auto"/>
              </w:rPr>
              <w:t>Cost of biopharmaceutical and other revenue</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29"/>
        </w:trPr>
        <w:tc>
          <w:tcPr>
            <w:tcW w:w="5200" w:type="dxa"/>
            <w:vAlign w:val="bottom"/>
          </w:tcPr>
          <w:p>
            <w:pPr>
              <w:ind w:left="10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18,543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11,585</w:t>
            </w:r>
          </w:p>
        </w:tc>
        <w:tc>
          <w:tcPr>
            <w:tcW w:w="0" w:type="dxa"/>
            <w:vAlign w:val="bottom"/>
          </w:tcPr>
          <w:p>
            <w:pPr>
              <w:spacing w:after="0"/>
              <w:rPr>
                <w:sz w:val="1"/>
                <w:szCs w:val="1"/>
                <w:color w:val="auto"/>
              </w:rPr>
            </w:pPr>
          </w:p>
        </w:tc>
      </w:tr>
      <w:tr>
        <w:trPr>
          <w:trHeight w:val="230"/>
        </w:trPr>
        <w:tc>
          <w:tcPr>
            <w:tcW w:w="5200" w:type="dxa"/>
            <w:vAlign w:val="bottom"/>
          </w:tcPr>
          <w:p>
            <w:pPr>
              <w:ind w:left="100"/>
              <w:spacing w:after="0"/>
              <w:rPr>
                <w:sz w:val="20"/>
                <w:szCs w:val="20"/>
                <w:color w:val="auto"/>
              </w:rPr>
            </w:pPr>
            <w:r>
              <w:rPr>
                <w:rFonts w:ascii="Arial" w:cs="Arial" w:eastAsia="Arial" w:hAnsi="Arial"/>
                <w:sz w:val="18"/>
                <w:szCs w:val="18"/>
                <w:color w:val="auto"/>
              </w:rPr>
              <w:t>Selling and marketing</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24,001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19,662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47,755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35,958</w:t>
            </w:r>
          </w:p>
        </w:tc>
        <w:tc>
          <w:tcPr>
            <w:tcW w:w="0" w:type="dxa"/>
            <w:vAlign w:val="bottom"/>
          </w:tcPr>
          <w:p>
            <w:pPr>
              <w:spacing w:after="0"/>
              <w:rPr>
                <w:sz w:val="1"/>
                <w:szCs w:val="1"/>
                <w:color w:val="auto"/>
              </w:rPr>
            </w:pPr>
          </w:p>
        </w:tc>
      </w:tr>
      <w:tr>
        <w:trPr>
          <w:trHeight w:val="229"/>
        </w:trPr>
        <w:tc>
          <w:tcPr>
            <w:tcW w:w="520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19,798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15,473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40,710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61,755</w:t>
            </w:r>
          </w:p>
        </w:tc>
        <w:tc>
          <w:tcPr>
            <w:tcW w:w="0" w:type="dxa"/>
            <w:vAlign w:val="bottom"/>
          </w:tcPr>
          <w:p>
            <w:pPr>
              <w:spacing w:after="0"/>
              <w:rPr>
                <w:sz w:val="1"/>
                <w:szCs w:val="1"/>
                <w:color w:val="auto"/>
              </w:rPr>
            </w:pPr>
          </w:p>
        </w:tc>
      </w:tr>
      <w:tr>
        <w:trPr>
          <w:trHeight w:val="235"/>
        </w:trPr>
        <w:tc>
          <w:tcPr>
            <w:tcW w:w="5200" w:type="dxa"/>
            <w:vAlign w:val="bottom"/>
          </w:tcPr>
          <w:p>
            <w:pPr>
              <w:ind w:left="100"/>
              <w:spacing w:after="0"/>
              <w:rPr>
                <w:sz w:val="20"/>
                <w:szCs w:val="20"/>
                <w:color w:val="auto"/>
              </w:rPr>
            </w:pPr>
            <w:r>
              <w:rPr>
                <w:rFonts w:ascii="Arial" w:cs="Arial" w:eastAsia="Arial" w:hAnsi="Arial"/>
                <w:sz w:val="18"/>
                <w:szCs w:val="18"/>
                <w:color w:val="auto"/>
              </w:rPr>
              <w:t>Intangible asset amortization</w:t>
            </w: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5,391</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3,723</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10,877</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5,524</w:t>
            </w:r>
          </w:p>
        </w:tc>
        <w:tc>
          <w:tcPr>
            <w:tcW w:w="0" w:type="dxa"/>
            <w:vAlign w:val="bottom"/>
          </w:tcPr>
          <w:p>
            <w:pPr>
              <w:spacing w:after="0"/>
              <w:rPr>
                <w:sz w:val="1"/>
                <w:szCs w:val="1"/>
                <w:color w:val="auto"/>
              </w:rPr>
            </w:pPr>
          </w:p>
        </w:tc>
      </w:tr>
      <w:tr>
        <w:trPr>
          <w:trHeight w:val="223"/>
        </w:trPr>
        <w:tc>
          <w:tcPr>
            <w:tcW w:w="5200" w:type="dxa"/>
            <w:vAlign w:val="bottom"/>
          </w:tcPr>
          <w:p>
            <w:pPr>
              <w:ind w:left="22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83,597</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62,579</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166,628</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144,697</w:t>
            </w:r>
          </w:p>
        </w:tc>
        <w:tc>
          <w:tcPr>
            <w:tcW w:w="0" w:type="dxa"/>
            <w:vAlign w:val="bottom"/>
          </w:tcPr>
          <w:p>
            <w:pPr>
              <w:spacing w:after="0"/>
              <w:rPr>
                <w:sz w:val="1"/>
                <w:szCs w:val="1"/>
                <w:color w:val="auto"/>
              </w:rPr>
            </w:pPr>
          </w:p>
        </w:tc>
      </w:tr>
      <w:tr>
        <w:trPr>
          <w:trHeight w:val="218"/>
        </w:trPr>
        <w:tc>
          <w:tcPr>
            <w:tcW w:w="5200" w:type="dxa"/>
            <w:vAlign w:val="bottom"/>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(10,733)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(25,981)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(52,889)</w:t>
            </w:r>
          </w:p>
        </w:tc>
        <w:tc>
          <w:tcPr>
            <w:tcW w:w="0" w:type="dxa"/>
            <w:vAlign w:val="bottom"/>
          </w:tcPr>
          <w:p>
            <w:pPr>
              <w:spacing w:after="0"/>
              <w:rPr>
                <w:sz w:val="1"/>
                <w:szCs w:val="1"/>
                <w:color w:val="auto"/>
              </w:rPr>
            </w:pPr>
          </w:p>
        </w:tc>
      </w:tr>
      <w:tr>
        <w:trPr>
          <w:trHeight w:val="235"/>
        </w:trPr>
        <w:tc>
          <w:tcPr>
            <w:tcW w:w="5200" w:type="dxa"/>
            <w:vAlign w:val="bottom"/>
          </w:tcPr>
          <w:p>
            <w:pPr>
              <w:spacing w:after="0"/>
              <w:rPr>
                <w:sz w:val="20"/>
                <w:szCs w:val="20"/>
                <w:color w:val="auto"/>
              </w:rPr>
            </w:pPr>
            <w:r>
              <w:rPr>
                <w:rFonts w:ascii="Arial" w:cs="Arial" w:eastAsia="Arial" w:hAnsi="Arial"/>
                <w:sz w:val="18"/>
                <w:szCs w:val="18"/>
                <w:color w:val="auto"/>
              </w:rPr>
              <w:t>Other income (loss), net</w:t>
            </w: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(1,716)</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1,870</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(1,964)</w:t>
            </w:r>
          </w:p>
        </w:tc>
        <w:tc>
          <w:tcPr>
            <w:tcW w:w="0" w:type="dxa"/>
            <w:vAlign w:val="bottom"/>
          </w:tcPr>
          <w:p>
            <w:pPr>
              <w:spacing w:after="0"/>
              <w:rPr>
                <w:sz w:val="1"/>
                <w:szCs w:val="1"/>
                <w:color w:val="auto"/>
              </w:rPr>
            </w:pPr>
          </w:p>
        </w:tc>
      </w:tr>
      <w:tr>
        <w:trPr>
          <w:trHeight w:val="218"/>
        </w:trPr>
        <w:tc>
          <w:tcPr>
            <w:tcW w:w="520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(24,111)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(54,853)</w:t>
            </w:r>
          </w:p>
        </w:tc>
        <w:tc>
          <w:tcPr>
            <w:tcW w:w="0" w:type="dxa"/>
            <w:vAlign w:val="bottom"/>
          </w:tcPr>
          <w:p>
            <w:pPr>
              <w:spacing w:after="0"/>
              <w:rPr>
                <w:sz w:val="1"/>
                <w:szCs w:val="1"/>
                <w:color w:val="auto"/>
              </w:rPr>
            </w:pPr>
          </w:p>
        </w:tc>
      </w:tr>
      <w:tr>
        <w:trPr>
          <w:trHeight w:val="235"/>
        </w:trPr>
        <w:tc>
          <w:tcPr>
            <w:tcW w:w="5200" w:type="dxa"/>
            <w:vAlign w:val="bottom"/>
          </w:tcPr>
          <w:p>
            <w:pPr>
              <w:spacing w:after="0"/>
              <w:rPr>
                <w:sz w:val="20"/>
                <w:szCs w:val="20"/>
                <w:color w:val="auto"/>
              </w:rPr>
            </w:pPr>
            <w:r>
              <w:rPr>
                <w:rFonts w:ascii="Arial" w:cs="Arial" w:eastAsia="Arial" w:hAnsi="Arial"/>
                <w:sz w:val="18"/>
                <w:szCs w:val="18"/>
                <w:color w:val="auto"/>
              </w:rPr>
              <w:t>Income tax benefit</w:t>
            </w: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(3,947)</w:t>
            </w: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Net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(23,993)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(50,906)</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Net loss per common share, basic and diluted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line="182" w:lineRule="exact"/>
              <w:rPr>
                <w:sz w:val="20"/>
                <w:szCs w:val="20"/>
                <w:color w:val="auto"/>
              </w:rPr>
            </w:pPr>
            <w:r>
              <w:rPr>
                <w:rFonts w:ascii="Arial" w:cs="Arial" w:eastAsia="Arial" w:hAnsi="Arial"/>
                <w:sz w:val="18"/>
                <w:szCs w:val="18"/>
                <w:color w:val="auto"/>
              </w:rPr>
              <w:t>Shares used to compute net loss per common share, basic and</w:t>
            </w: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52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71,476,966</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67,316,065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71,354,002</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65,334,890</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diluted</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8" w:right="160" w:firstLine="8"/>
        <w:spacing w:after="0" w:line="287" w:lineRule="auto"/>
        <w:tabs>
          <w:tab w:leader="none" w:pos="192"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 of revenue, research and development, sales and marketing and general and administrative expenses include the following stock-based compensation related expenses:</w:t>
      </w:r>
    </w:p>
    <w:p>
      <w:pPr>
        <w:spacing w:after="0" w:line="220" w:lineRule="exact"/>
        <w:rPr>
          <w:sz w:val="20"/>
          <w:szCs w:val="20"/>
          <w:color w:val="auto"/>
        </w:rPr>
      </w:pPr>
    </w:p>
    <w:tbl>
      <w:tblPr>
        <w:tblLayout w:type="fixed"/>
        <w:tblInd w:w="252" w:type="dxa"/>
        <w:tblCellMar>
          <w:top w:w="0" w:type="dxa"/>
          <w:left w:w="0" w:type="dxa"/>
          <w:bottom w:w="0" w:type="dxa"/>
          <w:right w:w="0" w:type="dxa"/>
        </w:tblCellMar>
      </w:tblPr>
      <w:tr>
        <w:trPr>
          <w:trHeight w:val="242"/>
        </w:trPr>
        <w:tc>
          <w:tcPr>
            <w:tcW w:w="5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720" w:type="dxa"/>
            <w:vAlign w:val="bottom"/>
            <w:gridSpan w:val="5"/>
          </w:tcPr>
          <w:p>
            <w:pPr>
              <w:ind w:left="20"/>
              <w:spacing w:after="0"/>
              <w:rPr>
                <w:sz w:val="20"/>
                <w:szCs w:val="20"/>
                <w:color w:val="auto"/>
              </w:rPr>
            </w:pPr>
            <w:r>
              <w:rPr>
                <w:rFonts w:ascii="Arial" w:cs="Arial" w:eastAsia="Arial" w:hAnsi="Arial"/>
                <w:sz w:val="18"/>
                <w:szCs w:val="18"/>
                <w:color w:val="auto"/>
              </w:rPr>
              <w:t>Three Months Ended June 30,</w:t>
            </w:r>
          </w:p>
        </w:tc>
        <w:tc>
          <w:tcPr>
            <w:tcW w:w="200" w:type="dxa"/>
            <w:vAlign w:val="bottom"/>
          </w:tcPr>
          <w:p>
            <w:pPr>
              <w:spacing w:after="0"/>
              <w:rPr>
                <w:sz w:val="21"/>
                <w:szCs w:val="21"/>
                <w:color w:val="auto"/>
              </w:rPr>
            </w:pPr>
          </w:p>
        </w:tc>
        <w:tc>
          <w:tcPr>
            <w:tcW w:w="2560" w:type="dxa"/>
            <w:vAlign w:val="bottom"/>
            <w:gridSpan w:val="4"/>
          </w:tcPr>
          <w:p>
            <w:pPr>
              <w:jc w:val="right"/>
              <w:ind w:right="190"/>
              <w:spacing w:after="0"/>
              <w:rPr>
                <w:sz w:val="20"/>
                <w:szCs w:val="20"/>
                <w:color w:val="auto"/>
              </w:rPr>
            </w:pPr>
            <w:r>
              <w:rPr>
                <w:rFonts w:ascii="Arial" w:cs="Arial" w:eastAsia="Arial" w:hAnsi="Arial"/>
                <w:sz w:val="18"/>
                <w:szCs w:val="18"/>
                <w:color w:val="auto"/>
              </w:rPr>
              <w:t>Six Months Ended June 30,</w:t>
            </w:r>
          </w:p>
        </w:tc>
      </w:tr>
      <w:tr>
        <w:trPr>
          <w:trHeight w:val="236"/>
        </w:trPr>
        <w:tc>
          <w:tcPr>
            <w:tcW w:w="5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2022</w:t>
            </w:r>
          </w:p>
        </w:tc>
        <w:tc>
          <w:tcPr>
            <w:tcW w:w="120" w:type="dxa"/>
            <w:vAlign w:val="bottom"/>
            <w:tcBorders>
              <w:top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2022</w:t>
            </w:r>
          </w:p>
        </w:tc>
        <w:tc>
          <w:tcPr>
            <w:tcW w:w="120" w:type="dxa"/>
            <w:vAlign w:val="bottom"/>
            <w:tcBorders>
              <w:top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2021</w:t>
            </w:r>
          </w:p>
        </w:tc>
      </w:tr>
      <w:tr>
        <w:trPr>
          <w:trHeight w:val="224"/>
        </w:trPr>
        <w:tc>
          <w:tcPr>
            <w:tcW w:w="5240" w:type="dxa"/>
            <w:vAlign w:val="bottom"/>
          </w:tcPr>
          <w:p>
            <w:pPr>
              <w:spacing w:after="0"/>
              <w:rPr>
                <w:sz w:val="20"/>
                <w:szCs w:val="20"/>
                <w:color w:val="auto"/>
              </w:rPr>
            </w:pPr>
            <w:r>
              <w:rPr>
                <w:rFonts w:ascii="Arial" w:cs="Arial" w:eastAsia="Arial" w:hAnsi="Arial"/>
                <w:sz w:val="18"/>
                <w:szCs w:val="18"/>
                <w:color w:val="auto"/>
              </w:rPr>
              <w:t>Cost of 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657</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287</w:t>
            </w: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1,452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3,108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1,916</w:t>
            </w: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Selling and marketing</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1,660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2,705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1,636</w:t>
            </w:r>
          </w:p>
        </w:tc>
      </w:tr>
      <w:tr>
        <w:trPr>
          <w:trHeight w:val="235"/>
        </w:trPr>
        <w:tc>
          <w:tcPr>
            <w:tcW w:w="52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2,627</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2,236</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6,510</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4,080</w:t>
            </w:r>
          </w:p>
        </w:tc>
      </w:tr>
      <w:tr>
        <w:trPr>
          <w:trHeight w:val="223"/>
        </w:trPr>
        <w:tc>
          <w:tcPr>
            <w:tcW w:w="5240" w:type="dxa"/>
            <w:vAlign w:val="bottom"/>
          </w:tcPr>
          <w:p>
            <w:pPr>
              <w:ind w:left="100"/>
              <w:spacing w:after="0"/>
              <w:rPr>
                <w:sz w:val="20"/>
                <w:szCs w:val="20"/>
                <w:color w:val="auto"/>
              </w:rPr>
            </w:pPr>
            <w:r>
              <w:rPr>
                <w:rFonts w:ascii="Arial" w:cs="Arial" w:eastAsia="Arial" w:hAnsi="Arial"/>
                <w:sz w:val="18"/>
                <w:szCs w:val="18"/>
                <w:color w:val="auto"/>
              </w:rPr>
              <w:t>Total stock-based compensation expense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7,919</w:t>
            </w:r>
          </w:p>
        </w:tc>
      </w:tr>
      <w:tr>
        <w:trPr>
          <w:trHeight w:val="20"/>
        </w:trPr>
        <w:tc>
          <w:tcPr>
            <w:tcW w:w="5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112"/>
          </w:cols>
          <w:pgMar w:left="328" w:top="1440" w:right="45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color w:val="auto"/>
        </w:rPr>
        <w:t>VERACYTE, INC.</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CONDENSED CONSOLIDATED STATEMENT OF COMPREHENSIVE LOSS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20" w:type="dxa"/>
            <w:vAlign w:val="bottom"/>
            <w:gridSpan w:val="5"/>
          </w:tcPr>
          <w:p>
            <w:pPr>
              <w:ind w:left="60"/>
              <w:spacing w:after="0"/>
              <w:rPr>
                <w:sz w:val="20"/>
                <w:szCs w:val="20"/>
                <w:color w:val="auto"/>
              </w:rPr>
            </w:pPr>
            <w:r>
              <w:rPr>
                <w:rFonts w:ascii="Arial" w:cs="Arial" w:eastAsia="Arial" w:hAnsi="Arial"/>
                <w:sz w:val="18"/>
                <w:szCs w:val="18"/>
                <w:color w:val="auto"/>
              </w:rPr>
              <w:t>Three Months Ended June 30,</w:t>
            </w:r>
          </w:p>
        </w:tc>
        <w:tc>
          <w:tcPr>
            <w:tcW w:w="240" w:type="dxa"/>
            <w:vAlign w:val="bottom"/>
          </w:tcPr>
          <w:p>
            <w:pPr>
              <w:spacing w:after="0"/>
              <w:rPr>
                <w:sz w:val="21"/>
                <w:szCs w:val="21"/>
                <w:color w:val="auto"/>
              </w:rPr>
            </w:pPr>
          </w:p>
        </w:tc>
        <w:tc>
          <w:tcPr>
            <w:tcW w:w="2660" w:type="dxa"/>
            <w:vAlign w:val="bottom"/>
            <w:gridSpan w:val="4"/>
          </w:tcPr>
          <w:p>
            <w:pPr>
              <w:jc w:val="right"/>
              <w:ind w:right="270"/>
              <w:spacing w:after="0"/>
              <w:rPr>
                <w:sz w:val="20"/>
                <w:szCs w:val="20"/>
                <w:color w:val="auto"/>
              </w:rPr>
            </w:pPr>
            <w:r>
              <w:rPr>
                <w:rFonts w:ascii="Arial" w:cs="Arial" w:eastAsia="Arial" w:hAnsi="Arial"/>
                <w:sz w:val="18"/>
                <w:szCs w:val="18"/>
                <w:color w:val="auto"/>
              </w:rPr>
              <w:t>Six Months Ended June 30,</w:t>
            </w:r>
          </w:p>
        </w:tc>
      </w:tr>
      <w:tr>
        <w:trPr>
          <w:trHeight w:val="229"/>
        </w:trPr>
        <w:tc>
          <w:tcPr>
            <w:tcW w:w="5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r>
      <w:tr>
        <w:trPr>
          <w:trHeight w:val="218"/>
        </w:trPr>
        <w:tc>
          <w:tcPr>
            <w:tcW w:w="532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(9,532)</w:t>
            </w:r>
          </w:p>
        </w:tc>
        <w:tc>
          <w:tcPr>
            <w:tcW w:w="10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(9,038)</w:t>
            </w:r>
          </w:p>
        </w:tc>
        <w:tc>
          <w:tcPr>
            <w:tcW w:w="10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(23,993)</w:t>
            </w:r>
          </w:p>
        </w:tc>
        <w:tc>
          <w:tcPr>
            <w:tcW w:w="10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(50,906)</w:t>
            </w:r>
          </w:p>
        </w:tc>
      </w:tr>
      <w:tr>
        <w:trPr>
          <w:trHeight w:val="229"/>
        </w:trPr>
        <w:tc>
          <w:tcPr>
            <w:tcW w:w="5320" w:type="dxa"/>
            <w:vAlign w:val="bottom"/>
          </w:tcPr>
          <w:p>
            <w:pPr>
              <w:ind w:left="120"/>
              <w:spacing w:after="0"/>
              <w:rPr>
                <w:sz w:val="20"/>
                <w:szCs w:val="20"/>
                <w:color w:val="auto"/>
              </w:rPr>
            </w:pPr>
            <w:r>
              <w:rPr>
                <w:rFonts w:ascii="Arial" w:cs="Arial" w:eastAsia="Arial" w:hAnsi="Arial"/>
                <w:sz w:val="18"/>
                <w:szCs w:val="18"/>
                <w:color w:val="auto"/>
              </w:rPr>
              <w:t>Other comprehensive loss:</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9"/>
        </w:trPr>
        <w:tc>
          <w:tcPr>
            <w:tcW w:w="5320" w:type="dxa"/>
            <w:vAlign w:val="bottom"/>
          </w:tcPr>
          <w:p>
            <w:pPr>
              <w:ind w:left="240"/>
              <w:spacing w:after="0"/>
              <w:rPr>
                <w:sz w:val="20"/>
                <w:szCs w:val="20"/>
                <w:color w:val="auto"/>
              </w:rPr>
            </w:pPr>
            <w:r>
              <w:rPr>
                <w:rFonts w:ascii="Arial" w:cs="Arial" w:eastAsia="Arial" w:hAnsi="Arial"/>
                <w:sz w:val="18"/>
                <w:szCs w:val="18"/>
                <w:color w:val="auto"/>
              </w:rPr>
              <w:t>Change in currency translation adjustments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(17,369)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(22,967)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3"/>
        </w:trPr>
        <w:tc>
          <w:tcPr>
            <w:tcW w:w="53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Net comprehensive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(26,901)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(46,960)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(50,906)</w:t>
            </w:r>
          </w:p>
        </w:tc>
      </w:tr>
      <w:tr>
        <w:trPr>
          <w:trHeight w:val="20"/>
        </w:trPr>
        <w:tc>
          <w:tcPr>
            <w:tcW w:w="5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20"/>
          </w:cols>
          <w:pgMar w:left="340" w:top="931" w:right="3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color w:val="auto"/>
        </w:rPr>
        <w:t>VERACYTE, INC.</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CONDENSED CONSOLIDATED BALANCE SHEETS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gridSpan w:val="2"/>
          </w:tcPr>
          <w:p>
            <w:pPr>
              <w:jc w:val="center"/>
              <w:ind w:right="460"/>
              <w:spacing w:after="0"/>
              <w:rPr>
                <w:sz w:val="20"/>
                <w:szCs w:val="20"/>
                <w:color w:val="auto"/>
              </w:rPr>
            </w:pPr>
            <w:r>
              <w:rPr>
                <w:rFonts w:ascii="Arial" w:cs="Arial" w:eastAsia="Arial" w:hAnsi="Arial"/>
                <w:sz w:val="18"/>
                <w:szCs w:val="18"/>
                <w:color w:val="auto"/>
                <w:w w:val="98"/>
              </w:rPr>
              <w:t>June 30,</w:t>
            </w:r>
          </w:p>
        </w:tc>
        <w:tc>
          <w:tcPr>
            <w:tcW w:w="320" w:type="dxa"/>
            <w:vAlign w:val="bottom"/>
          </w:tcPr>
          <w:p>
            <w:pPr>
              <w:spacing w:after="0"/>
              <w:rPr>
                <w:sz w:val="19"/>
                <w:szCs w:val="19"/>
                <w:color w:val="auto"/>
              </w:rPr>
            </w:pPr>
          </w:p>
        </w:tc>
        <w:tc>
          <w:tcPr>
            <w:tcW w:w="1800" w:type="dxa"/>
            <w:vAlign w:val="bottom"/>
          </w:tcPr>
          <w:p>
            <w:pPr>
              <w:jc w:val="center"/>
              <w:ind w:right="21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42"/>
        </w:trPr>
        <w:tc>
          <w:tcPr>
            <w:tcW w:w="66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color w:val="auto"/>
                <w:w w:val="99"/>
              </w:rPr>
              <w:t>2022</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99"/>
              </w:rPr>
              <w:t>2021</w:t>
            </w:r>
          </w:p>
        </w:tc>
        <w:tc>
          <w:tcPr>
            <w:tcW w:w="0" w:type="dxa"/>
            <w:vAlign w:val="bottom"/>
          </w:tcPr>
          <w:p>
            <w:pPr>
              <w:spacing w:after="0"/>
              <w:rPr>
                <w:sz w:val="1"/>
                <w:szCs w:val="1"/>
                <w:color w:val="auto"/>
              </w:rPr>
            </w:pPr>
          </w:p>
        </w:tc>
      </w:tr>
      <w:tr>
        <w:trPr>
          <w:trHeight w:val="239"/>
        </w:trPr>
        <w:tc>
          <w:tcPr>
            <w:tcW w:w="660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360" w:type="dxa"/>
            <w:vAlign w:val="bottom"/>
          </w:tcPr>
          <w:p>
            <w:pPr>
              <w:spacing w:after="0"/>
              <w:rPr>
                <w:sz w:val="20"/>
                <w:szCs w:val="20"/>
                <w:color w:val="auto"/>
              </w:rPr>
            </w:pPr>
          </w:p>
        </w:tc>
        <w:tc>
          <w:tcPr>
            <w:tcW w:w="1760" w:type="dxa"/>
            <w:vAlign w:val="bottom"/>
          </w:tcPr>
          <w:p>
            <w:pPr>
              <w:jc w:val="center"/>
              <w:ind w:right="290"/>
              <w:spacing w:after="0"/>
              <w:rPr>
                <w:sz w:val="20"/>
                <w:szCs w:val="20"/>
                <w:color w:val="auto"/>
              </w:rPr>
            </w:pPr>
            <w:r>
              <w:rPr>
                <w:rFonts w:ascii="Arial" w:cs="Arial" w:eastAsia="Arial" w:hAnsi="Arial"/>
                <w:sz w:val="18"/>
                <w:szCs w:val="18"/>
                <w:color w:val="auto"/>
                <w:w w:val="99"/>
              </w:rPr>
              <w:t>(Unaudited)</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tcPr>
          <w:p>
            <w:pPr>
              <w:jc w:val="center"/>
              <w:ind w:right="210"/>
              <w:spacing w:after="0"/>
              <w:rPr>
                <w:sz w:val="20"/>
                <w:szCs w:val="20"/>
                <w:color w:val="auto"/>
              </w:rPr>
            </w:pPr>
            <w:r>
              <w:rPr>
                <w:rFonts w:ascii="Arial" w:cs="Arial" w:eastAsia="Arial" w:hAnsi="Arial"/>
                <w:sz w:val="18"/>
                <w:szCs w:val="18"/>
                <w:color w:val="auto"/>
                <w:w w:val="99"/>
              </w:rPr>
              <w:t>(See Note 1)</w:t>
            </w:r>
          </w:p>
        </w:tc>
        <w:tc>
          <w:tcPr>
            <w:tcW w:w="0" w:type="dxa"/>
            <w:vAlign w:val="bottom"/>
          </w:tcPr>
          <w:p>
            <w:pPr>
              <w:spacing w:after="0"/>
              <w:rPr>
                <w:sz w:val="1"/>
                <w:szCs w:val="1"/>
                <w:color w:val="auto"/>
              </w:rPr>
            </w:pPr>
          </w:p>
        </w:tc>
      </w:tr>
      <w:tr>
        <w:trPr>
          <w:trHeight w:val="215"/>
        </w:trPr>
        <w:tc>
          <w:tcPr>
            <w:tcW w:w="660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153,447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173,197</w:t>
            </w:r>
          </w:p>
        </w:tc>
        <w:tc>
          <w:tcPr>
            <w:tcW w:w="0" w:type="dxa"/>
            <w:vAlign w:val="bottom"/>
          </w:tcPr>
          <w:p>
            <w:pPr>
              <w:spacing w:after="0"/>
              <w:rPr>
                <w:sz w:val="1"/>
                <w:szCs w:val="1"/>
                <w:color w:val="auto"/>
              </w:rPr>
            </w:pPr>
          </w:p>
        </w:tc>
      </w:tr>
      <w:tr>
        <w:trPr>
          <w:trHeight w:val="229"/>
        </w:trPr>
        <w:tc>
          <w:tcPr>
            <w:tcW w:w="660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3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10,551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3,964</w:t>
            </w: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40,448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41,461</w:t>
            </w:r>
          </w:p>
        </w:tc>
        <w:tc>
          <w:tcPr>
            <w:tcW w:w="0" w:type="dxa"/>
            <w:vAlign w:val="bottom"/>
          </w:tcPr>
          <w:p>
            <w:pPr>
              <w:spacing w:after="0"/>
              <w:rPr>
                <w:sz w:val="1"/>
                <w:szCs w:val="1"/>
                <w:color w:val="auto"/>
              </w:rPr>
            </w:pPr>
          </w:p>
        </w:tc>
      </w:tr>
      <w:tr>
        <w:trPr>
          <w:trHeight w:val="229"/>
        </w:trPr>
        <w:tc>
          <w:tcPr>
            <w:tcW w:w="6600" w:type="dxa"/>
            <w:vAlign w:val="bottom"/>
          </w:tcPr>
          <w:p>
            <w:pPr>
              <w:ind w:left="220"/>
              <w:spacing w:after="0"/>
              <w:rPr>
                <w:sz w:val="20"/>
                <w:szCs w:val="20"/>
                <w:color w:val="auto"/>
              </w:rPr>
            </w:pPr>
            <w:r>
              <w:rPr>
                <w:rFonts w:ascii="Arial" w:cs="Arial" w:eastAsia="Arial" w:hAnsi="Arial"/>
                <w:sz w:val="18"/>
                <w:szCs w:val="18"/>
                <w:color w:val="auto"/>
              </w:rPr>
              <w:t>Supplies and inventory</w:t>
            </w:r>
          </w:p>
        </w:tc>
        <w:tc>
          <w:tcPr>
            <w:tcW w:w="3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14,600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11,225</w:t>
            </w:r>
          </w:p>
        </w:tc>
        <w:tc>
          <w:tcPr>
            <w:tcW w:w="0" w:type="dxa"/>
            <w:vAlign w:val="bottom"/>
          </w:tcPr>
          <w:p>
            <w:pPr>
              <w:spacing w:after="0"/>
              <w:rPr>
                <w:sz w:val="1"/>
                <w:szCs w:val="1"/>
                <w:color w:val="auto"/>
              </w:rPr>
            </w:pPr>
          </w:p>
        </w:tc>
      </w:tr>
      <w:tr>
        <w:trPr>
          <w:trHeight w:val="235"/>
        </w:trPr>
        <w:tc>
          <w:tcPr>
            <w:tcW w:w="660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15,999</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13,255</w:t>
            </w:r>
          </w:p>
        </w:tc>
        <w:tc>
          <w:tcPr>
            <w:tcW w:w="0" w:type="dxa"/>
            <w:vAlign w:val="bottom"/>
          </w:tcPr>
          <w:p>
            <w:pPr>
              <w:spacing w:after="0"/>
              <w:rPr>
                <w:sz w:val="1"/>
                <w:szCs w:val="1"/>
                <w:color w:val="auto"/>
              </w:rPr>
            </w:pPr>
          </w:p>
        </w:tc>
      </w:tr>
      <w:tr>
        <w:trPr>
          <w:trHeight w:val="218"/>
        </w:trPr>
        <w:tc>
          <w:tcPr>
            <w:tcW w:w="660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3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235,045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243,102</w:t>
            </w: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17,188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15,098</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Right-of-use assets, operating leases</w:t>
            </w:r>
          </w:p>
        </w:tc>
        <w:tc>
          <w:tcPr>
            <w:tcW w:w="3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14,816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16,043</w:t>
            </w: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Intangible assets, net</w:t>
            </w:r>
          </w:p>
        </w:tc>
        <w:tc>
          <w:tcPr>
            <w:tcW w:w="3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184,367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202,731</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690,040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707,904</w:t>
            </w: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Restricted cash</w:t>
            </w:r>
          </w:p>
        </w:tc>
        <w:tc>
          <w:tcPr>
            <w:tcW w:w="3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35"/>
        </w:trPr>
        <w:tc>
          <w:tcPr>
            <w:tcW w:w="6600" w:type="dxa"/>
            <w:vAlign w:val="bottom"/>
          </w:tcPr>
          <w:p>
            <w:pPr>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1,993</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2,198</w:t>
            </w:r>
          </w:p>
        </w:tc>
        <w:tc>
          <w:tcPr>
            <w:tcW w:w="0" w:type="dxa"/>
            <w:vAlign w:val="bottom"/>
          </w:tcPr>
          <w:p>
            <w:pPr>
              <w:spacing w:after="0"/>
              <w:rPr>
                <w:sz w:val="1"/>
                <w:szCs w:val="1"/>
                <w:color w:val="auto"/>
              </w:rPr>
            </w:pPr>
          </w:p>
        </w:tc>
      </w:tr>
      <w:tr>
        <w:trPr>
          <w:trHeight w:val="223"/>
        </w:trPr>
        <w:tc>
          <w:tcPr>
            <w:tcW w:w="660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1,144,198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1,187,825</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3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60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10,328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12,360</w:t>
            </w: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Arial" w:cs="Arial" w:eastAsia="Arial" w:hAnsi="Arial"/>
                <w:sz w:val="18"/>
                <w:szCs w:val="18"/>
                <w:color w:val="auto"/>
              </w:rPr>
              <w:t>Accrued liabilities</w:t>
            </w:r>
          </w:p>
        </w:tc>
        <w:tc>
          <w:tcPr>
            <w:tcW w:w="3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33,565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39,475</w:t>
            </w:r>
          </w:p>
        </w:tc>
        <w:tc>
          <w:tcPr>
            <w:tcW w:w="0" w:type="dxa"/>
            <w:vAlign w:val="bottom"/>
          </w:tcPr>
          <w:p>
            <w:pPr>
              <w:spacing w:after="0"/>
              <w:rPr>
                <w:sz w:val="1"/>
                <w:szCs w:val="1"/>
                <w:color w:val="auto"/>
              </w:rPr>
            </w:pPr>
          </w:p>
        </w:tc>
      </w:tr>
      <w:tr>
        <w:trPr>
          <w:trHeight w:val="229"/>
        </w:trPr>
        <w:tc>
          <w:tcPr>
            <w:tcW w:w="6600" w:type="dxa"/>
            <w:vAlign w:val="bottom"/>
          </w:tcPr>
          <w:p>
            <w:pPr>
              <w:ind w:left="220"/>
              <w:spacing w:after="0"/>
              <w:rPr>
                <w:sz w:val="20"/>
                <w:szCs w:val="20"/>
                <w:color w:val="auto"/>
              </w:rPr>
            </w:pPr>
            <w:r>
              <w:rPr>
                <w:rFonts w:ascii="Arial" w:cs="Arial" w:eastAsia="Arial" w:hAnsi="Arial"/>
                <w:sz w:val="18"/>
                <w:szCs w:val="18"/>
                <w:color w:val="auto"/>
              </w:rPr>
              <w:t>Current portion of long-term debt</w:t>
            </w:r>
          </w:p>
        </w:tc>
        <w:tc>
          <w:tcPr>
            <w:tcW w:w="3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1,133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Arial" w:cs="Arial" w:eastAsia="Arial" w:hAnsi="Arial"/>
                <w:sz w:val="18"/>
                <w:szCs w:val="18"/>
                <w:color w:val="auto"/>
              </w:rPr>
              <w:t>Current portion of deferred revenue</w:t>
            </w:r>
          </w:p>
        </w:tc>
        <w:tc>
          <w:tcPr>
            <w:tcW w:w="3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4,193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4,646</w:t>
            </w: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Arial" w:cs="Arial" w:eastAsia="Arial" w:hAnsi="Arial"/>
                <w:sz w:val="18"/>
                <w:szCs w:val="18"/>
                <w:color w:val="auto"/>
              </w:rPr>
              <w:t>Current portion of acquisition-related contingent consideration</w:t>
            </w:r>
          </w:p>
        </w:tc>
        <w:tc>
          <w:tcPr>
            <w:tcW w:w="3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5,998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2,682</w:t>
            </w: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Arial" w:cs="Arial" w:eastAsia="Arial" w:hAnsi="Arial"/>
                <w:sz w:val="18"/>
                <w:szCs w:val="18"/>
                <w:color w:val="auto"/>
              </w:rPr>
              <w:t>Current portion of operating lease liabilities</w:t>
            </w:r>
          </w:p>
        </w:tc>
        <w:tc>
          <w:tcPr>
            <w:tcW w:w="3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3,930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3,630</w:t>
            </w:r>
          </w:p>
        </w:tc>
        <w:tc>
          <w:tcPr>
            <w:tcW w:w="0" w:type="dxa"/>
            <w:vAlign w:val="bottom"/>
          </w:tcPr>
          <w:p>
            <w:pPr>
              <w:spacing w:after="0"/>
              <w:rPr>
                <w:sz w:val="1"/>
                <w:szCs w:val="1"/>
                <w:color w:val="auto"/>
              </w:rPr>
            </w:pPr>
          </w:p>
        </w:tc>
      </w:tr>
      <w:tr>
        <w:trPr>
          <w:trHeight w:val="235"/>
        </w:trPr>
        <w:tc>
          <w:tcPr>
            <w:tcW w:w="6600" w:type="dxa"/>
            <w:vAlign w:val="bottom"/>
          </w:tcPr>
          <w:p>
            <w:pPr>
              <w:ind w:left="220"/>
              <w:spacing w:after="0"/>
              <w:rPr>
                <w:sz w:val="20"/>
                <w:szCs w:val="20"/>
                <w:color w:val="auto"/>
              </w:rPr>
            </w:pPr>
            <w:r>
              <w:rPr>
                <w:rFonts w:ascii="Arial" w:cs="Arial" w:eastAsia="Arial" w:hAnsi="Arial"/>
                <w:sz w:val="18"/>
                <w:szCs w:val="18"/>
                <w:color w:val="auto"/>
              </w:rPr>
              <w:t>Current portion of other liabilities</w:t>
            </w:r>
          </w:p>
        </w:tc>
        <w:tc>
          <w:tcPr>
            <w:tcW w:w="3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8"/>
        </w:trPr>
        <w:tc>
          <w:tcPr>
            <w:tcW w:w="660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3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59,345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64,151</w:t>
            </w: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360" w:type="dxa"/>
            <w:vAlign w:val="bottom"/>
          </w:tcPr>
          <w:p>
            <w:pPr>
              <w:spacing w:after="0"/>
              <w:rPr>
                <w:sz w:val="19"/>
                <w:szCs w:val="19"/>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3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4,605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5,592</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Acquisition-related contingent consideration, net of current portion</w:t>
            </w:r>
          </w:p>
        </w:tc>
        <w:tc>
          <w:tcPr>
            <w:tcW w:w="3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2,358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5,722</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Operating lease liabilities, net of current portion</w:t>
            </w:r>
          </w:p>
        </w:tc>
        <w:tc>
          <w:tcPr>
            <w:tcW w:w="3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12,529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14,096</w:t>
            </w:r>
          </w:p>
        </w:tc>
        <w:tc>
          <w:tcPr>
            <w:tcW w:w="0" w:type="dxa"/>
            <w:vAlign w:val="bottom"/>
          </w:tcPr>
          <w:p>
            <w:pPr>
              <w:spacing w:after="0"/>
              <w:rPr>
                <w:sz w:val="1"/>
                <w:szCs w:val="1"/>
                <w:color w:val="auto"/>
              </w:rPr>
            </w:pPr>
          </w:p>
        </w:tc>
      </w:tr>
      <w:tr>
        <w:trPr>
          <w:trHeight w:val="235"/>
        </w:trPr>
        <w:tc>
          <w:tcPr>
            <w:tcW w:w="6600" w:type="dxa"/>
            <w:vAlign w:val="bottom"/>
          </w:tcPr>
          <w:p>
            <w:pPr>
              <w:spacing w:after="0"/>
              <w:rPr>
                <w:sz w:val="20"/>
                <w:szCs w:val="20"/>
                <w:color w:val="auto"/>
              </w:rPr>
            </w:pPr>
            <w:r>
              <w:rPr>
                <w:rFonts w:ascii="Arial" w:cs="Arial" w:eastAsia="Arial" w:hAnsi="Arial"/>
                <w:sz w:val="18"/>
                <w:szCs w:val="18"/>
                <w:color w:val="auto"/>
              </w:rPr>
              <w:t>Other liabilities</w:t>
            </w:r>
          </w:p>
        </w:tc>
        <w:tc>
          <w:tcPr>
            <w:tcW w:w="3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18"/>
        </w:trPr>
        <w:tc>
          <w:tcPr>
            <w:tcW w:w="6600" w:type="dxa"/>
            <w:vAlign w:val="bottom"/>
          </w:tcPr>
          <w:p>
            <w:pPr>
              <w:ind w:left="320"/>
              <w:spacing w:after="0"/>
              <w:rPr>
                <w:sz w:val="20"/>
                <w:szCs w:val="20"/>
                <w:color w:val="auto"/>
              </w:rPr>
            </w:pPr>
            <w:r>
              <w:rPr>
                <w:rFonts w:ascii="Arial" w:cs="Arial" w:eastAsia="Arial" w:hAnsi="Arial"/>
                <w:sz w:val="18"/>
                <w:szCs w:val="18"/>
                <w:color w:val="auto"/>
              </w:rPr>
              <w:t>Total liabilities</w:t>
            </w:r>
          </w:p>
        </w:tc>
        <w:tc>
          <w:tcPr>
            <w:tcW w:w="3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80,047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91,311</w:t>
            </w:r>
          </w:p>
        </w:tc>
        <w:tc>
          <w:tcPr>
            <w:tcW w:w="0" w:type="dxa"/>
            <w:vAlign w:val="bottom"/>
          </w:tcPr>
          <w:p>
            <w:pPr>
              <w:spacing w:after="0"/>
              <w:rPr>
                <w:sz w:val="1"/>
                <w:szCs w:val="1"/>
                <w:color w:val="auto"/>
              </w:rPr>
            </w:pPr>
          </w:p>
        </w:tc>
      </w:tr>
      <w:tr>
        <w:trPr>
          <w:trHeight w:val="235"/>
        </w:trPr>
        <w:tc>
          <w:tcPr>
            <w:tcW w:w="660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1,064,151</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1,096,514</w:t>
            </w: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1,144,198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1,187,825</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60" w:firstLine="1"/>
        <w:spacing w:after="0"/>
        <w:tabs>
          <w:tab w:leader="none" w:pos="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condensed consolidated balance sheet at December 31, 2021 has been derived from the audited financial statements at that date included in the Company's Form 10-K filed with the Securities and Exchange Commission dated February 28, 2022.</w:t>
      </w:r>
    </w:p>
    <w:p>
      <w:pPr>
        <w:sectPr>
          <w:pgSz w:w="11900" w:h="16838" w:orient="portrait"/>
          <w:cols w:equalWidth="0" w:num="1">
            <w:col w:w="10940"/>
          </w:cols>
          <w:pgMar w:left="480" w:top="1025" w:right="47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color w:val="auto"/>
        </w:rPr>
        <w:t>VERACYTE, INC.</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CONDENSED CONSOLIDATED STATEMENTS OF CASH FLOWS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of dollars)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9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color w:val="auto"/>
              </w:rPr>
              <w:t>Six Months Ended June 30,</w:t>
            </w:r>
          </w:p>
        </w:tc>
        <w:tc>
          <w:tcPr>
            <w:tcW w:w="0" w:type="dxa"/>
            <w:vAlign w:val="bottom"/>
          </w:tcPr>
          <w:p>
            <w:pPr>
              <w:spacing w:after="0"/>
              <w:rPr>
                <w:sz w:val="1"/>
                <w:szCs w:val="1"/>
                <w:color w:val="auto"/>
              </w:rPr>
            </w:pPr>
          </w:p>
        </w:tc>
      </w:tr>
      <w:tr>
        <w:trPr>
          <w:trHeight w:val="223"/>
        </w:trPr>
        <w:tc>
          <w:tcPr>
            <w:tcW w:w="7920" w:type="dxa"/>
            <w:vAlign w:val="bottom"/>
            <w:vMerge w:val="restart"/>
          </w:tcPr>
          <w:p>
            <w:pPr>
              <w:spacing w:after="0"/>
              <w:rPr>
                <w:sz w:val="20"/>
                <w:szCs w:val="20"/>
                <w:color w:val="auto"/>
              </w:rPr>
            </w:pPr>
            <w:r>
              <w:rPr>
                <w:rFonts w:ascii="Arial" w:cs="Arial" w:eastAsia="Arial" w:hAnsi="Arial"/>
                <w:sz w:val="18"/>
                <w:szCs w:val="18"/>
                <w:b w:val="1"/>
                <w:bCs w:val="1"/>
                <w:color w:val="auto"/>
              </w:rPr>
              <w:t>Operating activities</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04"/>
        </w:trPr>
        <w:tc>
          <w:tcPr>
            <w:tcW w:w="79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(23,993)</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(50,906)</w:t>
            </w:r>
          </w:p>
        </w:tc>
        <w:tc>
          <w:tcPr>
            <w:tcW w:w="0" w:type="dxa"/>
            <w:vAlign w:val="bottom"/>
          </w:tcPr>
          <w:p>
            <w:pPr>
              <w:spacing w:after="0"/>
              <w:rPr>
                <w:sz w:val="1"/>
                <w:szCs w:val="1"/>
                <w:color w:val="auto"/>
              </w:rPr>
            </w:pPr>
          </w:p>
        </w:tc>
      </w:tr>
      <w:tr>
        <w:trPr>
          <w:trHeight w:val="229"/>
        </w:trPr>
        <w:tc>
          <w:tcPr>
            <w:tcW w:w="7920" w:type="dxa"/>
            <w:vAlign w:val="bottom"/>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13,048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7,050</w:t>
            </w:r>
          </w:p>
        </w:tc>
        <w:tc>
          <w:tcPr>
            <w:tcW w:w="0" w:type="dxa"/>
            <w:vAlign w:val="bottom"/>
          </w:tcPr>
          <w:p>
            <w:pPr>
              <w:spacing w:after="0"/>
              <w:rPr>
                <w:sz w:val="1"/>
                <w:szCs w:val="1"/>
                <w:color w:val="auto"/>
              </w:rPr>
            </w:pPr>
          </w:p>
        </w:tc>
      </w:tr>
      <w:tr>
        <w:trPr>
          <w:trHeight w:val="230"/>
        </w:trPr>
        <w:tc>
          <w:tcPr>
            <w:tcW w:w="7920" w:type="dxa"/>
            <w:vAlign w:val="bottom"/>
          </w:tcPr>
          <w:p>
            <w:pPr>
              <w:ind w:left="16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12,584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7,919</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Benefit from income taxes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(3,947)</w:t>
            </w:r>
          </w:p>
        </w:tc>
        <w:tc>
          <w:tcPr>
            <w:tcW w:w="0" w:type="dxa"/>
            <w:vAlign w:val="bottom"/>
          </w:tcPr>
          <w:p>
            <w:pPr>
              <w:spacing w:after="0"/>
              <w:rPr>
                <w:sz w:val="1"/>
                <w:szCs w:val="1"/>
                <w:color w:val="auto"/>
              </w:rPr>
            </w:pPr>
          </w:p>
        </w:tc>
      </w:tr>
      <w:tr>
        <w:trPr>
          <w:trHeight w:val="230"/>
        </w:trPr>
        <w:tc>
          <w:tcPr>
            <w:tcW w:w="7920" w:type="dxa"/>
            <w:vAlign w:val="bottom"/>
          </w:tcPr>
          <w:p>
            <w:pPr>
              <w:ind w:left="160"/>
              <w:spacing w:after="0"/>
              <w:rPr>
                <w:sz w:val="20"/>
                <w:szCs w:val="20"/>
                <w:color w:val="auto"/>
              </w:rPr>
            </w:pPr>
            <w:r>
              <w:rPr>
                <w:rFonts w:ascii="Arial" w:cs="Arial" w:eastAsia="Arial" w:hAnsi="Arial"/>
                <w:sz w:val="18"/>
                <w:szCs w:val="18"/>
                <w:color w:val="auto"/>
              </w:rPr>
              <w:t>Interest on end-of-term debt obligation</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Noncash lease expense</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Revaluation of acquisition-related contingent consideration</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30"/>
        </w:trPr>
        <w:tc>
          <w:tcPr>
            <w:tcW w:w="7920" w:type="dxa"/>
            <w:vAlign w:val="bottom"/>
          </w:tcPr>
          <w:p>
            <w:pPr>
              <w:ind w:left="160"/>
              <w:spacing w:after="0"/>
              <w:rPr>
                <w:sz w:val="20"/>
                <w:szCs w:val="20"/>
                <w:color w:val="auto"/>
              </w:rPr>
            </w:pPr>
            <w:r>
              <w:rPr>
                <w:rFonts w:ascii="Arial" w:cs="Arial" w:eastAsia="Arial" w:hAnsi="Arial"/>
                <w:sz w:val="18"/>
                <w:szCs w:val="18"/>
                <w:color w:val="auto"/>
              </w:rPr>
              <w:t>Effect of foreign currency on operations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1,866</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Impairment of intangible assets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2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(6,713)</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Supplies and inventory</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30"/>
        </w:trPr>
        <w:tc>
          <w:tcPr>
            <w:tcW w:w="792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Operating lease liabilities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30"/>
        </w:trPr>
        <w:tc>
          <w:tcPr>
            <w:tcW w:w="79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2,758</w:t>
            </w:r>
          </w:p>
        </w:tc>
        <w:tc>
          <w:tcPr>
            <w:tcW w:w="0" w:type="dxa"/>
            <w:vAlign w:val="bottom"/>
          </w:tcPr>
          <w:p>
            <w:pPr>
              <w:spacing w:after="0"/>
              <w:rPr>
                <w:sz w:val="1"/>
                <w:szCs w:val="1"/>
                <w:color w:val="auto"/>
              </w:rPr>
            </w:pPr>
          </w:p>
        </w:tc>
      </w:tr>
      <w:tr>
        <w:trPr>
          <w:trHeight w:val="235"/>
        </w:trPr>
        <w:tc>
          <w:tcPr>
            <w:tcW w:w="7920" w:type="dxa"/>
            <w:vAlign w:val="bottom"/>
          </w:tcPr>
          <w:p>
            <w:pPr>
              <w:ind w:left="160"/>
              <w:spacing w:after="0"/>
              <w:rPr>
                <w:sz w:val="20"/>
                <w:szCs w:val="20"/>
                <w:color w:val="auto"/>
              </w:rPr>
            </w:pPr>
            <w:r>
              <w:rPr>
                <w:rFonts w:ascii="Arial" w:cs="Arial" w:eastAsia="Arial" w:hAnsi="Arial"/>
                <w:sz w:val="18"/>
                <w:szCs w:val="18"/>
                <w:color w:val="auto"/>
              </w:rPr>
              <w:t>Accrued liabilities and deferred revenue</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(5,298)</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4,770</w:t>
            </w:r>
          </w:p>
        </w:tc>
        <w:tc>
          <w:tcPr>
            <w:tcW w:w="0" w:type="dxa"/>
            <w:vAlign w:val="bottom"/>
          </w:tcPr>
          <w:p>
            <w:pPr>
              <w:spacing w:after="0"/>
              <w:rPr>
                <w:sz w:val="1"/>
                <w:szCs w:val="1"/>
                <w:color w:val="auto"/>
              </w:rPr>
            </w:pPr>
          </w:p>
        </w:tc>
      </w:tr>
      <w:tr>
        <w:trPr>
          <w:trHeight w:val="223"/>
        </w:trPr>
        <w:tc>
          <w:tcPr>
            <w:tcW w:w="792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(9,235)</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(38,674)</w:t>
            </w:r>
          </w:p>
        </w:tc>
        <w:tc>
          <w:tcPr>
            <w:tcW w:w="0" w:type="dxa"/>
            <w:vAlign w:val="bottom"/>
          </w:tcPr>
          <w:p>
            <w:pPr>
              <w:spacing w:after="0"/>
              <w:rPr>
                <w:sz w:val="1"/>
                <w:szCs w:val="1"/>
                <w:color w:val="auto"/>
              </w:rPr>
            </w:pPr>
          </w:p>
        </w:tc>
      </w:tr>
      <w:tr>
        <w:trPr>
          <w:trHeight w:val="204"/>
        </w:trPr>
        <w:tc>
          <w:tcPr>
            <w:tcW w:w="7920" w:type="dxa"/>
            <w:vAlign w:val="bottom"/>
          </w:tcPr>
          <w:p>
            <w:pPr>
              <w:spacing w:after="0" w:line="204" w:lineRule="exact"/>
              <w:rPr>
                <w:sz w:val="20"/>
                <w:szCs w:val="20"/>
                <w:color w:val="auto"/>
              </w:rPr>
            </w:pPr>
            <w:r>
              <w:rPr>
                <w:rFonts w:ascii="Arial" w:cs="Arial" w:eastAsia="Arial" w:hAnsi="Arial"/>
                <w:sz w:val="18"/>
                <w:szCs w:val="18"/>
                <w:b w:val="1"/>
                <w:bCs w:val="1"/>
                <w:color w:val="auto"/>
              </w:rPr>
              <w:t>Investing activities</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Acquisition of Decipher Biosciences, net of cash acquired</w:t>
            </w:r>
          </w:p>
        </w:tc>
        <w:tc>
          <w:tcPr>
            <w:tcW w:w="3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(574,411)</w:t>
            </w: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Purchase of short-term investments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(8,972)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20" w:type="dxa"/>
            <w:vAlign w:val="bottom"/>
          </w:tcPr>
          <w:p>
            <w:pPr>
              <w:spacing w:after="0"/>
              <w:rPr>
                <w:sz w:val="20"/>
                <w:szCs w:val="20"/>
                <w:color w:val="auto"/>
              </w:rPr>
            </w:pPr>
            <w:r>
              <w:rPr>
                <w:rFonts w:ascii="Arial" w:cs="Arial" w:eastAsia="Arial" w:hAnsi="Arial"/>
                <w:sz w:val="18"/>
                <w:szCs w:val="18"/>
                <w:color w:val="auto"/>
              </w:rPr>
              <w:t>Proceeds from maturity of short-term investments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Proceeds from sale of equity securities</w:t>
            </w:r>
          </w:p>
        </w:tc>
        <w:tc>
          <w:tcPr>
            <w:tcW w:w="3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35"/>
        </w:trPr>
        <w:tc>
          <w:tcPr>
            <w:tcW w:w="792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(4,963)</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(2,723)</w:t>
            </w:r>
          </w:p>
        </w:tc>
        <w:tc>
          <w:tcPr>
            <w:tcW w:w="0" w:type="dxa"/>
            <w:vAlign w:val="bottom"/>
          </w:tcPr>
          <w:p>
            <w:pPr>
              <w:spacing w:after="0"/>
              <w:rPr>
                <w:sz w:val="1"/>
                <w:szCs w:val="1"/>
                <w:color w:val="auto"/>
              </w:rPr>
            </w:pPr>
          </w:p>
        </w:tc>
      </w:tr>
      <w:tr>
        <w:trPr>
          <w:trHeight w:val="223"/>
        </w:trPr>
        <w:tc>
          <w:tcPr>
            <w:tcW w:w="79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(11,760)</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(574,134)</w:t>
            </w:r>
          </w:p>
        </w:tc>
        <w:tc>
          <w:tcPr>
            <w:tcW w:w="0" w:type="dxa"/>
            <w:vAlign w:val="bottom"/>
          </w:tcPr>
          <w:p>
            <w:pPr>
              <w:spacing w:after="0"/>
              <w:rPr>
                <w:sz w:val="1"/>
                <w:szCs w:val="1"/>
                <w:color w:val="auto"/>
              </w:rPr>
            </w:pPr>
          </w:p>
        </w:tc>
      </w:tr>
      <w:tr>
        <w:trPr>
          <w:trHeight w:val="204"/>
        </w:trPr>
        <w:tc>
          <w:tcPr>
            <w:tcW w:w="7920" w:type="dxa"/>
            <w:vAlign w:val="bottom"/>
          </w:tcPr>
          <w:p>
            <w:pPr>
              <w:spacing w:after="0" w:line="204" w:lineRule="exact"/>
              <w:rPr>
                <w:sz w:val="20"/>
                <w:szCs w:val="20"/>
                <w:color w:val="auto"/>
              </w:rPr>
            </w:pPr>
            <w:r>
              <w:rPr>
                <w:rFonts w:ascii="Arial" w:cs="Arial" w:eastAsia="Arial" w:hAnsi="Arial"/>
                <w:sz w:val="18"/>
                <w:szCs w:val="18"/>
                <w:b w:val="1"/>
                <w:bCs w:val="1"/>
                <w:color w:val="auto"/>
              </w:rPr>
              <w:t>Financing activities</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920" w:type="dxa"/>
            <w:vAlign w:val="bottom"/>
          </w:tcPr>
          <w:p>
            <w:pPr>
              <w:spacing w:after="0"/>
              <w:rPr>
                <w:sz w:val="20"/>
                <w:szCs w:val="20"/>
                <w:color w:val="auto"/>
              </w:rPr>
            </w:pPr>
            <w:r>
              <w:rPr>
                <w:rFonts w:ascii="Arial" w:cs="Arial" w:eastAsia="Arial" w:hAnsi="Arial"/>
                <w:sz w:val="18"/>
                <w:szCs w:val="18"/>
                <w:color w:val="auto"/>
              </w:rPr>
              <w:t>Proceeds from the issuance of common stock in a public offering, net of issuance costs</w:t>
            </w:r>
          </w:p>
        </w:tc>
        <w:tc>
          <w:tcPr>
            <w:tcW w:w="3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593,821</w:t>
            </w: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Payment of long-term debt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Payment of taxes on vested restricted stock units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(7,484)</w:t>
            </w:r>
          </w:p>
        </w:tc>
        <w:tc>
          <w:tcPr>
            <w:tcW w:w="0" w:type="dxa"/>
            <w:vAlign w:val="bottom"/>
          </w:tcPr>
          <w:p>
            <w:pPr>
              <w:spacing w:after="0"/>
              <w:rPr>
                <w:sz w:val="1"/>
                <w:szCs w:val="1"/>
                <w:color w:val="auto"/>
              </w:rPr>
            </w:pPr>
          </w:p>
        </w:tc>
      </w:tr>
      <w:tr>
        <w:trPr>
          <w:trHeight w:val="235"/>
        </w:trPr>
        <w:tc>
          <w:tcPr>
            <w:tcW w:w="7920" w:type="dxa"/>
            <w:vAlign w:val="bottom"/>
          </w:tcPr>
          <w:p>
            <w:pPr>
              <w:spacing w:after="0"/>
              <w:rPr>
                <w:sz w:val="20"/>
                <w:szCs w:val="20"/>
                <w:color w:val="auto"/>
              </w:rPr>
            </w:pPr>
            <w:r>
              <w:rPr>
                <w:rFonts w:ascii="Arial" w:cs="Arial" w:eastAsia="Arial" w:hAnsi="Arial"/>
                <w:sz w:val="18"/>
                <w:szCs w:val="18"/>
                <w:color w:val="auto"/>
              </w:rPr>
              <w:t>Proceeds from the exercise of common stock options and employee stock purchases</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3,877</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6,595</w:t>
            </w:r>
          </w:p>
        </w:tc>
        <w:tc>
          <w:tcPr>
            <w:tcW w:w="0" w:type="dxa"/>
            <w:vAlign w:val="bottom"/>
          </w:tcPr>
          <w:p>
            <w:pPr>
              <w:spacing w:after="0"/>
              <w:rPr>
                <w:sz w:val="1"/>
                <w:szCs w:val="1"/>
                <w:color w:val="auto"/>
              </w:rPr>
            </w:pPr>
          </w:p>
        </w:tc>
      </w:tr>
      <w:tr>
        <w:trPr>
          <w:trHeight w:val="223"/>
        </w:trPr>
        <w:tc>
          <w:tcPr>
            <w:tcW w:w="792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1,915</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592,932</w:t>
            </w:r>
          </w:p>
        </w:tc>
        <w:tc>
          <w:tcPr>
            <w:tcW w:w="0" w:type="dxa"/>
            <w:vAlign w:val="bottom"/>
          </w:tcPr>
          <w:p>
            <w:pPr>
              <w:spacing w:after="0"/>
              <w:rPr>
                <w:sz w:val="1"/>
                <w:szCs w:val="1"/>
                <w:color w:val="auto"/>
              </w:rPr>
            </w:pPr>
          </w:p>
        </w:tc>
      </w:tr>
      <w:tr>
        <w:trPr>
          <w:trHeight w:val="218"/>
        </w:trPr>
        <w:tc>
          <w:tcPr>
            <w:tcW w:w="7920" w:type="dxa"/>
            <w:vAlign w:val="bottom"/>
          </w:tcPr>
          <w:p>
            <w:pPr>
              <w:spacing w:after="0"/>
              <w:rPr>
                <w:sz w:val="20"/>
                <w:szCs w:val="20"/>
                <w:color w:val="auto"/>
              </w:rPr>
            </w:pPr>
            <w:r>
              <w:rPr>
                <w:rFonts w:ascii="Arial" w:cs="Arial" w:eastAsia="Arial" w:hAnsi="Arial"/>
                <w:sz w:val="18"/>
                <w:szCs w:val="18"/>
                <w:b w:val="1"/>
                <w:bCs w:val="1"/>
                <w:color w:val="auto"/>
              </w:rPr>
              <w:t>Decrease in cash, cash equivalents and restricted cash</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(19,080)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(19,876)</w:t>
            </w:r>
          </w:p>
        </w:tc>
        <w:tc>
          <w:tcPr>
            <w:tcW w:w="0" w:type="dxa"/>
            <w:vAlign w:val="bottom"/>
          </w:tcPr>
          <w:p>
            <w:pPr>
              <w:spacing w:after="0"/>
              <w:rPr>
                <w:sz w:val="1"/>
                <w:szCs w:val="1"/>
                <w:color w:val="auto"/>
              </w:rPr>
            </w:pPr>
          </w:p>
        </w:tc>
      </w:tr>
      <w:tr>
        <w:trPr>
          <w:trHeight w:val="235"/>
        </w:trPr>
        <w:tc>
          <w:tcPr>
            <w:tcW w:w="7920" w:type="dxa"/>
            <w:vAlign w:val="bottom"/>
          </w:tcPr>
          <w:p>
            <w:pPr>
              <w:spacing w:after="0"/>
              <w:rPr>
                <w:sz w:val="20"/>
                <w:szCs w:val="20"/>
                <w:color w:val="auto"/>
              </w:rPr>
            </w:pPr>
            <w:r>
              <w:rPr>
                <w:rFonts w:ascii="Arial" w:cs="Arial" w:eastAsia="Arial" w:hAnsi="Arial"/>
                <w:sz w:val="18"/>
                <w:szCs w:val="18"/>
                <w:b w:val="1"/>
                <w:bCs w:val="1"/>
                <w:color w:val="auto"/>
              </w:rPr>
              <w:t>Effect of foreign currency on cash, cash equivalents and restricted cash</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(1,797)</w:t>
            </w:r>
          </w:p>
        </w:tc>
        <w:tc>
          <w:tcPr>
            <w:tcW w:w="0" w:type="dxa"/>
            <w:vAlign w:val="bottom"/>
          </w:tcPr>
          <w:p>
            <w:pPr>
              <w:spacing w:after="0"/>
              <w:rPr>
                <w:sz w:val="1"/>
                <w:szCs w:val="1"/>
                <w:color w:val="auto"/>
              </w:rPr>
            </w:pPr>
          </w:p>
        </w:tc>
      </w:tr>
      <w:tr>
        <w:trPr>
          <w:trHeight w:val="218"/>
        </w:trPr>
        <w:tc>
          <w:tcPr>
            <w:tcW w:w="7920" w:type="dxa"/>
            <w:vAlign w:val="bottom"/>
          </w:tcPr>
          <w:p>
            <w:pPr>
              <w:spacing w:after="0"/>
              <w:rPr>
                <w:sz w:val="20"/>
                <w:szCs w:val="20"/>
                <w:color w:val="auto"/>
              </w:rPr>
            </w:pPr>
            <w:r>
              <w:rPr>
                <w:rFonts w:ascii="Arial" w:cs="Arial" w:eastAsia="Arial" w:hAnsi="Arial"/>
                <w:sz w:val="18"/>
                <w:szCs w:val="18"/>
                <w:b w:val="1"/>
                <w:bCs w:val="1"/>
                <w:color w:val="auto"/>
              </w:rPr>
              <w:t>Net decrease in cash, cash equivalents and restricted cash</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(19,750)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(21,673)</w:t>
            </w:r>
          </w:p>
        </w:tc>
        <w:tc>
          <w:tcPr>
            <w:tcW w:w="0" w:type="dxa"/>
            <w:vAlign w:val="bottom"/>
          </w:tcPr>
          <w:p>
            <w:pPr>
              <w:spacing w:after="0"/>
              <w:rPr>
                <w:sz w:val="1"/>
                <w:szCs w:val="1"/>
                <w:color w:val="auto"/>
              </w:rPr>
            </w:pPr>
          </w:p>
        </w:tc>
      </w:tr>
      <w:tr>
        <w:trPr>
          <w:trHeight w:val="235"/>
        </w:trPr>
        <w:tc>
          <w:tcPr>
            <w:tcW w:w="792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173,946</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349,967</w:t>
            </w:r>
          </w:p>
        </w:tc>
        <w:tc>
          <w:tcPr>
            <w:tcW w:w="0" w:type="dxa"/>
            <w:vAlign w:val="bottom"/>
          </w:tcPr>
          <w:p>
            <w:pPr>
              <w:spacing w:after="0"/>
              <w:rPr>
                <w:sz w:val="1"/>
                <w:szCs w:val="1"/>
                <w:color w:val="auto"/>
              </w:rPr>
            </w:pPr>
          </w:p>
        </w:tc>
      </w:tr>
      <w:tr>
        <w:trPr>
          <w:trHeight w:val="223"/>
        </w:trPr>
        <w:tc>
          <w:tcPr>
            <w:tcW w:w="792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154,196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328,294</w:t>
            </w:r>
          </w:p>
        </w:tc>
        <w:tc>
          <w:tcPr>
            <w:tcW w:w="0" w:type="dxa"/>
            <w:vAlign w:val="bottom"/>
          </w:tcPr>
          <w:p>
            <w:pPr>
              <w:spacing w:after="0"/>
              <w:rPr>
                <w:sz w:val="1"/>
                <w:szCs w:val="1"/>
                <w:color w:val="auto"/>
              </w:rPr>
            </w:pPr>
          </w:p>
        </w:tc>
      </w:tr>
      <w:tr>
        <w:trPr>
          <w:trHeight w:val="21"/>
        </w:trPr>
        <w:tc>
          <w:tcPr>
            <w:tcW w:w="7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400" w:top="1025" w:right="399" w:bottom="1440" w:gutter="0" w:footer="0" w:header="0"/>
        </w:sectPr>
      </w:pPr>
    </w:p>
    <w:bookmarkStart w:id="10" w:name="page11"/>
    <w:bookmarkEnd w:id="10"/>
    <w:p>
      <w:pPr>
        <w:spacing w:after="0" w:line="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CASH, CASH EQUIVALENTS AND RESTRICTED CASH</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of dollars)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tcPr>
          <w:p>
            <w:pPr>
              <w:ind w:left="160"/>
              <w:spacing w:after="0"/>
              <w:rPr>
                <w:sz w:val="20"/>
                <w:szCs w:val="20"/>
                <w:color w:val="auto"/>
              </w:rPr>
            </w:pPr>
            <w:r>
              <w:rPr>
                <w:rFonts w:ascii="Arial" w:cs="Arial" w:eastAsia="Arial" w:hAnsi="Arial"/>
                <w:sz w:val="18"/>
                <w:szCs w:val="18"/>
                <w:color w:val="auto"/>
              </w:rPr>
              <w:t>June 30,</w:t>
            </w:r>
          </w:p>
        </w:tc>
        <w:tc>
          <w:tcPr>
            <w:tcW w:w="160" w:type="dxa"/>
            <w:vAlign w:val="bottom"/>
          </w:tcPr>
          <w:p>
            <w:pPr>
              <w:spacing w:after="0"/>
              <w:rPr>
                <w:sz w:val="19"/>
                <w:szCs w:val="19"/>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December 31,</w:t>
            </w:r>
          </w:p>
        </w:tc>
      </w:tr>
      <w:tr>
        <w:trPr>
          <w:trHeight w:val="242"/>
        </w:trPr>
        <w:tc>
          <w:tcPr>
            <w:tcW w:w="80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r>
      <w:tr>
        <w:trPr>
          <w:trHeight w:val="224"/>
        </w:trPr>
        <w:tc>
          <w:tcPr>
            <w:tcW w:w="80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153,447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173,197</w:t>
            </w:r>
          </w:p>
        </w:tc>
      </w:tr>
      <w:tr>
        <w:trPr>
          <w:trHeight w:val="235"/>
        </w:trPr>
        <w:tc>
          <w:tcPr>
            <w:tcW w:w="8000" w:type="dxa"/>
            <w:vAlign w:val="bottom"/>
          </w:tcPr>
          <w:p>
            <w:pPr>
              <w:spacing w:after="0"/>
              <w:rPr>
                <w:sz w:val="20"/>
                <w:szCs w:val="20"/>
                <w:color w:val="auto"/>
              </w:rPr>
            </w:pPr>
            <w:r>
              <w:rPr>
                <w:rFonts w:ascii="Arial" w:cs="Arial" w:eastAsia="Arial" w:hAnsi="Arial"/>
                <w:sz w:val="18"/>
                <w:szCs w:val="18"/>
                <w:color w:val="auto"/>
              </w:rPr>
              <w:t>Restricted cash</w:t>
            </w: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w:t>
            </w:r>
          </w:p>
        </w:tc>
      </w:tr>
      <w:tr>
        <w:trPr>
          <w:trHeight w:val="223"/>
        </w:trPr>
        <w:tc>
          <w:tcPr>
            <w:tcW w:w="8000" w:type="dxa"/>
            <w:vAlign w:val="bottom"/>
          </w:tcPr>
          <w:p>
            <w:pPr>
              <w:spacing w:after="0"/>
              <w:rPr>
                <w:sz w:val="20"/>
                <w:szCs w:val="20"/>
                <w:color w:val="auto"/>
              </w:rPr>
            </w:pPr>
            <w:r>
              <w:rPr>
                <w:rFonts w:ascii="Arial" w:cs="Arial" w:eastAsia="Arial" w:hAnsi="Arial"/>
                <w:sz w:val="18"/>
                <w:szCs w:val="18"/>
                <w:color w:val="auto"/>
              </w:rPr>
              <w:t>Total cash, cash equivalents and restricted cash</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154,196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173,946</w:t>
            </w:r>
          </w:p>
        </w:tc>
      </w:tr>
      <w:tr>
        <w:trPr>
          <w:trHeight w:val="21"/>
        </w:trPr>
        <w:tc>
          <w:tcPr>
            <w:tcW w:w="8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180"/>
          </w:cols>
          <w:pgMar w:left="340" w:top="1440" w:right="37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auto"/>
        </w:rPr>
        <w:t>Reconciliation of U.S. GAAP to Non-GAAP Financial Measures</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(Unaudited)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(In thousands of dollars)</w:t>
      </w:r>
    </w:p>
    <w:p>
      <w:pPr>
        <w:spacing w:after="0" w:line="32" w:lineRule="exact"/>
        <w:rPr>
          <w:sz w:val="20"/>
          <w:szCs w:val="20"/>
          <w:color w:val="auto"/>
        </w:rPr>
      </w:pPr>
    </w:p>
    <w:p>
      <w:pPr>
        <w:jc w:val="right"/>
        <w:ind w:right="3500"/>
        <w:spacing w:after="0"/>
        <w:rPr>
          <w:sz w:val="20"/>
          <w:szCs w:val="20"/>
          <w:color w:val="auto"/>
        </w:rPr>
      </w:pPr>
      <w:r>
        <w:rPr>
          <w:rFonts w:ascii="Arial" w:cs="Arial" w:eastAsia="Arial" w:hAnsi="Arial"/>
          <w:sz w:val="16"/>
          <w:szCs w:val="16"/>
          <w:b w:val="1"/>
          <w:bCs w:val="1"/>
          <w:color w:val="auto"/>
        </w:rPr>
        <w:t>Identified Expenses</w:t>
      </w:r>
    </w:p>
    <w:p>
      <w:pPr>
        <w:sectPr>
          <w:pgSz w:w="11900" w:h="16838" w:orient="portrait"/>
          <w:cols w:equalWidth="0" w:num="1">
            <w:col w:w="11080"/>
          </w:cols>
          <w:pgMar w:left="420" w:top="1178" w:right="39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right="280"/>
        <w:spacing w:after="0" w:line="281" w:lineRule="auto"/>
        <w:rPr>
          <w:sz w:val="20"/>
          <w:szCs w:val="20"/>
          <w:color w:val="auto"/>
        </w:rPr>
      </w:pPr>
      <w:r>
        <w:rPr>
          <w:rFonts w:ascii="Arial" w:cs="Arial" w:eastAsia="Arial" w:hAnsi="Arial"/>
          <w:sz w:val="16"/>
          <w:szCs w:val="16"/>
          <w:b w:val="1"/>
          <w:bCs w:val="1"/>
          <w:color w:val="auto"/>
        </w:rPr>
        <w:t xml:space="preserve">Three Months Ended June 30, 2022 </w:t>
      </w:r>
      <w:r>
        <w:rPr>
          <w:rFonts w:ascii="Arial" w:cs="Arial" w:eastAsia="Arial" w:hAnsi="Arial"/>
          <w:sz w:val="16"/>
          <w:szCs w:val="16"/>
          <w:color w:val="auto"/>
        </w:rPr>
        <w:t>Total revenue</w:t>
      </w:r>
    </w:p>
    <w:p>
      <w:pPr>
        <w:spacing w:after="0" w:line="1" w:lineRule="exact"/>
        <w:rPr>
          <w:sz w:val="20"/>
          <w:szCs w:val="20"/>
          <w:color w:val="auto"/>
        </w:rPr>
      </w:pPr>
    </w:p>
    <w:p>
      <w:pPr>
        <w:ind w:right="1260"/>
        <w:spacing w:after="0" w:line="281" w:lineRule="auto"/>
        <w:rPr>
          <w:sz w:val="20"/>
          <w:szCs w:val="20"/>
          <w:color w:val="auto"/>
        </w:rPr>
      </w:pPr>
      <w:r>
        <w:rPr>
          <w:rFonts w:ascii="Arial" w:cs="Arial" w:eastAsia="Arial" w:hAnsi="Arial"/>
          <w:sz w:val="16"/>
          <w:szCs w:val="16"/>
          <w:color w:val="auto"/>
        </w:rPr>
        <w:t>Cost of testing revenue Cost of product revenue</w:t>
      </w:r>
    </w:p>
    <w:p>
      <w:pPr>
        <w:spacing w:after="0" w:line="1" w:lineRule="exact"/>
        <w:rPr>
          <w:sz w:val="20"/>
          <w:szCs w:val="20"/>
          <w:color w:val="auto"/>
        </w:rPr>
      </w:pPr>
    </w:p>
    <w:p>
      <w:pPr>
        <w:ind w:right="380"/>
        <w:spacing w:after="0" w:line="246" w:lineRule="auto"/>
        <w:rPr>
          <w:sz w:val="20"/>
          <w:szCs w:val="20"/>
          <w:color w:val="auto"/>
        </w:rPr>
      </w:pPr>
      <w:r>
        <w:rPr>
          <w:rFonts w:ascii="Arial" w:cs="Arial" w:eastAsia="Arial" w:hAnsi="Arial"/>
          <w:sz w:val="16"/>
          <w:szCs w:val="16"/>
          <w:color w:val="auto"/>
        </w:rPr>
        <w:t>Cost of biopharmaceutical and other revenue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 amortization (2)</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Gross margin $</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Gross margin %</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Selling and marketing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 amortization</w:t>
      </w:r>
    </w:p>
    <w:p>
      <w:pPr>
        <w:spacing w:after="0" w:line="32" w:lineRule="exact"/>
        <w:rPr>
          <w:sz w:val="20"/>
          <w:szCs w:val="20"/>
          <w:color w:val="auto"/>
        </w:rPr>
      </w:pPr>
    </w:p>
    <w:p>
      <w:pPr>
        <w:ind w:left="100"/>
        <w:spacing w:after="0" w:line="251" w:lineRule="auto"/>
        <w:rPr>
          <w:sz w:val="20"/>
          <w:szCs w:val="20"/>
          <w:color w:val="auto"/>
        </w:rPr>
      </w:pPr>
      <w:r>
        <w:rPr>
          <w:rFonts w:ascii="Arial" w:cs="Arial" w:eastAsia="Arial" w:hAnsi="Arial"/>
          <w:sz w:val="16"/>
          <w:szCs w:val="16"/>
          <w:color w:val="auto"/>
        </w:rPr>
        <w:t>Total operating expenses excluding cost of revenue (3)</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Loss from operations</w:t>
      </w:r>
    </w:p>
    <w:p>
      <w:pPr>
        <w:spacing w:after="0" w:line="289" w:lineRule="exact"/>
        <w:rPr>
          <w:sz w:val="20"/>
          <w:szCs w:val="20"/>
          <w:color w:val="auto"/>
        </w:rPr>
      </w:pPr>
    </w:p>
    <w:p>
      <w:pPr>
        <w:ind w:right="280"/>
        <w:spacing w:after="0" w:line="281" w:lineRule="auto"/>
        <w:rPr>
          <w:sz w:val="20"/>
          <w:szCs w:val="20"/>
          <w:color w:val="auto"/>
        </w:rPr>
      </w:pPr>
      <w:r>
        <w:rPr>
          <w:rFonts w:ascii="Arial" w:cs="Arial" w:eastAsia="Arial" w:hAnsi="Arial"/>
          <w:sz w:val="16"/>
          <w:szCs w:val="16"/>
          <w:b w:val="1"/>
          <w:bCs w:val="1"/>
          <w:color w:val="auto"/>
        </w:rPr>
        <w:t xml:space="preserve">Three Months Ended June 30, 2021 </w:t>
      </w:r>
      <w:r>
        <w:rPr>
          <w:rFonts w:ascii="Arial" w:cs="Arial" w:eastAsia="Arial" w:hAnsi="Arial"/>
          <w:sz w:val="16"/>
          <w:szCs w:val="16"/>
          <w:color w:val="auto"/>
        </w:rPr>
        <w:t>Total revenue</w:t>
      </w:r>
    </w:p>
    <w:p>
      <w:pPr>
        <w:spacing w:after="0" w:line="1" w:lineRule="exact"/>
        <w:rPr>
          <w:sz w:val="20"/>
          <w:szCs w:val="20"/>
          <w:color w:val="auto"/>
        </w:rPr>
      </w:pPr>
    </w:p>
    <w:p>
      <w:pPr>
        <w:ind w:right="1260"/>
        <w:spacing w:after="0" w:line="281" w:lineRule="auto"/>
        <w:rPr>
          <w:sz w:val="20"/>
          <w:szCs w:val="20"/>
          <w:color w:val="auto"/>
        </w:rPr>
      </w:pPr>
      <w:r>
        <w:rPr>
          <w:rFonts w:ascii="Arial" w:cs="Arial" w:eastAsia="Arial" w:hAnsi="Arial"/>
          <w:sz w:val="16"/>
          <w:szCs w:val="16"/>
          <w:color w:val="auto"/>
        </w:rPr>
        <w:t>Cost of testing revenue Cost of product revenue</w:t>
      </w:r>
    </w:p>
    <w:p>
      <w:pPr>
        <w:spacing w:after="0" w:line="1" w:lineRule="exact"/>
        <w:rPr>
          <w:sz w:val="20"/>
          <w:szCs w:val="20"/>
          <w:color w:val="auto"/>
        </w:rPr>
      </w:pPr>
    </w:p>
    <w:p>
      <w:pPr>
        <w:ind w:right="380"/>
        <w:spacing w:after="0" w:line="246" w:lineRule="auto"/>
        <w:rPr>
          <w:sz w:val="20"/>
          <w:szCs w:val="20"/>
          <w:color w:val="auto"/>
        </w:rPr>
      </w:pPr>
      <w:r>
        <w:rPr>
          <w:rFonts w:ascii="Arial" w:cs="Arial" w:eastAsia="Arial" w:hAnsi="Arial"/>
          <w:sz w:val="16"/>
          <w:szCs w:val="16"/>
          <w:color w:val="auto"/>
        </w:rPr>
        <w:t>Cost of biopharmaceutical and other revenue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 amortization (2)</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Gross margin $</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Gross margin %</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Selling and marketing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 amortization</w:t>
      </w:r>
    </w:p>
    <w:p>
      <w:pPr>
        <w:spacing w:after="0" w:line="32" w:lineRule="exact"/>
        <w:rPr>
          <w:sz w:val="20"/>
          <w:szCs w:val="20"/>
          <w:color w:val="auto"/>
        </w:rPr>
      </w:pPr>
    </w:p>
    <w:p>
      <w:pPr>
        <w:ind w:left="100"/>
        <w:spacing w:after="0" w:line="251" w:lineRule="auto"/>
        <w:rPr>
          <w:sz w:val="20"/>
          <w:szCs w:val="20"/>
          <w:color w:val="auto"/>
        </w:rPr>
      </w:pPr>
      <w:r>
        <w:rPr>
          <w:rFonts w:ascii="Arial" w:cs="Arial" w:eastAsia="Arial" w:hAnsi="Arial"/>
          <w:sz w:val="16"/>
          <w:szCs w:val="16"/>
          <w:color w:val="auto"/>
        </w:rPr>
        <w:t>Total operating expenses excluding cost of revenue (3)</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Loss from operations</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6"/>
        </w:trPr>
        <w:tc>
          <w:tcPr>
            <w:tcW w:w="3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259"/>
              <w:spacing w:after="0" w:line="155" w:lineRule="exact"/>
              <w:rPr>
                <w:sz w:val="20"/>
                <w:szCs w:val="20"/>
                <w:color w:val="auto"/>
              </w:rPr>
            </w:pPr>
            <w:r>
              <w:rPr>
                <w:rFonts w:ascii="Arial" w:cs="Arial" w:eastAsia="Arial" w:hAnsi="Arial"/>
                <w:sz w:val="16"/>
                <w:szCs w:val="16"/>
                <w:b w:val="1"/>
                <w:bCs w:val="1"/>
                <w:color w:val="auto"/>
              </w:rPr>
              <w:t>Acquisition</w:t>
            </w:r>
          </w:p>
        </w:tc>
        <w:tc>
          <w:tcPr>
            <w:tcW w:w="18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jc w:val="center"/>
              <w:ind w:right="59"/>
              <w:spacing w:after="0" w:line="155" w:lineRule="exact"/>
              <w:rPr>
                <w:sz w:val="20"/>
                <w:szCs w:val="20"/>
                <w:color w:val="auto"/>
              </w:rPr>
            </w:pPr>
            <w:r>
              <w:rPr>
                <w:rFonts w:ascii="Arial" w:cs="Arial" w:eastAsia="Arial" w:hAnsi="Arial"/>
                <w:sz w:val="16"/>
                <w:szCs w:val="16"/>
                <w:b w:val="1"/>
                <w:bCs w:val="1"/>
                <w:color w:val="auto"/>
              </w:rPr>
              <w:t>Intangible Assets</w:t>
            </w:r>
          </w:p>
        </w:tc>
        <w:tc>
          <w:tcPr>
            <w:tcW w:w="1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1280" w:type="dxa"/>
            <w:vAlign w:val="bottom"/>
            <w:vMerge w:val="restart"/>
          </w:tcPr>
          <w:p>
            <w:pPr>
              <w:jc w:val="right"/>
              <w:ind w:right="539"/>
              <w:spacing w:after="0"/>
              <w:rPr>
                <w:sz w:val="20"/>
                <w:szCs w:val="20"/>
                <w:color w:val="auto"/>
              </w:rPr>
            </w:pPr>
            <w:r>
              <w:rPr>
                <w:rFonts w:ascii="Arial" w:cs="Arial" w:eastAsia="Arial" w:hAnsi="Arial"/>
                <w:sz w:val="16"/>
                <w:szCs w:val="16"/>
                <w:b w:val="1"/>
                <w:bCs w:val="1"/>
                <w:color w:val="auto"/>
              </w:rPr>
              <w:t>GAAP</w:t>
            </w:r>
          </w:p>
        </w:tc>
        <w:tc>
          <w:tcPr>
            <w:tcW w:w="150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rPr>
              <w:t>Related Expenses</w:t>
            </w:r>
          </w:p>
        </w:tc>
        <w:tc>
          <w:tcPr>
            <w:tcW w:w="180" w:type="dxa"/>
            <w:vAlign w:val="bottom"/>
          </w:tcPr>
          <w:p>
            <w:pPr>
              <w:spacing w:after="0"/>
              <w:rPr>
                <w:sz w:val="14"/>
                <w:szCs w:val="14"/>
                <w:color w:val="auto"/>
              </w:rPr>
            </w:pPr>
          </w:p>
        </w:tc>
        <w:tc>
          <w:tcPr>
            <w:tcW w:w="148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Amortization</w:t>
            </w:r>
          </w:p>
        </w:tc>
        <w:tc>
          <w:tcPr>
            <w:tcW w:w="180" w:type="dxa"/>
            <w:vAlign w:val="bottom"/>
          </w:tcPr>
          <w:p>
            <w:pPr>
              <w:spacing w:after="0"/>
              <w:rPr>
                <w:sz w:val="14"/>
                <w:szCs w:val="14"/>
                <w:color w:val="auto"/>
              </w:rPr>
            </w:pPr>
          </w:p>
        </w:tc>
        <w:tc>
          <w:tcPr>
            <w:tcW w:w="80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8"/>
              </w:rPr>
              <w:t>Other (4)</w:t>
            </w:r>
          </w:p>
        </w:tc>
        <w:tc>
          <w:tcPr>
            <w:tcW w:w="21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Total Non-GAAP Measure</w:t>
            </w:r>
          </w:p>
        </w:tc>
        <w:tc>
          <w:tcPr>
            <w:tcW w:w="0" w:type="dxa"/>
            <w:vAlign w:val="bottom"/>
          </w:tcPr>
          <w:p>
            <w:pPr>
              <w:spacing w:after="0"/>
              <w:rPr>
                <w:sz w:val="1"/>
                <w:szCs w:val="1"/>
                <w:color w:val="auto"/>
              </w:rPr>
            </w:pPr>
          </w:p>
        </w:tc>
      </w:tr>
      <w:tr>
        <w:trPr>
          <w:trHeight w:val="216"/>
        </w:trPr>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(1)</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Expense</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218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72,864</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53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72,864</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18,584</w:t>
            </w:r>
          </w:p>
        </w:tc>
        <w:tc>
          <w:tcPr>
            <w:tcW w:w="18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51</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18,533</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1,646</w:t>
            </w:r>
          </w:p>
        </w:tc>
        <w:tc>
          <w:tcPr>
            <w:tcW w:w="18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1,646</w:t>
            </w:r>
          </w:p>
        </w:tc>
        <w:tc>
          <w:tcPr>
            <w:tcW w:w="0" w:type="dxa"/>
            <w:vAlign w:val="bottom"/>
          </w:tcPr>
          <w:p>
            <w:pPr>
              <w:spacing w:after="0"/>
              <w:rPr>
                <w:sz w:val="1"/>
                <w:szCs w:val="1"/>
                <w:color w:val="auto"/>
              </w:rPr>
            </w:pPr>
          </w:p>
        </w:tc>
      </w:tr>
      <w:tr>
        <w:trPr>
          <w:trHeight w:val="378"/>
        </w:trPr>
        <w:tc>
          <w:tcPr>
            <w:tcW w:w="300" w:type="dxa"/>
            <w:vAlign w:val="bottom"/>
          </w:tcPr>
          <w:p>
            <w:pPr>
              <w:spacing w:after="0"/>
              <w:rPr>
                <w:sz w:val="24"/>
                <w:szCs w:val="24"/>
                <w:color w:val="auto"/>
              </w:rPr>
            </w:pP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4,800</w:t>
            </w:r>
          </w:p>
        </w:tc>
        <w:tc>
          <w:tcPr>
            <w:tcW w:w="180" w:type="dxa"/>
            <w:vAlign w:val="bottom"/>
          </w:tcPr>
          <w:p>
            <w:pPr>
              <w:spacing w:after="0"/>
              <w:rPr>
                <w:sz w:val="24"/>
                <w:szCs w:val="24"/>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65</w:t>
            </w: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24"/>
                <w:szCs w:val="24"/>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4,735</w:t>
            </w:r>
          </w:p>
        </w:tc>
        <w:tc>
          <w:tcPr>
            <w:tcW w:w="0" w:type="dxa"/>
            <w:vAlign w:val="bottom"/>
          </w:tcPr>
          <w:p>
            <w:pPr>
              <w:spacing w:after="0"/>
              <w:rPr>
                <w:sz w:val="1"/>
                <w:szCs w:val="1"/>
                <w:color w:val="auto"/>
              </w:rPr>
            </w:pPr>
          </w:p>
        </w:tc>
      </w:tr>
      <w:tr>
        <w:trPr>
          <w:trHeight w:val="217"/>
        </w:trPr>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4,869</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4,869</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42,965</w:t>
            </w:r>
          </w:p>
        </w:tc>
        <w:tc>
          <w:tcPr>
            <w:tcW w:w="18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116</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4,869</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47,950</w:t>
            </w:r>
          </w:p>
        </w:tc>
        <w:tc>
          <w:tcPr>
            <w:tcW w:w="0" w:type="dxa"/>
            <w:vAlign w:val="bottom"/>
          </w:tcPr>
          <w:p>
            <w:pPr>
              <w:spacing w:after="0"/>
              <w:rPr>
                <w:sz w:val="1"/>
                <w:szCs w:val="1"/>
                <w:color w:val="auto"/>
              </w:rPr>
            </w:pPr>
          </w:p>
        </w:tc>
      </w:tr>
      <w:tr>
        <w:trPr>
          <w:trHeight w:val="215"/>
        </w:trPr>
        <w:tc>
          <w:tcPr>
            <w:tcW w:w="30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59 %</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66 %</w:t>
            </w:r>
          </w:p>
        </w:tc>
        <w:tc>
          <w:tcPr>
            <w:tcW w:w="0" w:type="dxa"/>
            <w:vAlign w:val="bottom"/>
          </w:tcPr>
          <w:p>
            <w:pPr>
              <w:spacing w:after="0"/>
              <w:rPr>
                <w:sz w:val="1"/>
                <w:szCs w:val="1"/>
                <w:color w:val="auto"/>
              </w:rPr>
            </w:pPr>
          </w:p>
        </w:tc>
      </w:tr>
      <w:tr>
        <w:trPr>
          <w:trHeight w:val="473"/>
        </w:trPr>
        <w:tc>
          <w:tcPr>
            <w:tcW w:w="300" w:type="dxa"/>
            <w:vAlign w:val="bottom"/>
          </w:tcPr>
          <w:p>
            <w:pPr>
              <w:spacing w:after="0"/>
              <w:rPr>
                <w:sz w:val="24"/>
                <w:szCs w:val="24"/>
                <w:color w:val="auto"/>
              </w:rPr>
            </w:pP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9,377</w:t>
            </w:r>
          </w:p>
        </w:tc>
        <w:tc>
          <w:tcPr>
            <w:tcW w:w="180" w:type="dxa"/>
            <w:vAlign w:val="bottom"/>
          </w:tcPr>
          <w:p>
            <w:pPr>
              <w:spacing w:after="0"/>
              <w:rPr>
                <w:sz w:val="24"/>
                <w:szCs w:val="24"/>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293</w:t>
            </w: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24"/>
                <w:szCs w:val="24"/>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9,084</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24,001</w:t>
            </w:r>
          </w:p>
        </w:tc>
        <w:tc>
          <w:tcPr>
            <w:tcW w:w="18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858</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23,143</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19,798</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(285)</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3,318</w:t>
            </w:r>
          </w:p>
        </w:tc>
        <w:tc>
          <w:tcPr>
            <w:tcW w:w="82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16,765</w:t>
            </w:r>
          </w:p>
        </w:tc>
        <w:tc>
          <w:tcPr>
            <w:tcW w:w="0" w:type="dxa"/>
            <w:vAlign w:val="bottom"/>
          </w:tcPr>
          <w:p>
            <w:pPr>
              <w:spacing w:after="0"/>
              <w:rPr>
                <w:sz w:val="1"/>
                <w:szCs w:val="1"/>
                <w:color w:val="auto"/>
              </w:rPr>
            </w:pPr>
          </w:p>
        </w:tc>
      </w:tr>
      <w:tr>
        <w:trPr>
          <w:trHeight w:val="217"/>
        </w:trPr>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522</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58"/>
        </w:trPr>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53,698</w:t>
            </w: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866</w:t>
            </w: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w:t>
            </w: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3,318</w:t>
            </w:r>
          </w:p>
        </w:tc>
        <w:tc>
          <w:tcPr>
            <w:tcW w:w="8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48,992</w:t>
            </w:r>
          </w:p>
        </w:tc>
        <w:tc>
          <w:tcPr>
            <w:tcW w:w="0" w:type="dxa"/>
            <w:vAlign w:val="bottom"/>
          </w:tcPr>
          <w:p>
            <w:pPr>
              <w:spacing w:after="0"/>
              <w:rPr>
                <w:sz w:val="1"/>
                <w:szCs w:val="1"/>
                <w:color w:val="auto"/>
              </w:rPr>
            </w:pPr>
          </w:p>
        </w:tc>
      </w:tr>
      <w:tr>
        <w:trPr>
          <w:trHeight w:val="210"/>
        </w:trPr>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(10,733)</w:t>
            </w:r>
          </w:p>
        </w:tc>
        <w:tc>
          <w:tcPr>
            <w:tcW w:w="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982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5,391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3,318</w:t>
            </w:r>
          </w:p>
        </w:tc>
        <w:tc>
          <w:tcPr>
            <w:tcW w:w="8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(1,042)</w:t>
            </w:r>
          </w:p>
        </w:tc>
        <w:tc>
          <w:tcPr>
            <w:tcW w:w="0" w:type="dxa"/>
            <w:vAlign w:val="bottom"/>
          </w:tcPr>
          <w:p>
            <w:pPr>
              <w:spacing w:after="0"/>
              <w:rPr>
                <w:sz w:val="1"/>
                <w:szCs w:val="1"/>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3"/>
        </w:trPr>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55,105</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53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55,105</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15,589</w:t>
            </w:r>
          </w:p>
        </w:tc>
        <w:tc>
          <w:tcPr>
            <w:tcW w:w="18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15,589</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1,323</w:t>
            </w:r>
          </w:p>
        </w:tc>
        <w:tc>
          <w:tcPr>
            <w:tcW w:w="18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1,323</w:t>
            </w:r>
          </w:p>
        </w:tc>
        <w:tc>
          <w:tcPr>
            <w:tcW w:w="0" w:type="dxa"/>
            <w:vAlign w:val="bottom"/>
          </w:tcPr>
          <w:p>
            <w:pPr>
              <w:spacing w:after="0"/>
              <w:rPr>
                <w:sz w:val="1"/>
                <w:szCs w:val="1"/>
                <w:color w:val="auto"/>
              </w:rPr>
            </w:pPr>
          </w:p>
        </w:tc>
      </w:tr>
      <w:tr>
        <w:trPr>
          <w:trHeight w:val="378"/>
        </w:trPr>
        <w:tc>
          <w:tcPr>
            <w:tcW w:w="300" w:type="dxa"/>
            <w:vAlign w:val="bottom"/>
          </w:tcPr>
          <w:p>
            <w:pPr>
              <w:spacing w:after="0"/>
              <w:rPr>
                <w:sz w:val="24"/>
                <w:szCs w:val="24"/>
                <w:color w:val="auto"/>
              </w:rPr>
            </w:pP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560</w:t>
            </w:r>
          </w:p>
        </w:tc>
        <w:tc>
          <w:tcPr>
            <w:tcW w:w="180" w:type="dxa"/>
            <w:vAlign w:val="bottom"/>
          </w:tcPr>
          <w:p>
            <w:pPr>
              <w:spacing w:after="0"/>
              <w:rPr>
                <w:sz w:val="24"/>
                <w:szCs w:val="24"/>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24"/>
                <w:szCs w:val="24"/>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560</w:t>
            </w:r>
          </w:p>
        </w:tc>
        <w:tc>
          <w:tcPr>
            <w:tcW w:w="0" w:type="dxa"/>
            <w:vAlign w:val="bottom"/>
          </w:tcPr>
          <w:p>
            <w:pPr>
              <w:spacing w:after="0"/>
              <w:rPr>
                <w:sz w:val="1"/>
                <w:szCs w:val="1"/>
                <w:color w:val="auto"/>
              </w:rPr>
            </w:pPr>
          </w:p>
        </w:tc>
      </w:tr>
      <w:tr>
        <w:trPr>
          <w:trHeight w:val="217"/>
        </w:trPr>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3,402</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3,402</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34,231</w:t>
            </w:r>
          </w:p>
        </w:tc>
        <w:tc>
          <w:tcPr>
            <w:tcW w:w="18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3,402</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37,633</w:t>
            </w:r>
          </w:p>
        </w:tc>
        <w:tc>
          <w:tcPr>
            <w:tcW w:w="0" w:type="dxa"/>
            <w:vAlign w:val="bottom"/>
          </w:tcPr>
          <w:p>
            <w:pPr>
              <w:spacing w:after="0"/>
              <w:rPr>
                <w:sz w:val="1"/>
                <w:szCs w:val="1"/>
                <w:color w:val="auto"/>
              </w:rPr>
            </w:pPr>
          </w:p>
        </w:tc>
      </w:tr>
      <w:tr>
        <w:trPr>
          <w:trHeight w:val="215"/>
        </w:trPr>
        <w:tc>
          <w:tcPr>
            <w:tcW w:w="30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62 %</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68 %</w:t>
            </w:r>
          </w:p>
        </w:tc>
        <w:tc>
          <w:tcPr>
            <w:tcW w:w="0" w:type="dxa"/>
            <w:vAlign w:val="bottom"/>
          </w:tcPr>
          <w:p>
            <w:pPr>
              <w:spacing w:after="0"/>
              <w:rPr>
                <w:sz w:val="1"/>
                <w:szCs w:val="1"/>
                <w:color w:val="auto"/>
              </w:rPr>
            </w:pPr>
          </w:p>
        </w:tc>
      </w:tr>
      <w:tr>
        <w:trPr>
          <w:trHeight w:val="473"/>
        </w:trPr>
        <w:tc>
          <w:tcPr>
            <w:tcW w:w="300" w:type="dxa"/>
            <w:vAlign w:val="bottom"/>
          </w:tcPr>
          <w:p>
            <w:pPr>
              <w:spacing w:after="0"/>
              <w:rPr>
                <w:sz w:val="24"/>
                <w:szCs w:val="24"/>
                <w:color w:val="auto"/>
              </w:rPr>
            </w:pP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6,249</w:t>
            </w:r>
          </w:p>
        </w:tc>
        <w:tc>
          <w:tcPr>
            <w:tcW w:w="180" w:type="dxa"/>
            <w:vAlign w:val="bottom"/>
          </w:tcPr>
          <w:p>
            <w:pPr>
              <w:spacing w:after="0"/>
              <w:rPr>
                <w:sz w:val="24"/>
                <w:szCs w:val="24"/>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24"/>
                <w:szCs w:val="24"/>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6,249</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19,662</w:t>
            </w:r>
          </w:p>
        </w:tc>
        <w:tc>
          <w:tcPr>
            <w:tcW w:w="18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19,650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15,473</w:t>
            </w:r>
          </w:p>
        </w:tc>
        <w:tc>
          <w:tcPr>
            <w:tcW w:w="18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3,380</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12,093</w:t>
            </w:r>
          </w:p>
        </w:tc>
        <w:tc>
          <w:tcPr>
            <w:tcW w:w="0" w:type="dxa"/>
            <w:vAlign w:val="bottom"/>
          </w:tcPr>
          <w:p>
            <w:pPr>
              <w:spacing w:after="0"/>
              <w:rPr>
                <w:sz w:val="1"/>
                <w:szCs w:val="1"/>
                <w:color w:val="auto"/>
              </w:rPr>
            </w:pPr>
          </w:p>
        </w:tc>
      </w:tr>
      <w:tr>
        <w:trPr>
          <w:trHeight w:val="217"/>
        </w:trPr>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321</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58"/>
        </w:trPr>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41,705</w:t>
            </w: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3,392</w:t>
            </w: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w:t>
            </w: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37,992</w:t>
            </w:r>
          </w:p>
        </w:tc>
        <w:tc>
          <w:tcPr>
            <w:tcW w:w="0" w:type="dxa"/>
            <w:vAlign w:val="bottom"/>
          </w:tcPr>
          <w:p>
            <w:pPr>
              <w:spacing w:after="0"/>
              <w:rPr>
                <w:sz w:val="1"/>
                <w:szCs w:val="1"/>
                <w:color w:val="auto"/>
              </w:rPr>
            </w:pPr>
          </w:p>
        </w:tc>
      </w:tr>
      <w:tr>
        <w:trPr>
          <w:trHeight w:val="210"/>
        </w:trPr>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(7,474)</w:t>
            </w:r>
          </w:p>
        </w:tc>
        <w:tc>
          <w:tcPr>
            <w:tcW w:w="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3,392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(359)</w:t>
            </w:r>
          </w:p>
        </w:tc>
        <w:tc>
          <w:tcPr>
            <w:tcW w:w="0" w:type="dxa"/>
            <w:vAlign w:val="bottom"/>
          </w:tcPr>
          <w:p>
            <w:pPr>
              <w:spacing w:after="0"/>
              <w:rPr>
                <w:sz w:val="1"/>
                <w:szCs w:val="1"/>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ectPr>
          <w:pgSz w:w="11900" w:h="16838" w:orient="portrait"/>
          <w:cols w:equalWidth="0" w:num="2">
            <w:col w:w="2980" w:space="200"/>
            <w:col w:w="7900"/>
          </w:cols>
          <w:pgMar w:left="420" w:top="1178" w:right="399" w:bottom="1440" w:gutter="0" w:footer="0" w:header="0"/>
          <w:type w:val="continuous"/>
        </w:sectPr>
      </w:pPr>
    </w:p>
    <w:p>
      <w:pPr>
        <w:ind w:left="240" w:right="160" w:hanging="240"/>
        <w:spacing w:after="0" w:line="234" w:lineRule="auto"/>
        <w:tabs>
          <w:tab w:leader="none" w:pos="177"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transaction related expenses as well as post-combination compensation expenses. For 2021, adjustments consist primarily of transaction-related expenses associated with the acquisition of Decipher Biosciences. For 2022, adjustments consist primarily of post-combination compensation expenses associated with the acquisition of HalioDx.</w:t>
      </w:r>
    </w:p>
    <w:p>
      <w:pPr>
        <w:spacing w:after="0" w:line="1" w:lineRule="exact"/>
        <w:rPr>
          <w:rFonts w:ascii="Arial" w:cs="Arial" w:eastAsia="Arial" w:hAnsi="Arial"/>
          <w:sz w:val="16"/>
          <w:szCs w:val="16"/>
          <w:color w:val="auto"/>
        </w:rPr>
      </w:pPr>
    </w:p>
    <w:p>
      <w:pPr>
        <w:ind w:left="240" w:right="260" w:hanging="240"/>
        <w:spacing w:after="0" w:line="246" w:lineRule="auto"/>
        <w:tabs>
          <w:tab w:leader="none" w:pos="177"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only amortization of intangible assets identified as developed technology assets through purchase accounting transactions, which otherwise would have been allocated to cost of revenue.</w:t>
      </w:r>
    </w:p>
    <w:p>
      <w:pPr>
        <w:ind w:left="240" w:right="160" w:hanging="240"/>
        <w:spacing w:after="0" w:line="234" w:lineRule="auto"/>
        <w:tabs>
          <w:tab w:leader="none" w:pos="177"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only amortization of intangible assets, which otherwise would have been allocated to research and development, selling and marketing or general and administrative expense and excludes the cost of revenue ($25.0 and $17.5 million) and the amortization of intangible assets which would have been allocated to the cost of revenue ($4.9 and $3.4 million) for Q2 2022 and 2021 respectively.</w:t>
      </w:r>
    </w:p>
    <w:p>
      <w:pPr>
        <w:spacing w:after="0" w:line="1" w:lineRule="exact"/>
        <w:rPr>
          <w:rFonts w:ascii="Arial" w:cs="Arial" w:eastAsia="Arial" w:hAnsi="Arial"/>
          <w:sz w:val="16"/>
          <w:szCs w:val="16"/>
          <w:color w:val="auto"/>
        </w:rPr>
      </w:pPr>
    </w:p>
    <w:p>
      <w:pPr>
        <w:ind w:left="180" w:hanging="180"/>
        <w:spacing w:after="0"/>
        <w:tabs>
          <w:tab w:leader="none" w:pos="18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$3.3 million expense related to the impairment charge associated with certain developed technology intangible assets</w:t>
      </w:r>
    </w:p>
    <w:p>
      <w:pPr>
        <w:sectPr>
          <w:pgSz w:w="11900" w:h="16838" w:orient="portrait"/>
          <w:cols w:equalWidth="0" w:num="1">
            <w:col w:w="11080"/>
          </w:cols>
          <w:pgMar w:left="420" w:top="1178" w:right="39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4940" w:type="dxa"/>
            <w:vAlign w:val="bottom"/>
            <w:gridSpan w:val="4"/>
          </w:tcPr>
          <w:p>
            <w:pPr>
              <w:spacing w:after="0"/>
              <w:rPr>
                <w:sz w:val="20"/>
                <w:szCs w:val="20"/>
                <w:color w:val="auto"/>
              </w:rPr>
            </w:pPr>
            <w:r>
              <w:rPr>
                <w:rFonts w:ascii="Arial" w:cs="Arial" w:eastAsia="Arial" w:hAnsi="Arial"/>
                <w:sz w:val="16"/>
                <w:szCs w:val="16"/>
                <w:b w:val="1"/>
                <w:bCs w:val="1"/>
                <w:color w:val="auto"/>
              </w:rPr>
              <w:t>Reconciliation of U.S. GAAP to Non-GAAP Financial Measures</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80" w:type="dxa"/>
            <w:vAlign w:val="bottom"/>
          </w:tcPr>
          <w:p>
            <w:pPr>
              <w:spacing w:after="0"/>
              <w:rPr>
                <w:sz w:val="20"/>
                <w:szCs w:val="20"/>
                <w:color w:val="auto"/>
              </w:rPr>
            </w:pPr>
            <w:r>
              <w:rPr>
                <w:rFonts w:ascii="Arial" w:cs="Arial" w:eastAsia="Arial" w:hAnsi="Arial"/>
                <w:sz w:val="16"/>
                <w:szCs w:val="16"/>
                <w:color w:val="auto"/>
              </w:rPr>
              <w:t>(Unaudited)</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(In thousands of dollars)</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6"/>
                <w:szCs w:val="16"/>
                <w:b w:val="1"/>
                <w:bCs w:val="1"/>
                <w:color w:val="auto"/>
              </w:rPr>
              <w:t>Identified Expenses</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jc w:val="center"/>
              <w:ind w:right="159"/>
              <w:spacing w:after="0" w:line="155" w:lineRule="exact"/>
              <w:rPr>
                <w:sz w:val="20"/>
                <w:szCs w:val="20"/>
                <w:color w:val="auto"/>
              </w:rPr>
            </w:pPr>
            <w:r>
              <w:rPr>
                <w:rFonts w:ascii="Arial" w:cs="Arial" w:eastAsia="Arial" w:hAnsi="Arial"/>
                <w:sz w:val="16"/>
                <w:szCs w:val="16"/>
                <w:b w:val="1"/>
                <w:bCs w:val="1"/>
                <w:color w:val="auto"/>
              </w:rPr>
              <w:t>Acquisition</w:t>
            </w:r>
          </w:p>
        </w:tc>
        <w:tc>
          <w:tcPr>
            <w:tcW w:w="180" w:type="dxa"/>
            <w:vAlign w:val="bottom"/>
          </w:tcPr>
          <w:p>
            <w:pPr>
              <w:spacing w:after="0"/>
              <w:rPr>
                <w:sz w:val="13"/>
                <w:szCs w:val="13"/>
                <w:color w:val="auto"/>
              </w:rPr>
            </w:pPr>
          </w:p>
        </w:tc>
        <w:tc>
          <w:tcPr>
            <w:tcW w:w="148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Intangible Assets</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vMerge w:val="restart"/>
          </w:tcPr>
          <w:p>
            <w:pPr>
              <w:jc w:val="right"/>
              <w:ind w:right="539"/>
              <w:spacing w:after="0"/>
              <w:rPr>
                <w:sz w:val="20"/>
                <w:szCs w:val="20"/>
                <w:color w:val="auto"/>
              </w:rPr>
            </w:pPr>
            <w:r>
              <w:rPr>
                <w:rFonts w:ascii="Arial" w:cs="Arial" w:eastAsia="Arial" w:hAnsi="Arial"/>
                <w:sz w:val="16"/>
                <w:szCs w:val="16"/>
                <w:b w:val="1"/>
                <w:bCs w:val="1"/>
                <w:color w:val="auto"/>
              </w:rPr>
              <w:t>GAAP</w:t>
            </w:r>
          </w:p>
        </w:tc>
        <w:tc>
          <w:tcPr>
            <w:tcW w:w="150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Related Expenses</w:t>
            </w:r>
          </w:p>
        </w:tc>
        <w:tc>
          <w:tcPr>
            <w:tcW w:w="180" w:type="dxa"/>
            <w:vAlign w:val="bottom"/>
          </w:tcPr>
          <w:p>
            <w:pPr>
              <w:spacing w:after="0"/>
              <w:rPr>
                <w:sz w:val="14"/>
                <w:szCs w:val="14"/>
                <w:color w:val="auto"/>
              </w:rPr>
            </w:pPr>
          </w:p>
        </w:tc>
        <w:tc>
          <w:tcPr>
            <w:tcW w:w="148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Amortization</w:t>
            </w:r>
          </w:p>
        </w:tc>
        <w:tc>
          <w:tcPr>
            <w:tcW w:w="180" w:type="dxa"/>
            <w:vAlign w:val="bottom"/>
          </w:tcPr>
          <w:p>
            <w:pPr>
              <w:spacing w:after="0"/>
              <w:rPr>
                <w:sz w:val="14"/>
                <w:szCs w:val="14"/>
                <w:color w:val="auto"/>
              </w:rPr>
            </w:pPr>
          </w:p>
        </w:tc>
        <w:tc>
          <w:tcPr>
            <w:tcW w:w="80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8"/>
              </w:rPr>
              <w:t>Other (4)</w:t>
            </w:r>
          </w:p>
        </w:tc>
        <w:tc>
          <w:tcPr>
            <w:tcW w:w="21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Total Non-GAAP Measure</w:t>
            </w:r>
          </w:p>
        </w:tc>
        <w:tc>
          <w:tcPr>
            <w:tcW w:w="0" w:type="dxa"/>
            <w:vAlign w:val="bottom"/>
          </w:tcPr>
          <w:p>
            <w:pPr>
              <w:spacing w:after="0"/>
              <w:rPr>
                <w:sz w:val="1"/>
                <w:szCs w:val="1"/>
                <w:color w:val="auto"/>
              </w:rPr>
            </w:pPr>
          </w:p>
        </w:tc>
      </w:tr>
      <w:tr>
        <w:trPr>
          <w:trHeight w:val="216"/>
        </w:trPr>
        <w:tc>
          <w:tcPr>
            <w:tcW w:w="3180" w:type="dxa"/>
            <w:vAlign w:val="bottom"/>
            <w:vMerge w:val="restart"/>
          </w:tcPr>
          <w:p>
            <w:pPr>
              <w:spacing w:after="0"/>
              <w:rPr>
                <w:sz w:val="20"/>
                <w:szCs w:val="20"/>
                <w:color w:val="auto"/>
              </w:rPr>
            </w:pPr>
            <w:r>
              <w:rPr>
                <w:rFonts w:ascii="Arial" w:cs="Arial" w:eastAsia="Arial" w:hAnsi="Arial"/>
                <w:sz w:val="16"/>
                <w:szCs w:val="16"/>
                <w:b w:val="1"/>
                <w:bCs w:val="1"/>
                <w:color w:val="auto"/>
              </w:rPr>
              <w:t>Six Months Ended June 30, 2022</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(1)</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Expense</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218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1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180" w:type="dxa"/>
            <w:vAlign w:val="bottom"/>
          </w:tcPr>
          <w:p>
            <w:pPr>
              <w:spacing w:after="0"/>
              <w:rPr>
                <w:sz w:val="20"/>
                <w:szCs w:val="20"/>
                <w:color w:val="auto"/>
              </w:rPr>
            </w:pPr>
            <w:r>
              <w:rPr>
                <w:rFonts w:ascii="Arial" w:cs="Arial" w:eastAsia="Arial" w:hAnsi="Arial"/>
                <w:sz w:val="16"/>
                <w:szCs w:val="16"/>
                <w:color w:val="auto"/>
              </w:rPr>
              <w:t>Total revenue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140,647</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140,647</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Cost of testing revenue</w:t>
            </w:r>
          </w:p>
        </w:tc>
        <w:tc>
          <w:tcPr>
            <w:tcW w:w="300" w:type="dxa"/>
            <w:vAlign w:val="bottom"/>
          </w:tcPr>
          <w:p>
            <w:pPr>
              <w:spacing w:after="0"/>
              <w:rPr>
                <w:sz w:val="18"/>
                <w:szCs w:val="18"/>
                <w:color w:val="auto"/>
              </w:rPr>
            </w:pP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36,107</w:t>
            </w:r>
          </w:p>
        </w:tc>
        <w:tc>
          <w:tcPr>
            <w:tcW w:w="18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104</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8"/>
                <w:szCs w:val="18"/>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36,003</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Cost of product revenue</w:t>
            </w:r>
          </w:p>
        </w:tc>
        <w:tc>
          <w:tcPr>
            <w:tcW w:w="300" w:type="dxa"/>
            <w:vAlign w:val="bottom"/>
          </w:tcPr>
          <w:p>
            <w:pPr>
              <w:spacing w:after="0"/>
              <w:rPr>
                <w:sz w:val="18"/>
                <w:szCs w:val="18"/>
                <w:color w:val="auto"/>
              </w:rPr>
            </w:pP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3,221</w:t>
            </w:r>
          </w:p>
        </w:tc>
        <w:tc>
          <w:tcPr>
            <w:tcW w:w="18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8"/>
                <w:szCs w:val="18"/>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3,221</w:t>
            </w:r>
          </w:p>
        </w:tc>
        <w:tc>
          <w:tcPr>
            <w:tcW w:w="0" w:type="dxa"/>
            <w:vAlign w:val="bottom"/>
          </w:tcPr>
          <w:p>
            <w:pPr>
              <w:spacing w:after="0"/>
              <w:rPr>
                <w:sz w:val="1"/>
                <w:szCs w:val="1"/>
                <w:color w:val="auto"/>
              </w:rPr>
            </w:pPr>
          </w:p>
        </w:tc>
      </w:tr>
      <w:tr>
        <w:trPr>
          <w:trHeight w:val="164"/>
        </w:trPr>
        <w:tc>
          <w:tcPr>
            <w:tcW w:w="3180" w:type="dxa"/>
            <w:vAlign w:val="bottom"/>
          </w:tcPr>
          <w:p>
            <w:pPr>
              <w:spacing w:after="0" w:line="164" w:lineRule="exact"/>
              <w:rPr>
                <w:sz w:val="20"/>
                <w:szCs w:val="20"/>
                <w:color w:val="auto"/>
              </w:rPr>
            </w:pPr>
            <w:r>
              <w:rPr>
                <w:rFonts w:ascii="Arial" w:cs="Arial" w:eastAsia="Arial" w:hAnsi="Arial"/>
                <w:sz w:val="16"/>
                <w:szCs w:val="16"/>
                <w:color w:val="auto"/>
              </w:rPr>
              <w:t>Cost of biopharmaceutical and other</w:t>
            </w:r>
          </w:p>
        </w:tc>
        <w:tc>
          <w:tcPr>
            <w:tcW w:w="300" w:type="dxa"/>
            <w:vAlign w:val="bottom"/>
          </w:tcPr>
          <w:p>
            <w:pPr>
              <w:spacing w:after="0"/>
              <w:rPr>
                <w:sz w:val="14"/>
                <w:szCs w:val="14"/>
                <w:color w:val="auto"/>
              </w:rPr>
            </w:pPr>
          </w:p>
        </w:tc>
        <w:tc>
          <w:tcPr>
            <w:tcW w:w="1280" w:type="dxa"/>
            <w:vAlign w:val="bottom"/>
            <w:vMerge w:val="restart"/>
          </w:tcPr>
          <w:p>
            <w:pPr>
              <w:jc w:val="right"/>
              <w:ind w:right="239"/>
              <w:spacing w:after="0"/>
              <w:rPr>
                <w:sz w:val="20"/>
                <w:szCs w:val="20"/>
                <w:color w:val="auto"/>
              </w:rPr>
            </w:pPr>
            <w:r>
              <w:rPr>
                <w:rFonts w:ascii="Arial" w:cs="Arial" w:eastAsia="Arial" w:hAnsi="Arial"/>
                <w:sz w:val="16"/>
                <w:szCs w:val="16"/>
                <w:color w:val="auto"/>
              </w:rPr>
              <w:t>9,415</w:t>
            </w:r>
          </w:p>
        </w:tc>
        <w:tc>
          <w:tcPr>
            <w:tcW w:w="180" w:type="dxa"/>
            <w:vAlign w:val="bottom"/>
          </w:tcPr>
          <w:p>
            <w:pPr>
              <w:spacing w:after="0"/>
              <w:rPr>
                <w:sz w:val="14"/>
                <w:szCs w:val="14"/>
                <w:color w:val="auto"/>
              </w:rPr>
            </w:pPr>
          </w:p>
        </w:tc>
        <w:tc>
          <w:tcPr>
            <w:tcW w:w="1320" w:type="dxa"/>
            <w:vAlign w:val="bottom"/>
            <w:vMerge w:val="restart"/>
          </w:tcPr>
          <w:p>
            <w:pPr>
              <w:jc w:val="right"/>
              <w:ind w:right="39"/>
              <w:spacing w:after="0"/>
              <w:rPr>
                <w:sz w:val="20"/>
                <w:szCs w:val="20"/>
                <w:color w:val="auto"/>
              </w:rPr>
            </w:pPr>
            <w:r>
              <w:rPr>
                <w:rFonts w:ascii="Arial" w:cs="Arial" w:eastAsia="Arial" w:hAnsi="Arial"/>
                <w:sz w:val="16"/>
                <w:szCs w:val="16"/>
                <w:color w:val="auto"/>
              </w:rPr>
              <w:t>198</w:t>
            </w:r>
          </w:p>
        </w:tc>
        <w:tc>
          <w:tcPr>
            <w:tcW w:w="18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4"/>
                <w:szCs w:val="14"/>
                <w:color w:val="auto"/>
              </w:rPr>
            </w:pPr>
          </w:p>
        </w:tc>
        <w:tc>
          <w:tcPr>
            <w:tcW w:w="1400" w:type="dxa"/>
            <w:vAlign w:val="bottom"/>
            <w:vMerge w:val="restart"/>
          </w:tcPr>
          <w:p>
            <w:pPr>
              <w:jc w:val="right"/>
              <w:ind w:right="139"/>
              <w:spacing w:after="0"/>
              <w:rPr>
                <w:sz w:val="20"/>
                <w:szCs w:val="20"/>
                <w:color w:val="auto"/>
              </w:rPr>
            </w:pPr>
            <w:r>
              <w:rPr>
                <w:rFonts w:ascii="Arial" w:cs="Arial" w:eastAsia="Arial" w:hAnsi="Arial"/>
                <w:sz w:val="16"/>
                <w:szCs w:val="16"/>
                <w:color w:val="auto"/>
              </w:rPr>
              <w:t>9,217</w:t>
            </w:r>
          </w:p>
        </w:tc>
        <w:tc>
          <w:tcPr>
            <w:tcW w:w="0" w:type="dxa"/>
            <w:vAlign w:val="bottom"/>
          </w:tcPr>
          <w:p>
            <w:pPr>
              <w:spacing w:after="0"/>
              <w:rPr>
                <w:sz w:val="1"/>
                <w:szCs w:val="1"/>
                <w:color w:val="auto"/>
              </w:rPr>
            </w:pPr>
          </w:p>
        </w:tc>
      </w:tr>
      <w:tr>
        <w:trPr>
          <w:trHeight w:val="215"/>
        </w:trPr>
        <w:tc>
          <w:tcPr>
            <w:tcW w:w="3180" w:type="dxa"/>
            <w:vAlign w:val="bottom"/>
          </w:tcPr>
          <w:p>
            <w:pPr>
              <w:spacing w:after="0"/>
              <w:rPr>
                <w:sz w:val="20"/>
                <w:szCs w:val="20"/>
                <w:color w:val="auto"/>
              </w:rPr>
            </w:pPr>
            <w:r>
              <w:rPr>
                <w:rFonts w:ascii="Arial" w:cs="Arial" w:eastAsia="Arial" w:hAnsi="Arial"/>
                <w:sz w:val="16"/>
                <w:szCs w:val="16"/>
                <w:color w:val="auto"/>
              </w:rPr>
              <w:t>revenue</w:t>
            </w:r>
          </w:p>
        </w:tc>
        <w:tc>
          <w:tcPr>
            <w:tcW w:w="30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80" w:type="dxa"/>
            <w:vAlign w:val="bottom"/>
          </w:tcPr>
          <w:p>
            <w:pPr>
              <w:spacing w:after="0"/>
              <w:rPr>
                <w:sz w:val="20"/>
                <w:szCs w:val="20"/>
                <w:color w:val="auto"/>
              </w:rPr>
            </w:pPr>
            <w:r>
              <w:rPr>
                <w:rFonts w:ascii="Arial" w:cs="Arial" w:eastAsia="Arial" w:hAnsi="Arial"/>
                <w:sz w:val="16"/>
                <w:szCs w:val="16"/>
                <w:color w:val="auto"/>
              </w:rPr>
              <w:t>Intangible asset amortization (2)</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9,823</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9,823</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180" w:type="dxa"/>
            <w:vAlign w:val="bottom"/>
          </w:tcPr>
          <w:p>
            <w:pPr>
              <w:ind w:left="100"/>
              <w:spacing w:after="0"/>
              <w:rPr>
                <w:sz w:val="20"/>
                <w:szCs w:val="20"/>
                <w:color w:val="auto"/>
              </w:rPr>
            </w:pPr>
            <w:r>
              <w:rPr>
                <w:rFonts w:ascii="Arial" w:cs="Arial" w:eastAsia="Arial" w:hAnsi="Arial"/>
                <w:sz w:val="16"/>
                <w:szCs w:val="16"/>
                <w:color w:val="auto"/>
              </w:rPr>
              <w:t>Gross margin $</w:t>
            </w:r>
          </w:p>
        </w:tc>
        <w:tc>
          <w:tcPr>
            <w:tcW w:w="300" w:type="dxa"/>
            <w:vAlign w:val="bottom"/>
          </w:tcPr>
          <w:p>
            <w:pPr>
              <w:spacing w:after="0"/>
              <w:rPr>
                <w:sz w:val="18"/>
                <w:szCs w:val="18"/>
                <w:color w:val="auto"/>
              </w:rPr>
            </w:pP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82,081</w:t>
            </w:r>
          </w:p>
        </w:tc>
        <w:tc>
          <w:tcPr>
            <w:tcW w:w="18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302</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9,823</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8"/>
                <w:szCs w:val="18"/>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92,206</w:t>
            </w:r>
          </w:p>
        </w:tc>
        <w:tc>
          <w:tcPr>
            <w:tcW w:w="0" w:type="dxa"/>
            <w:vAlign w:val="bottom"/>
          </w:tcPr>
          <w:p>
            <w:pPr>
              <w:spacing w:after="0"/>
              <w:rPr>
                <w:sz w:val="1"/>
                <w:szCs w:val="1"/>
                <w:color w:val="auto"/>
              </w:rPr>
            </w:pPr>
          </w:p>
        </w:tc>
      </w:tr>
      <w:tr>
        <w:trPr>
          <w:trHeight w:val="215"/>
        </w:trPr>
        <w:tc>
          <w:tcPr>
            <w:tcW w:w="3180" w:type="dxa"/>
            <w:vAlign w:val="bottom"/>
          </w:tcPr>
          <w:p>
            <w:pPr>
              <w:ind w:left="100"/>
              <w:spacing w:after="0"/>
              <w:rPr>
                <w:sz w:val="20"/>
                <w:szCs w:val="20"/>
                <w:color w:val="auto"/>
              </w:rPr>
            </w:pPr>
            <w:r>
              <w:rPr>
                <w:rFonts w:ascii="Arial" w:cs="Arial" w:eastAsia="Arial" w:hAnsi="Arial"/>
                <w:sz w:val="16"/>
                <w:szCs w:val="16"/>
                <w:color w:val="auto"/>
              </w:rPr>
              <w:t>Gross margin %</w:t>
            </w:r>
          </w:p>
        </w:tc>
        <w:tc>
          <w:tcPr>
            <w:tcW w:w="30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58 %</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66 %</w:t>
            </w:r>
          </w:p>
        </w:tc>
        <w:tc>
          <w:tcPr>
            <w:tcW w:w="0" w:type="dxa"/>
            <w:vAlign w:val="bottom"/>
          </w:tcPr>
          <w:p>
            <w:pPr>
              <w:spacing w:after="0"/>
              <w:rPr>
                <w:sz w:val="1"/>
                <w:szCs w:val="1"/>
                <w:color w:val="auto"/>
              </w:rPr>
            </w:pPr>
          </w:p>
        </w:tc>
      </w:tr>
      <w:tr>
        <w:trPr>
          <w:trHeight w:val="486"/>
        </w:trPr>
        <w:tc>
          <w:tcPr>
            <w:tcW w:w="3180" w:type="dxa"/>
            <w:vAlign w:val="bottom"/>
          </w:tcPr>
          <w:p>
            <w:pPr>
              <w:spacing w:after="0"/>
              <w:rPr>
                <w:sz w:val="20"/>
                <w:szCs w:val="20"/>
                <w:color w:val="auto"/>
              </w:rPr>
            </w:pPr>
            <w:r>
              <w:rPr>
                <w:rFonts w:ascii="Arial" w:cs="Arial" w:eastAsia="Arial" w:hAnsi="Arial"/>
                <w:sz w:val="16"/>
                <w:szCs w:val="16"/>
                <w:color w:val="auto"/>
              </w:rPr>
              <w:t>Research and development</w:t>
            </w:r>
          </w:p>
        </w:tc>
        <w:tc>
          <w:tcPr>
            <w:tcW w:w="300" w:type="dxa"/>
            <w:vAlign w:val="bottom"/>
          </w:tcPr>
          <w:p>
            <w:pPr>
              <w:spacing w:after="0"/>
              <w:rPr>
                <w:sz w:val="24"/>
                <w:szCs w:val="24"/>
                <w:color w:val="auto"/>
              </w:rPr>
            </w:pP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18,543</w:t>
            </w:r>
          </w:p>
        </w:tc>
        <w:tc>
          <w:tcPr>
            <w:tcW w:w="180" w:type="dxa"/>
            <w:vAlign w:val="bottom"/>
          </w:tcPr>
          <w:p>
            <w:pPr>
              <w:spacing w:after="0"/>
              <w:rPr>
                <w:sz w:val="24"/>
                <w:szCs w:val="24"/>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935</w:t>
            </w: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24"/>
                <w:szCs w:val="24"/>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17,608</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Selling and marketing</w:t>
            </w:r>
          </w:p>
        </w:tc>
        <w:tc>
          <w:tcPr>
            <w:tcW w:w="300" w:type="dxa"/>
            <w:vAlign w:val="bottom"/>
          </w:tcPr>
          <w:p>
            <w:pPr>
              <w:spacing w:after="0"/>
              <w:rPr>
                <w:sz w:val="18"/>
                <w:szCs w:val="18"/>
                <w:color w:val="auto"/>
              </w:rPr>
            </w:pP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47,755</w:t>
            </w:r>
          </w:p>
        </w:tc>
        <w:tc>
          <w:tcPr>
            <w:tcW w:w="18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2,074</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8"/>
                <w:szCs w:val="18"/>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45,681</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300" w:type="dxa"/>
            <w:vAlign w:val="bottom"/>
          </w:tcPr>
          <w:p>
            <w:pPr>
              <w:spacing w:after="0"/>
              <w:rPr>
                <w:sz w:val="18"/>
                <w:szCs w:val="18"/>
                <w:color w:val="auto"/>
              </w:rPr>
            </w:pP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40,710</w:t>
            </w:r>
          </w:p>
        </w:tc>
        <w:tc>
          <w:tcPr>
            <w:tcW w:w="18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2,605</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3,318</w:t>
            </w:r>
          </w:p>
        </w:tc>
        <w:tc>
          <w:tcPr>
            <w:tcW w:w="780" w:type="dxa"/>
            <w:vAlign w:val="bottom"/>
          </w:tcPr>
          <w:p>
            <w:pPr>
              <w:spacing w:after="0"/>
              <w:rPr>
                <w:sz w:val="18"/>
                <w:szCs w:val="18"/>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34,787</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Intangible asset amortization</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1,054</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1,054</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4"/>
        </w:trPr>
        <w:tc>
          <w:tcPr>
            <w:tcW w:w="3180" w:type="dxa"/>
            <w:vAlign w:val="bottom"/>
          </w:tcPr>
          <w:p>
            <w:pPr>
              <w:ind w:left="100"/>
              <w:spacing w:after="0" w:line="144" w:lineRule="exact"/>
              <w:rPr>
                <w:sz w:val="20"/>
                <w:szCs w:val="20"/>
                <w:color w:val="auto"/>
              </w:rPr>
            </w:pPr>
            <w:r>
              <w:rPr>
                <w:rFonts w:ascii="Arial" w:cs="Arial" w:eastAsia="Arial" w:hAnsi="Arial"/>
                <w:sz w:val="16"/>
                <w:szCs w:val="16"/>
                <w:color w:val="auto"/>
              </w:rPr>
              <w:t>Total operating expenses excluding cost</w:t>
            </w:r>
          </w:p>
        </w:tc>
        <w:tc>
          <w:tcPr>
            <w:tcW w:w="300" w:type="dxa"/>
            <w:vAlign w:val="bottom"/>
          </w:tcPr>
          <w:p>
            <w:pPr>
              <w:spacing w:after="0"/>
              <w:rPr>
                <w:sz w:val="12"/>
                <w:szCs w:val="12"/>
                <w:color w:val="auto"/>
              </w:rPr>
            </w:pPr>
          </w:p>
        </w:tc>
        <w:tc>
          <w:tcPr>
            <w:tcW w:w="1280" w:type="dxa"/>
            <w:vAlign w:val="bottom"/>
            <w:vMerge w:val="restart"/>
          </w:tcPr>
          <w:p>
            <w:pPr>
              <w:jc w:val="right"/>
              <w:ind w:right="239"/>
              <w:spacing w:after="0"/>
              <w:rPr>
                <w:sz w:val="20"/>
                <w:szCs w:val="20"/>
                <w:color w:val="auto"/>
              </w:rPr>
            </w:pPr>
            <w:r>
              <w:rPr>
                <w:rFonts w:ascii="Arial" w:cs="Arial" w:eastAsia="Arial" w:hAnsi="Arial"/>
                <w:sz w:val="16"/>
                <w:szCs w:val="16"/>
                <w:color w:val="auto"/>
              </w:rPr>
              <w:t>108,062</w:t>
            </w:r>
          </w:p>
        </w:tc>
        <w:tc>
          <w:tcPr>
            <w:tcW w:w="180" w:type="dxa"/>
            <w:vAlign w:val="bottom"/>
          </w:tcPr>
          <w:p>
            <w:pPr>
              <w:spacing w:after="0"/>
              <w:rPr>
                <w:sz w:val="12"/>
                <w:szCs w:val="12"/>
                <w:color w:val="auto"/>
              </w:rPr>
            </w:pPr>
          </w:p>
        </w:tc>
        <w:tc>
          <w:tcPr>
            <w:tcW w:w="1320" w:type="dxa"/>
            <w:vAlign w:val="bottom"/>
            <w:vMerge w:val="restart"/>
          </w:tcPr>
          <w:p>
            <w:pPr>
              <w:jc w:val="right"/>
              <w:ind w:right="39"/>
              <w:spacing w:after="0"/>
              <w:rPr>
                <w:sz w:val="20"/>
                <w:szCs w:val="20"/>
                <w:color w:val="auto"/>
              </w:rPr>
            </w:pPr>
            <w:r>
              <w:rPr>
                <w:rFonts w:ascii="Arial" w:cs="Arial" w:eastAsia="Arial" w:hAnsi="Arial"/>
                <w:sz w:val="16"/>
                <w:szCs w:val="16"/>
                <w:color w:val="auto"/>
              </w:rPr>
              <w:t>5,614</w:t>
            </w:r>
          </w:p>
        </w:tc>
        <w:tc>
          <w:tcPr>
            <w:tcW w:w="180" w:type="dxa"/>
            <w:vAlign w:val="bottom"/>
          </w:tcPr>
          <w:p>
            <w:pPr>
              <w:spacing w:after="0"/>
              <w:rPr>
                <w:sz w:val="12"/>
                <w:szCs w:val="12"/>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1,054</w:t>
            </w:r>
          </w:p>
        </w:tc>
        <w:tc>
          <w:tcPr>
            <w:tcW w:w="1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3,318</w:t>
            </w:r>
          </w:p>
        </w:tc>
        <w:tc>
          <w:tcPr>
            <w:tcW w:w="780" w:type="dxa"/>
            <w:vAlign w:val="bottom"/>
          </w:tcPr>
          <w:p>
            <w:pPr>
              <w:spacing w:after="0"/>
              <w:rPr>
                <w:sz w:val="12"/>
                <w:szCs w:val="12"/>
                <w:color w:val="auto"/>
              </w:rPr>
            </w:pPr>
          </w:p>
        </w:tc>
        <w:tc>
          <w:tcPr>
            <w:tcW w:w="1400" w:type="dxa"/>
            <w:vAlign w:val="bottom"/>
            <w:vMerge w:val="restart"/>
          </w:tcPr>
          <w:p>
            <w:pPr>
              <w:jc w:val="right"/>
              <w:ind w:right="139"/>
              <w:spacing w:after="0"/>
              <w:rPr>
                <w:sz w:val="20"/>
                <w:szCs w:val="20"/>
                <w:color w:val="auto"/>
              </w:rPr>
            </w:pPr>
            <w:r>
              <w:rPr>
                <w:rFonts w:ascii="Arial" w:cs="Arial" w:eastAsia="Arial" w:hAnsi="Arial"/>
                <w:sz w:val="16"/>
                <w:szCs w:val="16"/>
                <w:color w:val="auto"/>
              </w:rPr>
              <w:t>98,076</w:t>
            </w:r>
          </w:p>
        </w:tc>
        <w:tc>
          <w:tcPr>
            <w:tcW w:w="0" w:type="dxa"/>
            <w:vAlign w:val="bottom"/>
          </w:tcPr>
          <w:p>
            <w:pPr>
              <w:spacing w:after="0"/>
              <w:rPr>
                <w:sz w:val="1"/>
                <w:szCs w:val="1"/>
                <w:color w:val="auto"/>
              </w:rPr>
            </w:pPr>
          </w:p>
        </w:tc>
      </w:tr>
      <w:tr>
        <w:trPr>
          <w:trHeight w:val="215"/>
        </w:trPr>
        <w:tc>
          <w:tcPr>
            <w:tcW w:w="3180" w:type="dxa"/>
            <w:vAlign w:val="bottom"/>
          </w:tcPr>
          <w:p>
            <w:pPr>
              <w:ind w:left="100"/>
              <w:spacing w:after="0"/>
              <w:rPr>
                <w:sz w:val="20"/>
                <w:szCs w:val="20"/>
                <w:color w:val="auto"/>
              </w:rPr>
            </w:pPr>
            <w:r>
              <w:rPr>
                <w:rFonts w:ascii="Arial" w:cs="Arial" w:eastAsia="Arial" w:hAnsi="Arial"/>
                <w:sz w:val="16"/>
                <w:szCs w:val="16"/>
                <w:color w:val="auto"/>
              </w:rPr>
              <w:t>of revenue (3)</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80" w:type="dxa"/>
            <w:vAlign w:val="bottom"/>
          </w:tcPr>
          <w:p>
            <w:pPr>
              <w:spacing w:after="0"/>
              <w:rPr>
                <w:sz w:val="20"/>
                <w:szCs w:val="20"/>
                <w:color w:val="auto"/>
              </w:rPr>
            </w:pPr>
            <w:r>
              <w:rPr>
                <w:rFonts w:ascii="Arial" w:cs="Arial" w:eastAsia="Arial" w:hAnsi="Arial"/>
                <w:sz w:val="16"/>
                <w:szCs w:val="16"/>
                <w:color w:val="auto"/>
              </w:rPr>
              <w:t>Loss from operations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(25,981)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5,916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10,877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3,318</w:t>
            </w:r>
          </w:p>
        </w:tc>
        <w:tc>
          <w:tcPr>
            <w:tcW w:w="7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(5,870)</w:t>
            </w:r>
          </w:p>
        </w:tc>
        <w:tc>
          <w:tcPr>
            <w:tcW w:w="0" w:type="dxa"/>
            <w:vAlign w:val="bottom"/>
          </w:tcPr>
          <w:p>
            <w:pPr>
              <w:spacing w:after="0"/>
              <w:rPr>
                <w:sz w:val="1"/>
                <w:szCs w:val="1"/>
                <w:color w:val="auto"/>
              </w:rPr>
            </w:pPr>
          </w:p>
        </w:tc>
      </w:tr>
      <w:tr>
        <w:trPr>
          <w:trHeight w:val="20"/>
        </w:trPr>
        <w:tc>
          <w:tcPr>
            <w:tcW w:w="3180" w:type="dxa"/>
            <w:vAlign w:val="bottom"/>
            <w:vMerge w:val="restart"/>
          </w:tcPr>
          <w:p>
            <w:pPr>
              <w:spacing w:after="0"/>
              <w:rPr>
                <w:sz w:val="20"/>
                <w:szCs w:val="20"/>
                <w:color w:val="auto"/>
              </w:rPr>
            </w:pPr>
            <w:r>
              <w:rPr>
                <w:rFonts w:ascii="Arial" w:cs="Arial" w:eastAsia="Arial" w:hAnsi="Arial"/>
                <w:sz w:val="16"/>
                <w:szCs w:val="16"/>
                <w:b w:val="1"/>
                <w:bCs w:val="1"/>
                <w:color w:val="auto"/>
              </w:rPr>
              <w:t>Six Months Ended June 30, 2021</w:t>
            </w: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2"/>
        </w:trPr>
        <w:tc>
          <w:tcPr>
            <w:tcW w:w="31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180" w:type="dxa"/>
            <w:vAlign w:val="bottom"/>
          </w:tcPr>
          <w:p>
            <w:pPr>
              <w:spacing w:after="0"/>
              <w:rPr>
                <w:sz w:val="20"/>
                <w:szCs w:val="20"/>
                <w:color w:val="auto"/>
              </w:rPr>
            </w:pPr>
            <w:r>
              <w:rPr>
                <w:rFonts w:ascii="Arial" w:cs="Arial" w:eastAsia="Arial" w:hAnsi="Arial"/>
                <w:sz w:val="16"/>
                <w:szCs w:val="16"/>
                <w:color w:val="auto"/>
              </w:rPr>
              <w:t>Total revenue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91,808</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91,808</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Cost of testing revenue</w:t>
            </w:r>
          </w:p>
        </w:tc>
        <w:tc>
          <w:tcPr>
            <w:tcW w:w="300" w:type="dxa"/>
            <w:vAlign w:val="bottom"/>
          </w:tcPr>
          <w:p>
            <w:pPr>
              <w:spacing w:after="0"/>
              <w:rPr>
                <w:sz w:val="18"/>
                <w:szCs w:val="18"/>
                <w:color w:val="auto"/>
              </w:rPr>
            </w:pP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26,421</w:t>
            </w:r>
          </w:p>
        </w:tc>
        <w:tc>
          <w:tcPr>
            <w:tcW w:w="18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8"/>
                <w:szCs w:val="18"/>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26,421</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Cost of product revenue</w:t>
            </w:r>
          </w:p>
        </w:tc>
        <w:tc>
          <w:tcPr>
            <w:tcW w:w="300" w:type="dxa"/>
            <w:vAlign w:val="bottom"/>
          </w:tcPr>
          <w:p>
            <w:pPr>
              <w:spacing w:after="0"/>
              <w:rPr>
                <w:sz w:val="18"/>
                <w:szCs w:val="18"/>
                <w:color w:val="auto"/>
              </w:rPr>
            </w:pP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2,813</w:t>
            </w:r>
          </w:p>
        </w:tc>
        <w:tc>
          <w:tcPr>
            <w:tcW w:w="18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8"/>
                <w:szCs w:val="18"/>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2,813</w:t>
            </w:r>
          </w:p>
        </w:tc>
        <w:tc>
          <w:tcPr>
            <w:tcW w:w="0" w:type="dxa"/>
            <w:vAlign w:val="bottom"/>
          </w:tcPr>
          <w:p>
            <w:pPr>
              <w:spacing w:after="0"/>
              <w:rPr>
                <w:sz w:val="1"/>
                <w:szCs w:val="1"/>
                <w:color w:val="auto"/>
              </w:rPr>
            </w:pPr>
          </w:p>
        </w:tc>
      </w:tr>
      <w:tr>
        <w:trPr>
          <w:trHeight w:val="164"/>
        </w:trPr>
        <w:tc>
          <w:tcPr>
            <w:tcW w:w="3180" w:type="dxa"/>
            <w:vAlign w:val="bottom"/>
          </w:tcPr>
          <w:p>
            <w:pPr>
              <w:spacing w:after="0" w:line="164" w:lineRule="exact"/>
              <w:rPr>
                <w:sz w:val="20"/>
                <w:szCs w:val="20"/>
                <w:color w:val="auto"/>
              </w:rPr>
            </w:pPr>
            <w:r>
              <w:rPr>
                <w:rFonts w:ascii="Arial" w:cs="Arial" w:eastAsia="Arial" w:hAnsi="Arial"/>
                <w:sz w:val="16"/>
                <w:szCs w:val="16"/>
                <w:color w:val="auto"/>
              </w:rPr>
              <w:t>Cost of biopharmaceutical and other</w:t>
            </w:r>
          </w:p>
        </w:tc>
        <w:tc>
          <w:tcPr>
            <w:tcW w:w="300" w:type="dxa"/>
            <w:vAlign w:val="bottom"/>
          </w:tcPr>
          <w:p>
            <w:pPr>
              <w:spacing w:after="0"/>
              <w:rPr>
                <w:sz w:val="14"/>
                <w:szCs w:val="14"/>
                <w:color w:val="auto"/>
              </w:rPr>
            </w:pPr>
          </w:p>
        </w:tc>
        <w:tc>
          <w:tcPr>
            <w:tcW w:w="1280" w:type="dxa"/>
            <w:vAlign w:val="bottom"/>
            <w:vMerge w:val="restart"/>
          </w:tcPr>
          <w:p>
            <w:pPr>
              <w:jc w:val="right"/>
              <w:ind w:right="239"/>
              <w:spacing w:after="0"/>
              <w:rPr>
                <w:sz w:val="20"/>
                <w:szCs w:val="20"/>
                <w:color w:val="auto"/>
              </w:rPr>
            </w:pPr>
            <w:r>
              <w:rPr>
                <w:rFonts w:ascii="Arial" w:cs="Arial" w:eastAsia="Arial" w:hAnsi="Arial"/>
                <w:sz w:val="16"/>
                <w:szCs w:val="16"/>
                <w:color w:val="auto"/>
              </w:rPr>
              <w:t>641</w:t>
            </w:r>
          </w:p>
        </w:tc>
        <w:tc>
          <w:tcPr>
            <w:tcW w:w="180" w:type="dxa"/>
            <w:vAlign w:val="bottom"/>
          </w:tcPr>
          <w:p>
            <w:pPr>
              <w:spacing w:after="0"/>
              <w:rPr>
                <w:sz w:val="14"/>
                <w:szCs w:val="14"/>
                <w:color w:val="auto"/>
              </w:rPr>
            </w:pPr>
          </w:p>
        </w:tc>
        <w:tc>
          <w:tcPr>
            <w:tcW w:w="132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4"/>
                <w:szCs w:val="14"/>
                <w:color w:val="auto"/>
              </w:rPr>
            </w:pPr>
          </w:p>
        </w:tc>
        <w:tc>
          <w:tcPr>
            <w:tcW w:w="1400" w:type="dxa"/>
            <w:vAlign w:val="bottom"/>
            <w:vMerge w:val="restart"/>
          </w:tcPr>
          <w:p>
            <w:pPr>
              <w:jc w:val="right"/>
              <w:ind w:right="139"/>
              <w:spacing w:after="0"/>
              <w:rPr>
                <w:sz w:val="20"/>
                <w:szCs w:val="20"/>
                <w:color w:val="auto"/>
              </w:rPr>
            </w:pPr>
            <w:r>
              <w:rPr>
                <w:rFonts w:ascii="Arial" w:cs="Arial" w:eastAsia="Arial" w:hAnsi="Arial"/>
                <w:sz w:val="16"/>
                <w:szCs w:val="16"/>
                <w:color w:val="auto"/>
              </w:rPr>
              <w:t>641</w:t>
            </w:r>
          </w:p>
        </w:tc>
        <w:tc>
          <w:tcPr>
            <w:tcW w:w="0" w:type="dxa"/>
            <w:vAlign w:val="bottom"/>
          </w:tcPr>
          <w:p>
            <w:pPr>
              <w:spacing w:after="0"/>
              <w:rPr>
                <w:sz w:val="1"/>
                <w:szCs w:val="1"/>
                <w:color w:val="auto"/>
              </w:rPr>
            </w:pPr>
          </w:p>
        </w:tc>
      </w:tr>
      <w:tr>
        <w:trPr>
          <w:trHeight w:val="215"/>
        </w:trPr>
        <w:tc>
          <w:tcPr>
            <w:tcW w:w="3180" w:type="dxa"/>
            <w:vAlign w:val="bottom"/>
          </w:tcPr>
          <w:p>
            <w:pPr>
              <w:spacing w:after="0"/>
              <w:rPr>
                <w:sz w:val="20"/>
                <w:szCs w:val="20"/>
                <w:color w:val="auto"/>
              </w:rPr>
            </w:pPr>
            <w:r>
              <w:rPr>
                <w:rFonts w:ascii="Arial" w:cs="Arial" w:eastAsia="Arial" w:hAnsi="Arial"/>
                <w:sz w:val="16"/>
                <w:szCs w:val="16"/>
                <w:color w:val="auto"/>
              </w:rPr>
              <w:t>revenue</w:t>
            </w:r>
          </w:p>
        </w:tc>
        <w:tc>
          <w:tcPr>
            <w:tcW w:w="30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80" w:type="dxa"/>
            <w:vAlign w:val="bottom"/>
          </w:tcPr>
          <w:p>
            <w:pPr>
              <w:spacing w:after="0"/>
              <w:rPr>
                <w:sz w:val="20"/>
                <w:szCs w:val="20"/>
                <w:color w:val="auto"/>
              </w:rPr>
            </w:pPr>
            <w:r>
              <w:rPr>
                <w:rFonts w:ascii="Arial" w:cs="Arial" w:eastAsia="Arial" w:hAnsi="Arial"/>
                <w:sz w:val="16"/>
                <w:szCs w:val="16"/>
                <w:color w:val="auto"/>
              </w:rPr>
              <w:t>Intangible asset amortization (2)</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5,038</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5,038</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180" w:type="dxa"/>
            <w:vAlign w:val="bottom"/>
          </w:tcPr>
          <w:p>
            <w:pPr>
              <w:spacing w:after="0"/>
              <w:rPr>
                <w:sz w:val="20"/>
                <w:szCs w:val="20"/>
                <w:color w:val="auto"/>
              </w:rPr>
            </w:pPr>
            <w:r>
              <w:rPr>
                <w:rFonts w:ascii="Arial" w:cs="Arial" w:eastAsia="Arial" w:hAnsi="Arial"/>
                <w:sz w:val="16"/>
                <w:szCs w:val="16"/>
                <w:color w:val="auto"/>
              </w:rPr>
              <w:t>Gross margin $</w:t>
            </w:r>
          </w:p>
        </w:tc>
        <w:tc>
          <w:tcPr>
            <w:tcW w:w="300" w:type="dxa"/>
            <w:vAlign w:val="bottom"/>
          </w:tcPr>
          <w:p>
            <w:pPr>
              <w:spacing w:after="0"/>
              <w:rPr>
                <w:sz w:val="18"/>
                <w:szCs w:val="18"/>
                <w:color w:val="auto"/>
              </w:rPr>
            </w:pP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56,895</w:t>
            </w:r>
          </w:p>
        </w:tc>
        <w:tc>
          <w:tcPr>
            <w:tcW w:w="18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5,038</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8"/>
                <w:szCs w:val="18"/>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61,933</w:t>
            </w:r>
          </w:p>
        </w:tc>
        <w:tc>
          <w:tcPr>
            <w:tcW w:w="0" w:type="dxa"/>
            <w:vAlign w:val="bottom"/>
          </w:tcPr>
          <w:p>
            <w:pPr>
              <w:spacing w:after="0"/>
              <w:rPr>
                <w:sz w:val="1"/>
                <w:szCs w:val="1"/>
                <w:color w:val="auto"/>
              </w:rPr>
            </w:pPr>
          </w:p>
        </w:tc>
      </w:tr>
      <w:tr>
        <w:trPr>
          <w:trHeight w:val="215"/>
        </w:trPr>
        <w:tc>
          <w:tcPr>
            <w:tcW w:w="3180" w:type="dxa"/>
            <w:vAlign w:val="bottom"/>
          </w:tcPr>
          <w:p>
            <w:pPr>
              <w:spacing w:after="0"/>
              <w:rPr>
                <w:sz w:val="20"/>
                <w:szCs w:val="20"/>
                <w:color w:val="auto"/>
              </w:rPr>
            </w:pPr>
            <w:r>
              <w:rPr>
                <w:rFonts w:ascii="Arial" w:cs="Arial" w:eastAsia="Arial" w:hAnsi="Arial"/>
                <w:sz w:val="16"/>
                <w:szCs w:val="16"/>
                <w:color w:val="auto"/>
              </w:rPr>
              <w:t>Gross margin %</w:t>
            </w:r>
          </w:p>
        </w:tc>
        <w:tc>
          <w:tcPr>
            <w:tcW w:w="30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62 %</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67 %</w:t>
            </w:r>
          </w:p>
        </w:tc>
        <w:tc>
          <w:tcPr>
            <w:tcW w:w="0" w:type="dxa"/>
            <w:vAlign w:val="bottom"/>
          </w:tcPr>
          <w:p>
            <w:pPr>
              <w:spacing w:after="0"/>
              <w:rPr>
                <w:sz w:val="1"/>
                <w:szCs w:val="1"/>
                <w:color w:val="auto"/>
              </w:rPr>
            </w:pPr>
          </w:p>
        </w:tc>
      </w:tr>
      <w:tr>
        <w:trPr>
          <w:trHeight w:val="486"/>
        </w:trPr>
        <w:tc>
          <w:tcPr>
            <w:tcW w:w="3180" w:type="dxa"/>
            <w:vAlign w:val="bottom"/>
          </w:tcPr>
          <w:p>
            <w:pPr>
              <w:spacing w:after="0"/>
              <w:rPr>
                <w:sz w:val="20"/>
                <w:szCs w:val="20"/>
                <w:color w:val="auto"/>
              </w:rPr>
            </w:pPr>
            <w:r>
              <w:rPr>
                <w:rFonts w:ascii="Arial" w:cs="Arial" w:eastAsia="Arial" w:hAnsi="Arial"/>
                <w:sz w:val="16"/>
                <w:szCs w:val="16"/>
                <w:color w:val="auto"/>
              </w:rPr>
              <w:t>Research and development</w:t>
            </w:r>
          </w:p>
        </w:tc>
        <w:tc>
          <w:tcPr>
            <w:tcW w:w="300" w:type="dxa"/>
            <w:vAlign w:val="bottom"/>
          </w:tcPr>
          <w:p>
            <w:pPr>
              <w:spacing w:after="0"/>
              <w:rPr>
                <w:sz w:val="24"/>
                <w:szCs w:val="24"/>
                <w:color w:val="auto"/>
              </w:rPr>
            </w:pP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11,585</w:t>
            </w:r>
          </w:p>
        </w:tc>
        <w:tc>
          <w:tcPr>
            <w:tcW w:w="180" w:type="dxa"/>
            <w:vAlign w:val="bottom"/>
          </w:tcPr>
          <w:p>
            <w:pPr>
              <w:spacing w:after="0"/>
              <w:rPr>
                <w:sz w:val="24"/>
                <w:szCs w:val="24"/>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24"/>
                <w:szCs w:val="24"/>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11,584</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Selling and marketing</w:t>
            </w:r>
          </w:p>
        </w:tc>
        <w:tc>
          <w:tcPr>
            <w:tcW w:w="300" w:type="dxa"/>
            <w:vAlign w:val="bottom"/>
          </w:tcPr>
          <w:p>
            <w:pPr>
              <w:spacing w:after="0"/>
              <w:rPr>
                <w:sz w:val="18"/>
                <w:szCs w:val="18"/>
                <w:color w:val="auto"/>
              </w:rPr>
            </w:pP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35,958</w:t>
            </w:r>
          </w:p>
        </w:tc>
        <w:tc>
          <w:tcPr>
            <w:tcW w:w="18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68</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8"/>
                <w:szCs w:val="18"/>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35,890</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300" w:type="dxa"/>
            <w:vAlign w:val="bottom"/>
          </w:tcPr>
          <w:p>
            <w:pPr>
              <w:spacing w:after="0"/>
              <w:rPr>
                <w:sz w:val="18"/>
                <w:szCs w:val="18"/>
                <w:color w:val="auto"/>
              </w:rPr>
            </w:pP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61,755</w:t>
            </w:r>
          </w:p>
        </w:tc>
        <w:tc>
          <w:tcPr>
            <w:tcW w:w="18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39,368</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8"/>
                <w:szCs w:val="18"/>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22,387</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Intangible asset amortization</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486</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4"/>
        </w:trPr>
        <w:tc>
          <w:tcPr>
            <w:tcW w:w="3180" w:type="dxa"/>
            <w:vAlign w:val="bottom"/>
          </w:tcPr>
          <w:p>
            <w:pPr>
              <w:ind w:left="100"/>
              <w:spacing w:after="0" w:line="144" w:lineRule="exact"/>
              <w:rPr>
                <w:sz w:val="20"/>
                <w:szCs w:val="20"/>
                <w:color w:val="auto"/>
              </w:rPr>
            </w:pPr>
            <w:r>
              <w:rPr>
                <w:rFonts w:ascii="Arial" w:cs="Arial" w:eastAsia="Arial" w:hAnsi="Arial"/>
                <w:sz w:val="16"/>
                <w:szCs w:val="16"/>
                <w:color w:val="auto"/>
              </w:rPr>
              <w:t>Total operating expenses excluding cost</w:t>
            </w:r>
          </w:p>
        </w:tc>
        <w:tc>
          <w:tcPr>
            <w:tcW w:w="300" w:type="dxa"/>
            <w:vAlign w:val="bottom"/>
          </w:tcPr>
          <w:p>
            <w:pPr>
              <w:spacing w:after="0"/>
              <w:rPr>
                <w:sz w:val="12"/>
                <w:szCs w:val="12"/>
                <w:color w:val="auto"/>
              </w:rPr>
            </w:pPr>
          </w:p>
        </w:tc>
        <w:tc>
          <w:tcPr>
            <w:tcW w:w="1280" w:type="dxa"/>
            <w:vAlign w:val="bottom"/>
            <w:vMerge w:val="restart"/>
          </w:tcPr>
          <w:p>
            <w:pPr>
              <w:jc w:val="right"/>
              <w:ind w:right="239"/>
              <w:spacing w:after="0"/>
              <w:rPr>
                <w:sz w:val="20"/>
                <w:szCs w:val="20"/>
                <w:color w:val="auto"/>
              </w:rPr>
            </w:pPr>
            <w:r>
              <w:rPr>
                <w:rFonts w:ascii="Arial" w:cs="Arial" w:eastAsia="Arial" w:hAnsi="Arial"/>
                <w:sz w:val="16"/>
                <w:szCs w:val="16"/>
                <w:color w:val="auto"/>
              </w:rPr>
              <w:t>109,784</w:t>
            </w:r>
          </w:p>
        </w:tc>
        <w:tc>
          <w:tcPr>
            <w:tcW w:w="180" w:type="dxa"/>
            <w:vAlign w:val="bottom"/>
          </w:tcPr>
          <w:p>
            <w:pPr>
              <w:spacing w:after="0"/>
              <w:rPr>
                <w:sz w:val="12"/>
                <w:szCs w:val="12"/>
                <w:color w:val="auto"/>
              </w:rPr>
            </w:pPr>
          </w:p>
        </w:tc>
        <w:tc>
          <w:tcPr>
            <w:tcW w:w="1320" w:type="dxa"/>
            <w:vAlign w:val="bottom"/>
            <w:vMerge w:val="restart"/>
          </w:tcPr>
          <w:p>
            <w:pPr>
              <w:jc w:val="right"/>
              <w:ind w:right="39"/>
              <w:spacing w:after="0"/>
              <w:rPr>
                <w:sz w:val="20"/>
                <w:szCs w:val="20"/>
                <w:color w:val="auto"/>
              </w:rPr>
            </w:pPr>
            <w:r>
              <w:rPr>
                <w:rFonts w:ascii="Arial" w:cs="Arial" w:eastAsia="Arial" w:hAnsi="Arial"/>
                <w:sz w:val="16"/>
                <w:szCs w:val="16"/>
                <w:color w:val="auto"/>
              </w:rPr>
              <w:t>39,437</w:t>
            </w:r>
          </w:p>
        </w:tc>
        <w:tc>
          <w:tcPr>
            <w:tcW w:w="180" w:type="dxa"/>
            <w:vAlign w:val="bottom"/>
          </w:tcPr>
          <w:p>
            <w:pPr>
              <w:spacing w:after="0"/>
              <w:rPr>
                <w:sz w:val="12"/>
                <w:szCs w:val="12"/>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486</w:t>
            </w:r>
          </w:p>
        </w:tc>
        <w:tc>
          <w:tcPr>
            <w:tcW w:w="1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2"/>
                <w:szCs w:val="12"/>
                <w:color w:val="auto"/>
              </w:rPr>
            </w:pPr>
          </w:p>
        </w:tc>
        <w:tc>
          <w:tcPr>
            <w:tcW w:w="1400" w:type="dxa"/>
            <w:vAlign w:val="bottom"/>
            <w:vMerge w:val="restart"/>
          </w:tcPr>
          <w:p>
            <w:pPr>
              <w:jc w:val="right"/>
              <w:ind w:right="139"/>
              <w:spacing w:after="0"/>
              <w:rPr>
                <w:sz w:val="20"/>
                <w:szCs w:val="20"/>
                <w:color w:val="auto"/>
              </w:rPr>
            </w:pPr>
            <w:r>
              <w:rPr>
                <w:rFonts w:ascii="Arial" w:cs="Arial" w:eastAsia="Arial" w:hAnsi="Arial"/>
                <w:sz w:val="16"/>
                <w:szCs w:val="16"/>
                <w:color w:val="auto"/>
              </w:rPr>
              <w:t>69,861</w:t>
            </w:r>
          </w:p>
        </w:tc>
        <w:tc>
          <w:tcPr>
            <w:tcW w:w="0" w:type="dxa"/>
            <w:vAlign w:val="bottom"/>
          </w:tcPr>
          <w:p>
            <w:pPr>
              <w:spacing w:after="0"/>
              <w:rPr>
                <w:sz w:val="1"/>
                <w:szCs w:val="1"/>
                <w:color w:val="auto"/>
              </w:rPr>
            </w:pPr>
          </w:p>
        </w:tc>
      </w:tr>
      <w:tr>
        <w:trPr>
          <w:trHeight w:val="215"/>
        </w:trPr>
        <w:tc>
          <w:tcPr>
            <w:tcW w:w="3180" w:type="dxa"/>
            <w:vAlign w:val="bottom"/>
          </w:tcPr>
          <w:p>
            <w:pPr>
              <w:ind w:left="100"/>
              <w:spacing w:after="0"/>
              <w:rPr>
                <w:sz w:val="20"/>
                <w:szCs w:val="20"/>
                <w:color w:val="auto"/>
              </w:rPr>
            </w:pPr>
            <w:r>
              <w:rPr>
                <w:rFonts w:ascii="Arial" w:cs="Arial" w:eastAsia="Arial" w:hAnsi="Arial"/>
                <w:sz w:val="16"/>
                <w:szCs w:val="16"/>
                <w:color w:val="auto"/>
              </w:rPr>
              <w:t>of revenue (3)</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80" w:type="dxa"/>
            <w:vAlign w:val="bottom"/>
          </w:tcPr>
          <w:p>
            <w:pPr>
              <w:spacing w:after="0"/>
              <w:rPr>
                <w:sz w:val="20"/>
                <w:szCs w:val="20"/>
                <w:color w:val="auto"/>
              </w:rPr>
            </w:pPr>
            <w:r>
              <w:rPr>
                <w:rFonts w:ascii="Arial" w:cs="Arial" w:eastAsia="Arial" w:hAnsi="Arial"/>
                <w:sz w:val="16"/>
                <w:szCs w:val="16"/>
                <w:color w:val="auto"/>
              </w:rPr>
              <w:t>Loss from operations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(52,889)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39,437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(7,928)</w:t>
            </w:r>
          </w:p>
        </w:tc>
        <w:tc>
          <w:tcPr>
            <w:tcW w:w="0" w:type="dxa"/>
            <w:vAlign w:val="bottom"/>
          </w:tcPr>
          <w:p>
            <w:pPr>
              <w:spacing w:after="0"/>
              <w:rPr>
                <w:sz w:val="1"/>
                <w:szCs w:val="1"/>
                <w:color w:val="auto"/>
              </w:rPr>
            </w:pPr>
          </w:p>
        </w:tc>
      </w:tr>
      <w:tr>
        <w:trPr>
          <w:trHeight w:val="21"/>
        </w:trPr>
        <w:tc>
          <w:tcPr>
            <w:tcW w:w="3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240" w:right="160" w:hanging="240"/>
        <w:spacing w:after="0" w:line="234" w:lineRule="auto"/>
        <w:tabs>
          <w:tab w:leader="none" w:pos="177"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transaction related expenses as well as post-combination compensation expenses. For 2021, adjustments consist primarily of transaction-related expenses associated with the acquisition of Decipher Biosciences. For 2022, adjustments consist primarily of post-combination compensation expenses associated with the acquisition of HalioDx.</w:t>
      </w:r>
    </w:p>
    <w:p>
      <w:pPr>
        <w:spacing w:after="0" w:line="1" w:lineRule="exact"/>
        <w:rPr>
          <w:rFonts w:ascii="Arial" w:cs="Arial" w:eastAsia="Arial" w:hAnsi="Arial"/>
          <w:sz w:val="16"/>
          <w:szCs w:val="16"/>
          <w:color w:val="auto"/>
        </w:rPr>
      </w:pPr>
    </w:p>
    <w:p>
      <w:pPr>
        <w:ind w:left="240" w:right="260" w:hanging="240"/>
        <w:spacing w:after="0" w:line="246" w:lineRule="auto"/>
        <w:tabs>
          <w:tab w:leader="none" w:pos="177"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only amortization of intangible assets identified as developed technology assets through purchase accounting transactions, which otherwise would have been allocated to cost of revenue.</w:t>
      </w:r>
    </w:p>
    <w:p>
      <w:pPr>
        <w:ind w:left="240" w:right="160" w:hanging="240"/>
        <w:spacing w:after="0" w:line="234" w:lineRule="auto"/>
        <w:tabs>
          <w:tab w:leader="none" w:pos="177"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only amortization of intangible assets, which otherwise would have been allocated to research and development, selling and marketing or general and administrative expense and excludes the cost of revenue ($48.7 and $29.9 million) and the amortization of intangible assets which would have been allocated to the cost of revenue ($9.8 and $5.0 million) for H1 2022 and 2021 respectively</w:t>
      </w:r>
    </w:p>
    <w:p>
      <w:pPr>
        <w:spacing w:after="0" w:line="1" w:lineRule="exact"/>
        <w:rPr>
          <w:rFonts w:ascii="Arial" w:cs="Arial" w:eastAsia="Arial" w:hAnsi="Arial"/>
          <w:sz w:val="16"/>
          <w:szCs w:val="16"/>
          <w:color w:val="auto"/>
        </w:rPr>
      </w:pPr>
    </w:p>
    <w:p>
      <w:pPr>
        <w:ind w:left="180" w:hanging="180"/>
        <w:spacing w:after="0"/>
        <w:tabs>
          <w:tab w:leader="none" w:pos="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$3.3 million expense related to the impairment charge associated with certain developed technology intangible assets</w:t>
      </w:r>
    </w:p>
    <w:p>
      <w:pPr>
        <w:sectPr>
          <w:pgSz w:w="11900" w:h="16838" w:orient="portrait"/>
          <w:cols w:equalWidth="0" w:num="1">
            <w:col w:w="11080"/>
          </w:cols>
          <w:pgMar w:left="420" w:top="935" w:right="399" w:bottom="1440" w:gutter="0" w:footer="0" w:header="0"/>
        </w:sectPr>
      </w:pPr>
    </w:p>
    <w:bookmarkStart w:id="13" w:name="page14"/>
    <w:bookmarkEnd w:id="13"/>
    <w:p>
      <w:pPr>
        <w:jc w:val="right"/>
        <w:ind w:right="4259"/>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Shayla Gorman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619-393-1545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investors@veracyte.com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Tracy Morris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Global Corporate Communications</w:t>
      </w:r>
    </w:p>
    <w:p>
      <w:pPr>
        <w:spacing w:after="0"/>
        <w:rPr>
          <w:sz w:val="20"/>
          <w:szCs w:val="20"/>
          <w:color w:val="auto"/>
        </w:rPr>
      </w:pPr>
      <w:r>
        <w:rPr>
          <w:rFonts w:ascii="Arial" w:cs="Arial" w:eastAsia="Arial" w:hAnsi="Arial"/>
          <w:sz w:val="18"/>
          <w:szCs w:val="18"/>
          <w:color w:val="auto"/>
        </w:rPr>
        <w:t>650-380-4413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tracy.morris@veracyte.com</w:t>
      </w:r>
    </w:p>
    <w:sectPr>
      <w:pgSz w:w="11900" w:h="16838" w:orient="portrait"/>
      <w:cols w:equalWidth="0" w:num="1">
        <w:col w:w="10139"/>
      </w:cols>
      <w:pgMar w:left="320" w:top="89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endash "/>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2022-08-02T15:24:44Z</dcterms:created>
  <dcterms:modified xsi:type="dcterms:W3CDTF">2022-08-02T15:24:44Z</dcterms:modified>
</cp:coreProperties>
</file>