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26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2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3" w:right="379" w:bottom="476" w:gutter="0" w:footer="0" w:header="0"/>
        </w:sectPr>
      </w:pPr>
    </w:p>
    <w:p>
      <w:pPr>
        <w:spacing w:after="0" w:line="172" w:lineRule="exact"/>
        <w:rPr>
          <w:sz w:val="24"/>
          <w:szCs w:val="24"/>
          <w:color w:val="auto"/>
        </w:rPr>
      </w:pPr>
    </w:p>
    <w:p>
      <w:pPr>
        <w:ind w:left="41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00" w:space="600"/>
            <w:col w:w="4180"/>
          </w:cols>
          <w:pgMar w:left="240" w:top="233" w:right="379" w:bottom="476" w:gutter="0" w:footer="0" w:header="0"/>
          <w:type w:val="continuous"/>
        </w:sectPr>
      </w:pP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Commission file number 001-36156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47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225425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280"/>
          </w:cols>
          <w:pgMar w:left="240" w:top="233" w:right="379" w:bottom="47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240" w:space="720"/>
            <w:col w:w="3320"/>
          </w:cols>
          <w:pgMar w:left="240" w:top="233" w:right="379" w:bottom="476"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250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80"/>
          </w:cols>
          <w:pgMar w:left="240" w:top="233" w:right="379" w:bottom="476" w:gutter="0" w:footer="0" w:header="0"/>
          <w:type w:val="continuous"/>
        </w:sectPr>
      </w:pP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80" w:firstLine="25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20" w:firstLine="2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259"/>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80"/>
          </w:cols>
          <w:pgMar w:left="240" w:top="233" w:right="379" w:bottom="476" w:gutter="0" w:footer="0" w:header="0"/>
          <w:type w:val="continuous"/>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20"/>
          </w:cols>
          <w:pgMar w:left="240" w:top="233" w:right="379" w:bottom="476" w:gutter="0" w:footer="0" w:header="0"/>
          <w:type w:val="continuous"/>
        </w:sectPr>
      </w:pPr>
    </w:p>
    <w:p>
      <w:pPr>
        <w:spacing w:after="0" w:line="16" w:lineRule="exact"/>
        <w:rPr>
          <w:sz w:val="24"/>
          <w:szCs w:val="24"/>
          <w:color w:val="auto"/>
        </w:rPr>
      </w:pPr>
    </w:p>
    <w:p>
      <w:pPr>
        <w:jc w:val="center"/>
        <w:ind w:right="12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highlight w:val="black"/>
        </w:rPr>
        <w:t>☐</w:t>
      </w:r>
    </w:p>
    <w:p>
      <w:pPr>
        <w:spacing w:after="0" w:line="58"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2" w:lineRule="exact"/>
        <w:rPr>
          <w:sz w:val="24"/>
          <w:szCs w:val="24"/>
          <w:color w:val="auto"/>
        </w:rPr>
      </w:pPr>
    </w:p>
    <w:p>
      <w:pPr>
        <w:sectPr>
          <w:pgSz w:w="11900" w:h="16838" w:orient="portrait"/>
          <w:cols w:equalWidth="0" w:num="2">
            <w:col w:w="6860" w:space="720"/>
            <w:col w:w="3700"/>
          </w:cols>
          <w:pgMar w:left="240" w:top="233" w:right="379" w:bottom="476" w:gutter="0" w:footer="0" w:header="0"/>
          <w:type w:val="continuous"/>
        </w:sectPr>
      </w:pPr>
    </w:p>
    <w:p>
      <w:pPr>
        <w:spacing w:after="0" w:line="32"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As of October 29, 2015, there were 27,665,229 shares of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440055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233" w:right="379" w:bottom="476"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300" w:type="dxa"/>
            <w:vAlign w:val="bottom"/>
            <w:gridSpan w:val="12"/>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180" w:type="dxa"/>
            <w:vAlign w:val="bottom"/>
            <w:gridSpan w:val="6"/>
            <w:vMerge w:val="restart"/>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0000EE"/>
            </w:tcBorders>
            <w:gridSpan w:val="12"/>
            <w:vMerge w:val="continue"/>
          </w:tcPr>
          <w:p>
            <w:pPr>
              <w:spacing w:after="0"/>
              <w:rPr>
                <w:sz w:val="13"/>
                <w:szCs w:val="13"/>
                <w:color w:val="auto"/>
              </w:rPr>
            </w:pPr>
          </w:p>
        </w:tc>
        <w:tc>
          <w:tcPr>
            <w:tcW w:w="418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 Condensed Financial Statements (Unaudited)</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Balance Sheets as of September 30, 2015 and December 31, 2014</w:t>
              </w:r>
            </w:hyperlink>
          </w:p>
        </w:tc>
        <w:tc>
          <w:tcPr>
            <w:tcW w:w="15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100" w:type="dxa"/>
            <w:vAlign w:val="bottom"/>
            <w:gridSpan w:val="2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Statements of Operations and Comprehensive Loss for the Three and Nine Month Periods Ended September 30, 2015 and</w:t>
              </w:r>
            </w:hyperlink>
          </w:p>
        </w:tc>
        <w:tc>
          <w:tcPr>
            <w:tcW w:w="0" w:type="dxa"/>
            <w:vAlign w:val="bottom"/>
          </w:tcPr>
          <w:p>
            <w:pPr>
              <w:spacing w:after="0"/>
              <w:rPr>
                <w:sz w:val="1"/>
                <w:szCs w:val="1"/>
                <w:color w:val="auto"/>
              </w:rPr>
            </w:pPr>
          </w:p>
        </w:tc>
      </w:tr>
      <w:tr>
        <w:trPr>
          <w:trHeight w:val="196"/>
        </w:trPr>
        <w:tc>
          <w:tcPr>
            <w:tcW w:w="380" w:type="dxa"/>
            <w:vAlign w:val="bottom"/>
            <w:gridSpan w:val="3"/>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2014</w:t>
              </w:r>
            </w:hyperlink>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Statements of Cash Flows for the Nine Month Periods Ended September 30, 2015 and 2014</w:t>
              </w:r>
            </w:hyperlink>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2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Financial Statements</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7"/>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Item 2. Management’s Discussion and Analysis of Financial Condition and Results of Operations</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4. Controls and Procedures</w:t>
              </w:r>
            </w:hyperlink>
          </w:p>
        </w:tc>
        <w:tc>
          <w:tcPr>
            <w:tcW w:w="2580" w:type="dxa"/>
            <w:vAlign w:val="bottom"/>
            <w:tcBorders>
              <w:top w:val="single" w:sz="8" w:color="0000EE"/>
            </w:tcBorders>
            <w:gridSpan w:val="5"/>
          </w:tcPr>
          <w:p>
            <w:pPr>
              <w:spacing w:after="0"/>
              <w:rPr>
                <w:sz w:val="17"/>
                <w:szCs w:val="17"/>
                <w:color w:val="auto"/>
              </w:rPr>
            </w:pPr>
          </w:p>
        </w:tc>
        <w:tc>
          <w:tcPr>
            <w:tcW w:w="238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4480" w:type="dxa"/>
            <w:vAlign w:val="bottom"/>
            <w:gridSpan w:val="7"/>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570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300" w:type="dxa"/>
            <w:vAlign w:val="bottom"/>
            <w:gridSpan w:val="1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6. Exhibits</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1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1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EXHIBIT INDEX</w:t>
              </w:r>
            </w:hyperlink>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80" w:type="dxa"/>
            <w:vAlign w:val="bottom"/>
            <w:gridSpan w:val="3"/>
          </w:tcPr>
          <w:p>
            <w:pPr>
              <w:jc w:val="center"/>
              <w:ind w:right="1160"/>
              <w:spacing w:after="0"/>
              <w:rPr>
                <w:sz w:val="20"/>
                <w:szCs w:val="20"/>
                <w:color w:val="auto"/>
              </w:rPr>
            </w:pPr>
            <w:r>
              <w:rPr>
                <w:rFonts w:ascii="Arial" w:cs="Arial" w:eastAsia="Arial" w:hAnsi="Arial"/>
                <w:sz w:val="18"/>
                <w:szCs w:val="18"/>
                <w:color w:val="auto"/>
              </w:rPr>
              <w:t>i</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480" w:type="dxa"/>
            <w:vAlign w:val="bottom"/>
            <w:gridSpan w:val="1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18"/>
          </w:tcPr>
          <w:p>
            <w:pPr>
              <w:spacing w:after="0"/>
              <w:rPr>
                <w:sz w:val="20"/>
                <w:szCs w:val="20"/>
                <w:color w:val="auto"/>
              </w:rPr>
            </w:pPr>
            <w:r>
              <w:rPr>
                <w:rFonts w:ascii="Arial" w:cs="Arial" w:eastAsia="Arial" w:hAnsi="Arial"/>
                <w:sz w:val="18"/>
                <w:szCs w:val="18"/>
                <w:b w:val="1"/>
                <w:bCs w:val="1"/>
                <w:color w:val="auto"/>
              </w:rPr>
              <w:t>Item 1. Condensed Financial Statements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rPr>
              <w:t>VERACYTE,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7"/>
          </w:tcPr>
          <w:p>
            <w:pPr>
              <w:jc w:val="center"/>
              <w:ind w:left="17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3"/>
          </w:tcPr>
          <w:p>
            <w:pPr>
              <w:jc w:val="center"/>
              <w:ind w:right="79"/>
              <w:spacing w:after="0" w:line="119" w:lineRule="exact"/>
              <w:rPr>
                <w:sz w:val="20"/>
                <w:szCs w:val="20"/>
                <w:color w:val="auto"/>
              </w:rPr>
            </w:pPr>
            <w:r>
              <w:rPr>
                <w:rFonts w:ascii="Arial" w:cs="Arial" w:eastAsia="Arial" w:hAnsi="Arial"/>
                <w:sz w:val="13"/>
                <w:szCs w:val="13"/>
                <w:b w:val="1"/>
                <w:bCs w:val="1"/>
                <w:color w:val="auto"/>
              </w:rPr>
              <w:t>(Derived from audited</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300" w:type="dxa"/>
            <w:vAlign w:val="bottom"/>
            <w:gridSpan w:val="17"/>
          </w:tcPr>
          <w:p>
            <w:pPr>
              <w:spacing w:after="0" w:line="201" w:lineRule="exact"/>
              <w:rPr>
                <w:sz w:val="20"/>
                <w:szCs w:val="20"/>
                <w:color w:val="auto"/>
              </w:rPr>
            </w:pPr>
            <w:r>
              <w:rPr>
                <w:rFonts w:ascii="Arial" w:cs="Arial" w:eastAsia="Arial" w:hAnsi="Arial"/>
                <w:sz w:val="18"/>
                <w:szCs w:val="18"/>
                <w:color w:val="auto"/>
                <w:w w:val="91"/>
              </w:rPr>
              <w:t>Accounts receivable, net of allowance of $92 and $84 as of September 30, 2015 and December 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300" w:type="dxa"/>
            <w:vAlign w:val="bottom"/>
            <w:gridSpan w:val="17"/>
          </w:tcPr>
          <w:p>
            <w:pPr>
              <w:ind w:left="180"/>
              <w:spacing w:after="0"/>
              <w:rPr>
                <w:sz w:val="20"/>
                <w:szCs w:val="20"/>
                <w:color w:val="auto"/>
              </w:rPr>
            </w:pPr>
            <w:r>
              <w:rPr>
                <w:rFonts w:ascii="Arial" w:cs="Arial" w:eastAsia="Arial" w:hAnsi="Arial"/>
                <w:sz w:val="18"/>
                <w:szCs w:val="18"/>
                <w:color w:val="auto"/>
              </w:rPr>
              <w:t>2014,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3,520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3,050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Supplies inventory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1,218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120" w:type="dxa"/>
            <w:vAlign w:val="bottom"/>
            <w:tcBorders>
              <w:top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4,161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Indefinite-lived intangible assets: in-process research and development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16,000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120" w:type="dxa"/>
            <w:vAlign w:val="bottom"/>
            <w:tcBorders>
              <w:bottom w:val="single" w:sz="8" w:color="CCEEFF"/>
            </w:tcBorders>
            <w:gridSpan w:val="16"/>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80,853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480" w:type="dxa"/>
            <w:vAlign w:val="bottom"/>
            <w:gridSpan w:val="18"/>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300" w:type="dxa"/>
            <w:vAlign w:val="bottom"/>
            <w:gridSpan w:val="17"/>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7,851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730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Genzyme co-promotion fee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120" w:type="dxa"/>
            <w:vAlign w:val="bottom"/>
            <w:gridSpan w:val="16"/>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18"/>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8"/>
                <w:szCs w:val="18"/>
                <w:color w:val="auto"/>
              </w:rPr>
              <w:t>948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120" w:type="dxa"/>
            <w:vAlign w:val="bottom"/>
            <w:tcBorders>
              <w:top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80" w:type="dxa"/>
            <w:vAlign w:val="bottom"/>
            <w:gridSpan w:val="18"/>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7300" w:type="dxa"/>
            <w:vAlign w:val="bottom"/>
            <w:gridSpan w:val="17"/>
          </w:tcPr>
          <w:p>
            <w:pPr>
              <w:spacing w:after="0" w:line="201" w:lineRule="exact"/>
              <w:rPr>
                <w:sz w:val="20"/>
                <w:szCs w:val="20"/>
                <w:color w:val="auto"/>
              </w:rPr>
            </w:pPr>
            <w:r>
              <w:rPr>
                <w:rFonts w:ascii="Arial" w:cs="Arial" w:eastAsia="Arial" w:hAnsi="Arial"/>
                <w:sz w:val="18"/>
                <w:szCs w:val="18"/>
                <w:color w:val="auto"/>
                <w:w w:val="92"/>
              </w:rPr>
              <w:t>Preferred stock, $0.001 par value; 5,000,000 shares authorized, no shares issued and outstanding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300" w:type="dxa"/>
            <w:vAlign w:val="bottom"/>
            <w:gridSpan w:val="17"/>
          </w:tcPr>
          <w:p>
            <w:pPr>
              <w:ind w:left="180"/>
              <w:spacing w:after="0"/>
              <w:rPr>
                <w:sz w:val="20"/>
                <w:szCs w:val="20"/>
                <w:color w:val="auto"/>
              </w:rPr>
            </w:pPr>
            <w:r>
              <w:rPr>
                <w:rFonts w:ascii="Arial" w:cs="Arial" w:eastAsia="Arial" w:hAnsi="Arial"/>
                <w:sz w:val="18"/>
                <w:szCs w:val="18"/>
                <w:color w:val="auto"/>
              </w:rPr>
              <w:t>as of September 30, 2015 and December 31, 2014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730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125,000,000 shares authorized, 27,657,030 and 22,523,529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20"/>
                <w:szCs w:val="20"/>
                <w:color w:val="auto"/>
              </w:rPr>
            </w:pPr>
          </w:p>
        </w:tc>
        <w:tc>
          <w:tcPr>
            <w:tcW w:w="7300" w:type="dxa"/>
            <w:vAlign w:val="bottom"/>
            <w:gridSpan w:val="17"/>
            <w:shd w:val="clear" w:color="auto" w:fill="CCEEFF"/>
          </w:tcPr>
          <w:p>
            <w:pPr>
              <w:ind w:left="180"/>
              <w:spacing w:after="0"/>
              <w:rPr>
                <w:sz w:val="20"/>
                <w:szCs w:val="20"/>
                <w:color w:val="auto"/>
              </w:rPr>
            </w:pPr>
            <w:r>
              <w:rPr>
                <w:rFonts w:ascii="Arial" w:cs="Arial" w:eastAsia="Arial" w:hAnsi="Arial"/>
                <w:sz w:val="18"/>
                <w:szCs w:val="18"/>
                <w:color w:val="auto"/>
                <w:w w:val="93"/>
              </w:rPr>
              <w:t>shares issued and outstanding as of September 30, 2015 and December 31, 2014, respectively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-6990715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-6990715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bookmarkStart w:id="2" w:name="page3"/>
    <w:bookmarkEnd w:id="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198,497</w:t>
            </w: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156,373</w:t>
            </w:r>
          </w:p>
        </w:tc>
      </w:tr>
      <w:tr>
        <w:trPr>
          <w:trHeight w:val="21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(140,713)</w:t>
            </w: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(115,022)</w:t>
            </w:r>
          </w:p>
        </w:tc>
      </w:tr>
      <w:tr>
        <w:trPr>
          <w:trHeight w:val="210"/>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3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57,811</w:t>
            </w:r>
          </w:p>
        </w:tc>
        <w:tc>
          <w:tcPr>
            <w:tcW w:w="3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tcBorders>
              <w:bottom w:val="single" w:sz="8" w:color="CCEEFF"/>
            </w:tcBorders>
          </w:tcPr>
          <w:p>
            <w:pPr>
              <w:spacing w:after="0"/>
              <w:rPr>
                <w:sz w:val="18"/>
                <w:szCs w:val="18"/>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80,853</w:t>
            </w: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9,453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17,062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 amortization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60,976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(25,691)</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(0.32)</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Shares used to compute net loss per common share, basic and</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27,640,806</w:t>
            </w:r>
          </w:p>
        </w:tc>
        <w:tc>
          <w:tcPr>
            <w:tcW w:w="320" w:type="dxa"/>
            <w:vAlign w:val="bottom"/>
          </w:tcPr>
          <w:p>
            <w:pPr>
              <w:spacing w:after="0"/>
              <w:rPr>
                <w:sz w:val="13"/>
                <w:szCs w:val="13"/>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21,648,660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25,428,506</w:t>
            </w:r>
          </w:p>
        </w:tc>
        <w:tc>
          <w:tcPr>
            <w:tcW w:w="32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21,346,565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68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68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activities</w:t>
            </w:r>
          </w:p>
        </w:tc>
        <w:tc>
          <w:tcPr>
            <w:tcW w:w="1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(25,691)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(21,231)</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Bad debt expense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Genzyme co-promotion fee amortization</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(1,794)</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debt balloon payment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Supplies inventory</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Accrued liabilities and deferred rent</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(1,427)</w:t>
            </w: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860" w:type="dxa"/>
            <w:vAlign w:val="bottom"/>
          </w:tcPr>
          <w:p>
            <w:pPr>
              <w:ind w:left="180"/>
              <w:spacing w:after="0" w:line="196" w:lineRule="exact"/>
              <w:rPr>
                <w:sz w:val="20"/>
                <w:szCs w:val="20"/>
                <w:color w:val="auto"/>
              </w:rPr>
            </w:pPr>
            <w:r>
              <w:rPr>
                <w:rFonts w:ascii="Arial" w:cs="Arial" w:eastAsia="Arial" w:hAnsi="Arial"/>
                <w:sz w:val="18"/>
                <w:szCs w:val="18"/>
                <w:b w:val="1"/>
                <w:bCs w:val="1"/>
                <w:color w:val="auto"/>
              </w:rPr>
              <w:t>Investing activities</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(1,491)</w:t>
            </w: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Cash remitted for acquisition, net of cash received</w:t>
            </w: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(6,886)</w:t>
            </w: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84"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Financing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in a private placement, net of costs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37,258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Commissions and issuance costs relating to the initial public offering</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Payment of deferred stock offering costs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common stock options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37,745</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35,014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Cash and cash equivalents at end of period</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14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1,173</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Unpaid deferred stock offering costs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Veracyte, Inc. (the “Company”) was incorporated in the state of Delaware in August 2006 as Calderome, Inc. Calderome operated as an incubator until early 2008. In March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diagnosis—diseases where many healthy patients undergo costly interventions that ultimately prove unnecessary. The Company improves the accuracy of diagnosis at an earlier stage of patient care by deriving clinically actionable genomic information from cytology samples.</w:t>
      </w:r>
    </w:p>
    <w:p>
      <w:pPr>
        <w:spacing w:after="0" w:line="158" w:lineRule="exact"/>
        <w:rPr>
          <w:sz w:val="20"/>
          <w:szCs w:val="20"/>
          <w:color w:val="auto"/>
        </w:rPr>
      </w:pPr>
    </w:p>
    <w:p>
      <w:pPr>
        <w:ind w:right="120" w:firstLine="648"/>
        <w:spacing w:after="0" w:line="242" w:lineRule="auto"/>
        <w:rPr>
          <w:sz w:val="20"/>
          <w:szCs w:val="20"/>
          <w:color w:val="auto"/>
        </w:rPr>
      </w:pPr>
      <w:r>
        <w:rPr>
          <w:rFonts w:ascii="Arial" w:cs="Arial" w:eastAsia="Arial" w:hAnsi="Arial"/>
          <w:sz w:val="18"/>
          <w:szCs w:val="18"/>
          <w:color w:val="auto"/>
        </w:rPr>
        <w:t>The Company’s first commercial solution, the Afirma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comprehensive offering also includes cytopathology testing and the Afirma Malignancy Classifiers, launched in May 2014. The Company markets and sells Afirma in the United States and select foreign countries through a co-promotion agreement with Genzyme Corporation, a subsidiary of Sanofi, as well as selectively through other distributors internationally.</w:t>
      </w:r>
    </w:p>
    <w:p>
      <w:pPr>
        <w:spacing w:after="0" w:line="20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September 2014, the Company acquired Allegro Diagnostics Corp. (“Allegro”) to accelerate its entry into pulmonology, the Company’s second planned clinical area. Allegro was focused on the development of genomic tests to improve the preoperative diagnosis of lung cancer. In April 2015, the Company entered the lung cancer diagnostics market with the Percepta™ Bronchial Genomic Classifier, a new genomic test to resolve ambiguity in lung cancer diagnosis.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operations are based in South San Francisco, California and Austin, Texas, and it operates in one segment in the United States.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accompanying interim period condensed financial statements have been prepared in accordance with accounting principles generally accepted in the United States (“GAAP”) and applicable rules and regulations of the Securities and Exchange Commission (“SEC”) regarding interim financial reporting. The condensed financial statements include the accounts of the Company and its wholly-owned subsidiary, which was dissolved in June 2015. For periods prior to the subsidiary dissolution, all intercompany accounts and transactions were eliminated in consolidation. Certain information and note disclosures normally included in the financial statements prepared in accordance with GAAP have been condensed or omitted pursuant to such rules and regulations. The condensed balance sheet as of September 30, 2015, the condensed statements of operations and comprehensive loss and the condensed statements of cash flows for the three and nine months ended September 30, 2015 and 2014,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2014 has been derived from audited financial statements. The results for the three and nine months ended September 30, 2015 are not necessarily indicative of the results expected for the full fiscal year or any other period.</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allowance for doubtful accounts; the useful lives of property and equipment; the recoverability of long-lived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these estimates and assumptions.</w:t>
      </w:r>
    </w:p>
    <w:p>
      <w:pPr>
        <w:sectPr>
          <w:pgSz w:w="11900" w:h="16838" w:orient="portrait"/>
          <w:cols w:equalWidth="0" w:num="1">
            <w:col w:w="11420"/>
          </w:cols>
          <w:pgMar w:left="240" w:top="125" w:right="239" w:bottom="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The Company is subject to reimbursement and regulatory risk. In September, the Centers for Medicare and Medicaid Services, or CMS, issued a preliminary rate determination for the 2016 Clinical Lab Fee Schedule, or CLFS, for new CPT codes issued in 2015. The Company obtained a unique CPT code (81545) for the GEC in 2015. The preliminary 2016 rate was issued at $2,152, a 33% reduction from the existing contracted rate of $3,200. The Company has challenged the pricing methodology that led to the preliminary determination and expects the final methodology to be issued by CMS before December 1, 2015. Approximately 20% of GEC patients are covered by Medicare.</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cash and cash equivalents are deposited with one major financial institution in the United States, as required by the loan and security agreement discussed in Note 6.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of Afirma. The Company generally does not perform evaluations of customers’ financial condition and generally does not require collateral.</w:t>
      </w:r>
    </w:p>
    <w:p>
      <w:pPr>
        <w:spacing w:after="0" w:line="170"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Through September 30, 2015, all of the Company’s revenues have been derived from the sale of Afirma. To date, Afirma has been delivered primarily to physicians in the United States. The Company’s third-party payers in excess of 10% of revenue and their related revenue as a percentage of revenue were as follows:</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33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66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UnitedHealthcare</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66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6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Company’s significant third-party payers and their related accounts receivable balance at September 30, 2015 and December 31, 2014 as a percentage of total accounts receivable are as follows: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4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40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Medicare</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UnitedHealthcare</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at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consist of amounts invested in a money market account primarily consisting of U.S. Treasury reserves.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had deposits of $118,000 as of September 30, 2015 and December 31, 2014, restricted from withdrawal and held by a bank in the form of collateral for irrevocable standby letters of credit totaling $118,000 held as security for the lease of the Company’s headquarters and laboratory facilities in South San Francisco that expires March 31, 2016. This restricted cash is included in current assets as of September 30, 2015 and in long-term assets as of December 31, 2014 on the Company’s condensed balance sheets. The Company also had deposits of $603,000 included in long-term assets as of September 30, 2015, restricted from withdrawal and held by a bank in the form of collateral for an irrevocable standby letter of credit held as security for the lease of the Company’s new headquarters and laboratory facilities in South San Francisco signed on April 29, 2015.</w:t>
      </w:r>
    </w:p>
    <w:p>
      <w:pPr>
        <w:spacing w:after="0" w:line="16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Company reserved $70,000 in cash as of December 31, 2014 to cover liabilities associated with the acquisition of Allegro. This amount was paid in March 2015. This restricted cash was included in current assets on the Company’s condensed balance sheet at December 31,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Company estimates an allowance for doubtful accounts against its individual patient accounts receivable based on estimates of expected reimbursement consistent with historical payment experience in relation to the amounts billed. Bad debt expense is included in general and administrative</w:t>
      </w:r>
    </w:p>
    <w:p>
      <w:pPr>
        <w:sectPr>
          <w:pgSz w:w="11900" w:h="16838" w:orient="portrait"/>
          <w:cols w:equalWidth="0" w:num="1">
            <w:col w:w="11400"/>
          </w:cols>
          <w:pgMar w:left="240" w:top="125" w:right="259" w:bottom="0" w:gutter="0" w:footer="0" w:header="0"/>
        </w:sectPr>
      </w:pPr>
    </w:p>
    <w:bookmarkStart w:id="5" w:name="page6"/>
    <w:bookmarkEnd w:id="5"/>
    <w:p>
      <w:pPr>
        <w:ind w:right="680"/>
        <w:spacing w:after="0" w:line="277" w:lineRule="auto"/>
        <w:rPr>
          <w:sz w:val="20"/>
          <w:szCs w:val="20"/>
          <w:color w:val="auto"/>
        </w:rPr>
      </w:pPr>
      <w:r>
        <w:rPr>
          <w:rFonts w:ascii="Arial" w:cs="Arial" w:eastAsia="Arial" w:hAnsi="Arial"/>
          <w:sz w:val="18"/>
          <w:szCs w:val="18"/>
          <w:color w:val="auto"/>
        </w:rPr>
        <w:t>expense on the Company’s statements of operations and comprehensive loss. Accounts receivable are written off against the allowance when there is substantive evidence that the account will not be paid.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balance of allowance for doubtful accounts as of September 30, 2015 and December 31, 2014 was $92,000 and $84,000, respectively. Bad debt expense was $26,000 and $80,000 for the three and nine months ended September 30, 2015, respectively, and $28,000 and $67,000 for the three and nine months ended September 30, 2014, respectively. Write offs for doubtful accounts of $26,000 and $71,000 were recorded against the allowance during the three and nine months ended September 30, 2015, respectively. Write offs for doubtful accounts of $26,000 and $60,000 were recorded against the allowance during the three and nine months ended September 30,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Supplies inventory consists of test reagents and other consumables used in the sample collection kits and in cytopathology and GEC test processing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capitalizes costs incurred in the application development stage to design and implement the software used in the tracking and reporting of laboratory activity. Costs incurred in the development of application software are capitalized and amortized over an estimated useful life of three years on a straight-line basis. The total cost, accumulated depreciation and net book value of internal-use software was $1.2 million, $488,000 and $688,000, respectively, as of September 30, 2015, and was $927,000, $330,000 and $597,000, respectively, as of December 31, 2014, and are included in property and equipment in the Company’s condensed balance sheets. During the nine months ended September 30, 2015 and 2014, the Company capitalized $250,000 and $293,000, respectively, of software development costs. Amortization expense related to internal-use software totaled $49,000 and $158,000 in the three and nine months ended September 30, 2015, respectively, and $32,000 and $96,000 in the three and nine months ended September 30,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ind w:right="500" w:firstLine="648"/>
        <w:spacing w:after="0" w:line="288" w:lineRule="auto"/>
        <w:rPr>
          <w:sz w:val="20"/>
          <w:szCs w:val="20"/>
          <w:color w:val="auto"/>
        </w:rPr>
      </w:pPr>
      <w:r>
        <w:rPr>
          <w:rFonts w:ascii="Arial" w:cs="Arial" w:eastAsia="Arial" w:hAnsi="Arial"/>
          <w:sz w:val="16"/>
          <w:szCs w:val="16"/>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w:t>
      </w:r>
    </w:p>
    <w:p>
      <w:pPr>
        <w:ind w:right="160"/>
        <w:spacing w:after="0" w:line="261" w:lineRule="auto"/>
        <w:rPr>
          <w:sz w:val="20"/>
          <w:szCs w:val="20"/>
          <w:color w:val="auto"/>
        </w:rPr>
      </w:pPr>
      <w:r>
        <w:rPr>
          <w:rFonts w:ascii="Arial" w:cs="Arial" w:eastAsia="Arial" w:hAnsi="Arial"/>
          <w:sz w:val="18"/>
          <w:szCs w:val="18"/>
          <w:color w:val="auto"/>
        </w:rPr>
        <w:t>Transaction costs are expensed as incurred in general and administrative expenses. Results of operations and cash flows of acquired companies are included in the Company’s operating results from the date of acquisition.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firstLine="654"/>
        <w:spacing w:after="0" w:line="257" w:lineRule="auto"/>
        <w:rPr>
          <w:sz w:val="20"/>
          <w:szCs w:val="20"/>
          <w:color w:val="auto"/>
        </w:rPr>
      </w:pPr>
      <w:r>
        <w:rPr>
          <w:rFonts w:ascii="Arial" w:cs="Arial" w:eastAsia="Arial" w:hAnsi="Arial"/>
          <w:sz w:val="18"/>
          <w:szCs w:val="18"/>
          <w:color w:val="auto"/>
        </w:rPr>
        <w:t>Finite-lived intangible assets relates to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tests this finite-lived intangible asset for impairment annually, in the fourth quarter, or when facts or circumstances indicate a reduction in the fair value below its carrying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 In-process Research and Development</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Company’s indefinite-lived intangible assets are comprised of acquired in-process research and development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was no impairment for the nine months ended September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Goodwill, derived from the Company’s acquisition of Allegro, is reviewed for impairment annually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nine months ended September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ectPr>
          <w:pgSz w:w="11900" w:h="16838" w:orient="portrait"/>
          <w:cols w:equalWidth="0" w:num="1">
            <w:col w:w="11400"/>
          </w:cols>
          <w:pgMar w:left="240" w:top="125" w:right="259" w:bottom="100" w:gutter="0" w:footer="0" w:header="0"/>
        </w:sectPr>
      </w:pPr>
    </w:p>
    <w:bookmarkStart w:id="6" w:name="page7"/>
    <w:bookmarkEnd w:id="6"/>
    <w:p>
      <w:pPr>
        <w:ind w:right="20" w:firstLine="648"/>
        <w:spacing w:after="0" w:line="255" w:lineRule="auto"/>
        <w:rPr>
          <w:sz w:val="20"/>
          <w:szCs w:val="20"/>
          <w:color w:val="auto"/>
        </w:rPr>
      </w:pPr>
      <w:r>
        <w:rPr>
          <w:rFonts w:ascii="Arial" w:cs="Arial" w:eastAsia="Arial" w:hAnsi="Arial"/>
          <w:sz w:val="18"/>
          <w:szCs w:val="18"/>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The Company accrued $1.8 million and $1.1 million as of September 30, 2015 and December 31, 2014, respectively, for liabilities associated with these employee and executive bonus plans which are included in accrued liabilities in the Company’s condensed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 - Revenue Recognition.</w:t>
      </w:r>
      <w:r>
        <w:rPr>
          <w:rFonts w:ascii="Arial" w:cs="Arial" w:eastAsia="Arial" w:hAnsi="Arial"/>
          <w:sz w:val="17"/>
          <w:szCs w:val="17"/>
          <w:color w:val="auto"/>
        </w:rPr>
        <w:t xml:space="preserve"> The Company’s revenue is generated from the provision of diagnostic services using the Afirma solution and the service is completed upon the delivery of test results to the prescribing physician, at which time the Company bills for the service. The Company recognizes revenue related to billings for Medicare and commercial payers on an accrual basis, net of contractual and other adjustments, when amounts that will ultimately be realized can be estimated. Contractual and other adjustments represent the difference between the list 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the Company that commit them to pay any portion of the cost of the tests in the event that their insurance declines to reimburse the Company. In the absence of an agreement with the patient or other clearly enforceable legal right to demand payment from the patient, the related revenue is only recognized upon the earlier of payment notification, if applicable, or cash receipt.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estimates of amounts that will ultimately be realized requires significant judgment by management.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the ability to estimate the amount that will ultimately be realized for the Company’s services, revenue is recognized upon the earlier of receipt of third-party payer notification of payment or when cash is received.</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recognized when cash is received and on an accrual basis for the three and nine months ended September 30, 2015 and 2014 was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40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14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6,985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18,957</w:t>
            </w:r>
          </w:p>
        </w:tc>
        <w:tc>
          <w:tcPr>
            <w:tcW w:w="3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r>
      <w:tr>
        <w:trPr>
          <w:trHeight w:val="210"/>
        </w:trPr>
        <w:tc>
          <w:tcPr>
            <w:tcW w:w="4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648"/>
        <w:spacing w:after="0" w:line="312" w:lineRule="auto"/>
        <w:rPr>
          <w:sz w:val="20"/>
          <w:szCs w:val="20"/>
          <w:color w:val="auto"/>
        </w:rPr>
      </w:pPr>
      <w:r>
        <w:rPr>
          <w:rFonts w:ascii="Arial" w:cs="Arial" w:eastAsia="Arial" w:hAnsi="Arial"/>
          <w:sz w:val="16"/>
          <w:szCs w:val="16"/>
          <w:color w:val="auto"/>
        </w:rPr>
        <w:t>Research and development costs are charged to operations as incurred. Research and development costs include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140" w:firstLine="648"/>
        <w:spacing w:after="0" w:line="340" w:lineRule="auto"/>
        <w:rPr>
          <w:sz w:val="20"/>
          <w:szCs w:val="20"/>
          <w:color w:val="auto"/>
        </w:rPr>
      </w:pPr>
      <w:r>
        <w:rPr>
          <w:rFonts w:ascii="Arial" w:cs="Arial" w:eastAsia="Arial" w:hAnsi="Arial"/>
          <w:sz w:val="15"/>
          <w:szCs w:val="15"/>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3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bookmarkStart w:id="7" w:name="page8"/>
    <w:bookmarkEnd w:id="7"/>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of 4,285,651 and 3,090,577 for the nine months ended September 30, 2015 and 2014, respectively, are considered to be common stock equivalents and were excluded from the calculation of diluted net loss per common share because their effect would be anti-dilutive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2017 and is required by the first quarter of 2018. The Company has not yet selected a transition method and is currently evaluating the potential effect of the updated standard on its condensed financial statements.</w:t>
      </w:r>
    </w:p>
    <w:p>
      <w:pPr>
        <w:spacing w:after="0" w:line="19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does not anticipate that the adoption of this ASU will have a significant impact on its condensed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16, 2014, the Company acquired Allegro via a merger with Full Moon Acquisition, Inc., a wholly-owned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Allegro was a privately-held company based in Maynard, Massachusetts, focused on the development of genomic tests to improve the preoperative diagnosis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lung cancer. Allegro merged with Full Moon (the “Merger”), with Allegro surviving the Merger as a wholly-owned subsidiary of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was dissolved in June 2015. At the effective time of the Merger, each share of the common stock of Full Moon issued and outstanding immediately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effective time of the Merger was automatically converted into one share of common stock of Allegro and represented the only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 Allegro at the effective time of the Merger; all previously issued and outstanding shares of common stock of Allegro were canceled.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stock of Allegro issued and outstanding immediately prior to the effective time of the Merger was canceled and automatically converted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the right to receive a total of 964,377 shares of the Company’s common stock and $2.7 million in cash. Outstanding indebtedness of Allegro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 million was settled in cash by the Company on the effective date of the Merger. All outstanding stock options under Allegro’s equity incentive plan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canceled.</w:t>
      </w:r>
    </w:p>
    <w:p>
      <w:pPr>
        <w:spacing w:after="0" w:line="21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acquisition of Allegro accelerated the Company’s entry into the pulmonology diagnostics market. Allegro’s lung cancer test, called Percepta, is designed to help physicians determine which patients with lung nodules who have had a non-diagnostic bronchoscopy result are at low risk for cancer and can thus be safely monitored with CT scans rather than undergoing invasive procedures. The Company launched the Percepta test in April 2015.</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fair value of the assets acquired and liabilities assumed at the date of the acquisition.</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condensed statements of operations and comprehensive loss.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stock consideration of $10.1 million was determined based on the closing price of the Company’s common stock on September 16, 2014 ($10.45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assets acquired and liabilities assumed at the closing date of the Merger are summarized below (in thousands):</w:t>
      </w:r>
    </w:p>
    <w:p>
      <w:pPr>
        <w:sectPr>
          <w:pgSz w:w="11900" w:h="16860" w:orient="portrait"/>
          <w:cols w:equalWidth="0" w:num="1">
            <w:col w:w="11420"/>
          </w:cols>
          <w:pgMar w:left="240" w:top="341" w:right="239" w:bottom="0" w:gutter="0" w:footer="0" w:header="0"/>
        </w:sectPr>
      </w:pPr>
    </w:p>
    <w:bookmarkStart w:id="8" w:name="page9"/>
    <w:bookmarkEnd w:id="8"/>
    <w:tbl>
      <w:tblPr>
        <w:tblLayout w:type="fixed"/>
        <w:tblInd w:w="66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Other assets, net</w:t>
            </w: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8"/>
                <w:szCs w:val="18"/>
                <w:color w:val="auto"/>
              </w:rPr>
            </w:pPr>
          </w:p>
        </w:tc>
      </w:tr>
      <w:tr>
        <w:trPr>
          <w:trHeight w:val="21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acquisition consideration</w:t>
            </w:r>
          </w:p>
        </w:tc>
        <w:tc>
          <w:tcPr>
            <w:tcW w:w="22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was accounted for as an indefinite-lived intangible asset prior to the beginning of amortization.</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Amortization of the IPR&amp;D began in April 2015 when research and development activities were deemed to be completed and is recorded on a straight-line basis. The amortization period of the IPR&amp;D is over its estimated useful life of 15 years after taking into consideration expected use of the asset, legal or regulatory provisions that may limit or extend the life of the asset, as well as the effects of obsolescence and other economic factors. Amortization of $266,000 and $533,000 was recorded in the three months and nine months ended September 30, 2015, as compared with $0 for the three and nine months ended September 30, 2014. Accumulated amortization was $533,000 as of September 30, 2015. Amortization expense will be approximately $1.1 million per year.</w:t>
      </w:r>
    </w:p>
    <w:p>
      <w:pPr>
        <w:spacing w:after="0" w:line="193"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Goodwill, which represents the purchase price in excess of the fair value of net assets acquired, is not expected to be deductible for income tax purposes. This goodwill is reflective of the value derived from the acceleration of the Company’s entry into the pulmonology market.</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pro forma financial information is based on the historical financial statements of the Company and presents the Company’s results as if the Merger had occurred as of January 1, 2013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center"/>
              <w:ind w:right="159"/>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center"/>
              <w:ind w:right="161"/>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120" w:type="dxa"/>
            <w:vAlign w:val="bottom"/>
            <w:tcBorders>
              <w:bottom w:val="single" w:sz="8" w:color="CCEEFF"/>
            </w:tcBorders>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tcPr>
          <w:p>
            <w:pPr>
              <w:spacing w:after="0"/>
              <w:rPr>
                <w:sz w:val="17"/>
                <w:szCs w:val="17"/>
                <w:color w:val="auto"/>
              </w:rPr>
            </w:pPr>
          </w:p>
        </w:tc>
        <w:tc>
          <w:tcPr>
            <w:tcW w:w="38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(6,424</w:t>
            </w:r>
          </w:p>
        </w:tc>
        <w:tc>
          <w:tcPr>
            <w:tcW w:w="2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(20,948</w:t>
            </w:r>
          </w:p>
        </w:tc>
        <w:tc>
          <w:tcPr>
            <w:tcW w:w="12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ind w:right="979"/>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 forma results present the combined historical results of operations with adjustments to reflect one-time charges including:</w:t>
      </w:r>
    </w:p>
    <w:p>
      <w:pPr>
        <w:spacing w:after="0" w:line="225" w:lineRule="exact"/>
        <w:rPr>
          <w:sz w:val="20"/>
          <w:szCs w:val="20"/>
          <w:color w:val="auto"/>
        </w:rPr>
      </w:pPr>
    </w:p>
    <w:p>
      <w:pPr>
        <w:ind w:left="1300" w:right="100" w:hanging="320"/>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reversal of costs related to transaction bonuses and other payments to employees and acquisition-related expenses directly related to the Merger of $2.2 million for the three and nine months ended September 30, 2014.</w:t>
      </w:r>
    </w:p>
    <w:p>
      <w:pPr>
        <w:spacing w:after="0" w:line="170" w:lineRule="exact"/>
        <w:rPr>
          <w:rFonts w:ascii="Arial" w:cs="Arial" w:eastAsia="Arial" w:hAnsi="Arial"/>
          <w:sz w:val="18"/>
          <w:szCs w:val="18"/>
          <w:color w:val="auto"/>
        </w:rPr>
      </w:pPr>
    </w:p>
    <w:p>
      <w:pPr>
        <w:ind w:left="1300" w:right="80" w:hanging="320"/>
        <w:spacing w:after="0" w:line="277" w:lineRule="auto"/>
        <w:tabs>
          <w:tab w:leader="none" w:pos="1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elimination of interest expense related to Allegro indebtedness of $228,000 and $2.3 million for the three and nine month periods ended September 30, 2014, respectively.</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3.</w:t>
            </w:r>
          </w:p>
        </w:tc>
        <w:tc>
          <w:tcPr>
            <w:tcW w:w="5100" w:type="dxa"/>
            <w:vAlign w:val="bottom"/>
            <w:gridSpan w:val="2"/>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5100" w:type="dxa"/>
            <w:vAlign w:val="bottom"/>
            <w:gridSpan w:val="2"/>
          </w:tcPr>
          <w:p>
            <w:pPr>
              <w:ind w:left="500"/>
              <w:spacing w:after="0"/>
              <w:rPr>
                <w:sz w:val="20"/>
                <w:szCs w:val="20"/>
                <w:color w:val="auto"/>
              </w:rPr>
            </w:pPr>
            <w:r>
              <w:rPr>
                <w:rFonts w:ascii="Arial" w:cs="Arial" w:eastAsia="Arial" w:hAnsi="Arial"/>
                <w:sz w:val="18"/>
                <w:szCs w:val="18"/>
                <w:color w:val="auto"/>
                <w:w w:val="97"/>
              </w:rPr>
              <w:t>Accrued liabilities consisted of the following (in thousands):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4"/>
              </w:rPr>
              <w:t>2,673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Accrued Genzyme co-promotion fees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76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Pr>
          <w:p>
            <w:pPr>
              <w:ind w:left="180"/>
              <w:spacing w:after="0"/>
              <w:rPr>
                <w:sz w:val="20"/>
                <w:szCs w:val="20"/>
                <w:color w:val="auto"/>
              </w:rPr>
            </w:pPr>
            <w:r>
              <w:rPr>
                <w:rFonts w:ascii="Arial" w:cs="Arial" w:eastAsia="Arial" w:hAnsi="Arial"/>
                <w:sz w:val="18"/>
                <w:szCs w:val="18"/>
                <w:color w:val="auto"/>
              </w:rPr>
              <w:t>Total accrued liabilities</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7,365</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4"/>
              </w:rPr>
              <w:t>7,851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4.</w:t>
            </w:r>
          </w:p>
        </w:tc>
        <w:tc>
          <w:tcPr>
            <w:tcW w:w="5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5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8"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right="260" w:hanging="324"/>
        <w:spacing w:after="0" w:line="264"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1900" w:h="16838" w:orient="portrait"/>
          <w:cols w:equalWidth="0" w:num="1">
            <w:col w:w="11460"/>
          </w:cols>
          <w:pgMar w:left="240" w:top="356" w:right="199" w:bottom="0" w:gutter="0" w:footer="0" w:header="0"/>
        </w:sectPr>
      </w:pPr>
    </w:p>
    <w:bookmarkStart w:id="9" w:name="page10"/>
    <w:bookmarkEnd w:id="9"/>
    <w:p>
      <w:pPr>
        <w:spacing w:after="0" w:line="103"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4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fair value of the Company’s financial assets, which consist of money market funds, was $45.3 million and $33.2 million as of September 30, 2015 and December 31, 2014, respectively, and are Level I assets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Company leases its headquarters and laboratory facilities in South San Francisco under a non-cancelable lease agreement that expires on March 31,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89"/>
        <w:spacing w:after="0" w:line="291" w:lineRule="auto"/>
        <w:rPr>
          <w:sz w:val="20"/>
          <w:szCs w:val="20"/>
          <w:color w:val="auto"/>
        </w:rPr>
      </w:pPr>
      <w:r>
        <w:rPr>
          <w:rFonts w:ascii="Arial" w:cs="Arial" w:eastAsia="Arial" w:hAnsi="Arial"/>
          <w:sz w:val="16"/>
          <w:szCs w:val="16"/>
          <w:color w:val="auto"/>
        </w:rPr>
        <w:t>On April 29, 2015, the Company signed a non-cancelable lease agreement for approximately 59,000 square feet to serve as its new South San Francisco headquarters and laboratory facilities. The lease begins in June 2015 and ends in March 2026 and contains extension of lease term and expansion options. In conjunction with this lease, the landlord is providing funding of approximately $3.3 million for tenant improvements. The Company estimates it will spend approximately $3.5 million in addition to the landlord’s tenant allowance to build out the office space and new laboratory in the facility for its use. As of September 30, 2015, the Company had recorded approximately $1.7 million as receivable from the landlord. The Company had deposits of $603,000 included in long-term assets as of September 30, 2015, restricted from withdrawal and held by a bank in the form of collateral for an irrevocable standby letter of credit totaling $603,000 held as security for the lease of the new headquarters and laboratory facilities.</w:t>
      </w:r>
    </w:p>
    <w:p>
      <w:pPr>
        <w:spacing w:after="0" w:line="167"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The Company also leases laboratory space in Austin, Texas. The lease expires on July 31, 2018. The Company provided a security deposit of $75,000, which is included in other assets in the Company’s condensed balance sheets as of September 30, 2015 and December 31, 2014.</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September 30, 2015, are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through December 31, 2015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1,822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14,038</w:t>
            </w:r>
          </w:p>
        </w:tc>
      </w:tr>
      <w:tr>
        <w:trPr>
          <w:trHeight w:val="210"/>
        </w:trPr>
        <w:tc>
          <w:tcPr>
            <w:tcW w:w="65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recognizes rent expense on a straight-line basis over the non-cancelable lease period. Facilities rent expense was $687,000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$213,000 for the three months ended September 30, 2015 and 2014, respectively, and $1,277,000 and $639,000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2014, respectively. Until the new headquarters is utilized, rent of approximately $500,000 per quarter will be charged to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had non-cancelable purchase commitments with several suppliers to purchase a minimum quantity of supplies for approximately $1.0 million at September 30, 2015, all of which is expected to be paid in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the loan was due in full in September 2017. The Original Loan had an interest rate of 6.06% per annum, carried prepayment penalties of 2.25% and 1.50% for prepayment within one and two years, respectively, and 0.75% thereafter.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December 2014, the Company amended certain terms and conditions of the Original Loan (“Amended Loan”). The Amended Loan provides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w:t>
      </w:r>
    </w:p>
    <w:p>
      <w:pPr>
        <w:sectPr>
          <w:pgSz w:w="11900" w:h="16941" w:orient="portrait"/>
          <w:cols w:equalWidth="0" w:num="1">
            <w:col w:w="11400"/>
          </w:cols>
          <w:pgMar w:left="240" w:top="125" w:right="259" w:bottom="0" w:gutter="0" w:footer="0" w:header="0"/>
        </w:sectPr>
      </w:pPr>
    </w:p>
    <w:bookmarkStart w:id="10" w:name="page11"/>
    <w:bookmarkEnd w:id="10"/>
    <w:p>
      <w:pPr>
        <w:ind w:right="460"/>
        <w:spacing w:after="0" w:line="308" w:lineRule="auto"/>
        <w:rPr>
          <w:sz w:val="20"/>
          <w:szCs w:val="20"/>
          <w:color w:val="auto"/>
        </w:rPr>
      </w:pPr>
      <w:r>
        <w:rPr>
          <w:rFonts w:ascii="Arial" w:cs="Arial" w:eastAsia="Arial" w:hAnsi="Arial"/>
          <w:sz w:val="17"/>
          <w:szCs w:val="17"/>
          <w:color w:val="auto"/>
        </w:rPr>
        <w:t>The second $5.0 million tranche under the Amended Loan is available through December 31, 2015, and the Company may borrow the third $5.0 million tranche any time through June 30, 2016 after achieving the third tranche revenue milestone as defined in the Amended Loan.</w:t>
      </w:r>
    </w:p>
    <w:p>
      <w:pPr>
        <w:spacing w:after="0" w:line="147"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The carrying value of the debt approximates its fair value because the interest rate approximates market rates that the Company could obtain for debt with similar terms. Under the Amended Loan, the Company is required to repay the outstanding principal in 24 equal installments beginning 24 months after the date of the borrowing, and the loan is due in full in December 2018. The first tranche of the Amended Loan bears interest at a rate of 5.00% per annum.</w:t>
      </w:r>
    </w:p>
    <w:p>
      <w:pPr>
        <w:ind w:right="400"/>
        <w:spacing w:after="0" w:line="261" w:lineRule="auto"/>
        <w:rPr>
          <w:sz w:val="20"/>
          <w:szCs w:val="20"/>
          <w:color w:val="auto"/>
        </w:rPr>
      </w:pPr>
      <w:r>
        <w:rPr>
          <w:rFonts w:ascii="Arial" w:cs="Arial" w:eastAsia="Arial" w:hAnsi="Arial"/>
          <w:sz w:val="18"/>
          <w:szCs w:val="18"/>
          <w:color w:val="auto"/>
        </w:rPr>
        <w:t>The Amended Loan carries prepayment penalties of 2.00% and 1.00% for prepayment within one and two years, respectively, and no prepayment penalty thereafter. In connection with the Amended Loan, the Company paid approximately $45,000 in third-party fees.</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The Amended Loan results in a debt modification under ASC 470-50,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as the change in present value of the remaining cash flows associated with the Original Loan and Amended Loan are not substantial.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and December 31, 2014, the net debt obligation was as follows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Debt and unpaid accrued end-of-term payment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1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debt obligation</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under the Amended Loan are as follows (in thousands):</w:t>
      </w:r>
    </w:p>
    <w:p>
      <w:pPr>
        <w:spacing w:after="0" w:line="217" w:lineRule="exact"/>
        <w:rPr>
          <w:sz w:val="20"/>
          <w:szCs w:val="20"/>
          <w:color w:val="auto"/>
        </w:rPr>
      </w:pPr>
    </w:p>
    <w:tbl>
      <w:tblPr>
        <w:tblLayout w:type="fixed"/>
        <w:tblInd w:w="780" w:type="dxa"/>
        <w:tblCellMar>
          <w:top w:w="0" w:type="dxa"/>
          <w:left w:w="0" w:type="dxa"/>
          <w:bottom w:w="0" w:type="dxa"/>
          <w:right w:w="0" w:type="dxa"/>
        </w:tblCellMar>
      </w:tblPr>
      <w:tr>
        <w:trPr>
          <w:trHeight w:val="17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Amounts</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through December 31, 2015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obligation includes an end-of-term payment of $237,500, representing 4.75% of the total outstanding principal balance, which accretes over the life of the loan as interest expense. As a result of the debt discount and the end-of-term payment, the effective interest rate for the loan differs from the contractual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on the debt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70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145"/>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000" w:type="dxa"/>
            <w:vAlign w:val="bottom"/>
            <w:tcBorders>
              <w:top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0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End-of-term payment</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905"/>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The Company’s obligations under the Amended Loan are secured by a security interest in substantially all of its assets, excluding its intellectual property and certain other assets. The Amended Loan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Amended Loan also allows the lender to call the debt in the event there is a material adverse change in the Company’s business or financial condition. The Company is required to be in compliance with a minimum liquidity or minimum revenue covenant. As of September 30, 2015, the Company was in compliance with all covenants.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Restated Certificate of Incorporation authorizes the Company to issue 125,000,000 shares of common stock with a par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holder of each share of common stock shall have one vote for each share of stock. The common stockholders are also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dividends whenever funds and assets are legally available and when declared by the Board of Directors, subject to the prior rights of holders of all series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outstanding. No dividends have been declared as of September 30, 2015.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2015 and December 31, 2014, the Company had reserved shares of common stock for issuance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4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4,285,651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3,249,469</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Options available for grant under stock option plans</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980,485</w:t>
            </w:r>
          </w:p>
        </w:tc>
        <w:tc>
          <w:tcPr>
            <w:tcW w:w="1360" w:type="dxa"/>
            <w:vAlign w:val="bottom"/>
          </w:tcPr>
          <w:p>
            <w:pPr>
              <w:jc w:val="right"/>
              <w:spacing w:after="0"/>
              <w:rPr>
                <w:sz w:val="20"/>
                <w:szCs w:val="20"/>
                <w:color w:val="auto"/>
              </w:rPr>
            </w:pPr>
            <w:r>
              <w:rPr>
                <w:rFonts w:ascii="Arial" w:cs="Arial" w:eastAsia="Arial" w:hAnsi="Arial"/>
                <w:sz w:val="18"/>
                <w:szCs w:val="18"/>
                <w:color w:val="auto"/>
              </w:rPr>
              <w:t>1,341,252</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issuance under the ESPP</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240" w:type="dxa"/>
            <w:vAlign w:val="bottom"/>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6,016,136</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4,590,721</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On April 28, 2015, the Company completed a private placement of 4,907,975 shares of its common stock to certain accredited investors (the “Investors”) at a purchase price of $8.15 per share. The sale of the shares was made pursuant to the terms of a Securities Purchase Agreement dated as of April 22, 2015. Gross proceeds to the Company were $40.0 million and the Company received $37.3 million in net proceeds, after deducting the placement</w:t>
      </w:r>
    </w:p>
    <w:p>
      <w:pPr>
        <w:sectPr>
          <w:pgSz w:w="11900" w:h="16838" w:orient="portrait"/>
          <w:cols w:equalWidth="0" w:num="1">
            <w:col w:w="11460"/>
          </w:cols>
          <w:pgMar w:left="240" w:top="125" w:right="199" w:bottom="0" w:gutter="0" w:footer="0" w:header="0"/>
        </w:sectPr>
      </w:pPr>
    </w:p>
    <w:bookmarkStart w:id="11" w:name="page12"/>
    <w:bookmarkEnd w:id="11"/>
    <w:p>
      <w:pPr>
        <w:spacing w:after="0" w:line="6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agent fees and other expenses payable by the Company of $2.7 million. Under the Securities Purchase Agreement, the Company has agreed to use the net proceeds from the private placement for research and development, for product commercialization, and for working capital and general corporate purposes.</w:t>
      </w:r>
    </w:p>
    <w:p>
      <w:pPr>
        <w:spacing w:after="0" w:line="124" w:lineRule="exact"/>
        <w:rPr>
          <w:sz w:val="20"/>
          <w:szCs w:val="20"/>
          <w:color w:val="auto"/>
        </w:rPr>
      </w:pPr>
    </w:p>
    <w:p>
      <w:pPr>
        <w:jc w:val="both"/>
        <w:ind w:right="480" w:firstLine="648"/>
        <w:spacing w:after="0" w:line="312" w:lineRule="auto"/>
        <w:rPr>
          <w:sz w:val="20"/>
          <w:szCs w:val="20"/>
          <w:color w:val="auto"/>
        </w:rPr>
      </w:pPr>
      <w:r>
        <w:rPr>
          <w:rFonts w:ascii="Arial" w:cs="Arial" w:eastAsia="Arial" w:hAnsi="Arial"/>
          <w:sz w:val="16"/>
          <w:szCs w:val="16"/>
          <w:color w:val="auto"/>
        </w:rPr>
        <w:t>In connection with the sale of the common stock in the private placement, the Company entered into a Registration Rights Agreement with the Investors, pursuant to which the Company filed in May 2015 a registration statement with the SEC covering the resale of the common stock sold in the private placement. The Registration Rights Agreement includes customary indemnification rights in connection with the registration statement.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2015, the Company filed a universal shelf registration statement with the SEC which provides the Company the ability to offer for sale up to $125.0 million of securities in a primary offering, including common stock, preferred stock, debt securities, depositary shares and rights. This shelf registration statement provides the Company, within the $125.0 million, the ability to offer for sale up to $25.0 million of its common stock at market prices pursuant to the terms of a Controlled Equity Sales Agreement. This shelf registration statement also registered for resale up to 5,000,000 shares of common stock held by certain existing stockholders. Approximately $0.3 million of costs associated with this registration statement have been deferred in other current assets as of September 30,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May 2015, the Company’s stockholders approved the Company’s Employee Stock Purchase Plan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6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No employee may purchase more than 2,500 shares, or such lesser number of shares as may be determined by the Compensation Committee with respect to a single offering period, or purchase period, if applicable. In addition, no employee is permitted to accrue, under the ESPP, a right to purchase stock of the Company having a value in excess of $25,000 of the fair market value of such stock (determined at the time the right is granted) for each calendar year.</w:t>
      </w:r>
    </w:p>
    <w:p>
      <w:pPr>
        <w:spacing w:after="0" w:line="147"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A total of 750,000 shares of common stock have been reserved for issuance under the ESPP, all of which were available for issuance as of September 30,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 compensation expense of $73,000 was recorded associated with the ESPP in the three and nine months ended September 30, 2015.</w:t>
      </w:r>
    </w:p>
    <w:p>
      <w:pPr>
        <w:spacing w:after="0" w:line="23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estimated grant date fair value of the ESPP shares was calculated using the Black-Scholes option-pricing model, based on the following assumptions:</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3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10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9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43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r>
      <w:tr>
        <w:trPr>
          <w:trHeight w:val="21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- 58.10%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- 58.10%</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expected term (years)</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0.49 -0 .99</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0.49 -0 .99</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820" w:type="dxa"/>
            <w:vAlign w:val="bottom"/>
          </w:tcPr>
          <w:p>
            <w:pPr>
              <w:ind w:left="40"/>
              <w:spacing w:after="0"/>
              <w:rPr>
                <w:sz w:val="20"/>
                <w:szCs w:val="20"/>
                <w:color w:val="auto"/>
              </w:rPr>
            </w:pPr>
            <w:r>
              <w:rPr>
                <w:rFonts w:ascii="Arial" w:cs="Arial" w:eastAsia="Arial" w:hAnsi="Arial"/>
                <w:sz w:val="18"/>
                <w:szCs w:val="18"/>
                <w:color w:val="auto"/>
              </w:rPr>
              <w:t>- 0.33%</w:t>
            </w:r>
          </w:p>
        </w:tc>
        <w:tc>
          <w:tcPr>
            <w:tcW w:w="30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800" w:type="dxa"/>
            <w:vAlign w:val="bottom"/>
          </w:tcPr>
          <w:p>
            <w:pPr>
              <w:ind w:left="40"/>
              <w:spacing w:after="0"/>
              <w:rPr>
                <w:sz w:val="20"/>
                <w:szCs w:val="20"/>
                <w:color w:val="auto"/>
              </w:rPr>
            </w:pPr>
            <w:r>
              <w:rPr>
                <w:rFonts w:ascii="Arial" w:cs="Arial" w:eastAsia="Arial" w:hAnsi="Arial"/>
                <w:sz w:val="18"/>
                <w:szCs w:val="18"/>
                <w:color w:val="auto"/>
              </w:rPr>
              <w:t>- 0.33%</w:t>
            </w:r>
          </w:p>
        </w:tc>
        <w:tc>
          <w:tcPr>
            <w:tcW w:w="3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Restated Certificate of Incorporation authorizes the Company to issue 5,000,000 shares of preferred stock with a par value of $0.001 per share. No shares were issued and outstanding at September 30, 2015 or December 31, 2014.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Incentive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under the Company’s stock option plans (aggregate intrinsic value in thousands):</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3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125" w:right="259" w:bottom="0" w:gutter="0" w:footer="0" w:header="0"/>
        </w:sectPr>
      </w:pPr>
    </w:p>
    <w:bookmarkStart w:id="12" w:name="page13"/>
    <w:bookmarkEnd w:id="12"/>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1,341,252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3,249,469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7.59</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7.88</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12,400</w:t>
            </w: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Additional options authorized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900,941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(1,426,275)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1,426,275</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8.87</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164,567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(164,567)</w:t>
            </w:r>
          </w:p>
        </w:tc>
        <w:tc>
          <w:tcPr>
            <w:tcW w:w="40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10.36</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(225,526)</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3.04</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0"/>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 September 30,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980,485</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4,285,651</w:t>
            </w: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ind w:right="470"/>
              <w:spacing w:after="0"/>
              <w:rPr>
                <w:sz w:val="20"/>
                <w:szCs w:val="20"/>
                <w:color w:val="auto"/>
              </w:rPr>
            </w:pPr>
            <w:r>
              <w:rPr>
                <w:rFonts w:ascii="Arial" w:cs="Arial" w:eastAsia="Arial" w:hAnsi="Arial"/>
                <w:sz w:val="18"/>
                <w:szCs w:val="18"/>
                <w:color w:val="auto"/>
              </w:rPr>
              <w:t>8.15</w:t>
            </w:r>
          </w:p>
        </w:tc>
        <w:tc>
          <w:tcPr>
            <w:tcW w:w="10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7.7</w:t>
            </w:r>
          </w:p>
        </w:tc>
        <w:tc>
          <w:tcPr>
            <w:tcW w:w="5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2,786</w:t>
            </w:r>
          </w:p>
        </w:tc>
      </w:tr>
      <w:tr>
        <w:trPr>
          <w:trHeight w:val="155"/>
        </w:trPr>
        <w:tc>
          <w:tcPr>
            <w:tcW w:w="39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Options vested and exercisable - September 30,</w:t>
            </w: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1,839,569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5.95</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6.14</w:t>
            </w:r>
          </w:p>
        </w:tc>
        <w:tc>
          <w:tcPr>
            <w:tcW w:w="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2,585</w:t>
            </w: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Options vested and expected to vest -</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September 30, 2015</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4,285,627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8.15</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2,786</w:t>
            </w: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$4.69 per share as of September 30, 2015.</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$5.23 and $9.74 for the nine months ended September 30, 2015 and 2014, respectively.</w:t>
      </w:r>
    </w:p>
    <w:p>
      <w:pPr>
        <w:spacing w:after="0" w:line="170"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The weighted-average fair value of stock options exercised was $2.13 and $1.06 for the nine months ended September 30, 2015 and 2014, respectively. The intrinsic value of stock options exercised was $1.6 million and $3.0 million for the nine months ended September 30,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related to stock options and the ESPP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and are included in the condensed statements of operations and comprehensive loss as follows (in thousands):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2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8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793</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634</w:t>
            </w:r>
          </w:p>
        </w:tc>
        <w:tc>
          <w:tcPr>
            <w:tcW w:w="8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2,288</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1,431</w:t>
            </w:r>
          </w:p>
        </w:tc>
        <w:tc>
          <w:tcPr>
            <w:tcW w:w="100" w:type="dxa"/>
            <w:vAlign w:val="bottom"/>
          </w:tcPr>
          <w:p>
            <w:pPr>
              <w:spacing w:after="0"/>
              <w:rPr>
                <w:sz w:val="18"/>
                <w:szCs w:val="18"/>
                <w:color w:val="auto"/>
              </w:rPr>
            </w:pPr>
          </w:p>
        </w:tc>
      </w:tr>
      <w:tr>
        <w:trPr>
          <w:trHeight w:val="210"/>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September 30, 2015, the Company had $12.5 million of unrecognized compensation expense related to unvested stock options, which is expected to be recognized over an estimated weighted-average period of 2.9 years.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estimated grant date fair value of employee stock options was calculated using the Black-Scholes option-pricing model, based on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3080" w:type="dxa"/>
            <w:vAlign w:val="bottom"/>
            <w:gridSpan w:val="6"/>
          </w:tcPr>
          <w:p>
            <w:pPr>
              <w:ind w:left="440"/>
              <w:spacing w:after="0"/>
              <w:rPr>
                <w:sz w:val="20"/>
                <w:szCs w:val="20"/>
                <w:color w:val="auto"/>
              </w:rPr>
            </w:pPr>
            <w:r>
              <w:rPr>
                <w:rFonts w:ascii="Arial" w:cs="Arial" w:eastAsia="Arial" w:hAnsi="Arial"/>
                <w:sz w:val="14"/>
                <w:szCs w:val="14"/>
                <w:b w:val="1"/>
                <w:bCs w:val="1"/>
                <w:color w:val="auto"/>
              </w:rPr>
              <w:t>Nine Months Ended September 30,</w:t>
            </w:r>
          </w:p>
        </w:tc>
        <w:tc>
          <w:tcPr>
            <w:tcW w:w="480" w:type="dxa"/>
            <w:vAlign w:val="bottom"/>
          </w:tcPr>
          <w:p>
            <w:pPr>
              <w:spacing w:after="0"/>
              <w:rPr>
                <w:sz w:val="14"/>
                <w:szCs w:val="14"/>
                <w:color w:val="auto"/>
              </w:rPr>
            </w:pPr>
          </w:p>
        </w:tc>
      </w:tr>
      <w:tr>
        <w:trPr>
          <w:trHeight w:val="142"/>
        </w:trPr>
        <w:tc>
          <w:tcPr>
            <w:tcW w:w="26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89"/>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454"/>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CEEFF"/>
            </w:tcBorders>
          </w:tcPr>
          <w:p>
            <w:pPr>
              <w:spacing w:after="0"/>
              <w:rPr>
                <w:sz w:val="12"/>
                <w:szCs w:val="12"/>
                <w:color w:val="auto"/>
              </w:rPr>
            </w:pPr>
          </w:p>
        </w:tc>
        <w:tc>
          <w:tcPr>
            <w:tcW w:w="480" w:type="dxa"/>
            <w:vAlign w:val="bottom"/>
          </w:tcPr>
          <w:p>
            <w:pPr>
              <w:spacing w:after="0"/>
              <w:rPr>
                <w:sz w:val="12"/>
                <w:szCs w:val="12"/>
                <w:color w:val="auto"/>
              </w:rPr>
            </w:pPr>
          </w:p>
        </w:tc>
      </w:tr>
      <w:tr>
        <w:trPr>
          <w:trHeight w:val="210"/>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- 53.76%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72.84-75.29%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- 68.82%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- 78.54%</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term (years)</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6.08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6.08</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5.50 - 6.08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5.50 - 6.08</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1.57</w:t>
            </w:r>
          </w:p>
        </w:tc>
        <w:tc>
          <w:tcPr>
            <w:tcW w:w="820" w:type="dxa"/>
            <w:vAlign w:val="bottom"/>
          </w:tcPr>
          <w:p>
            <w:pPr>
              <w:ind w:left="40"/>
              <w:spacing w:after="0"/>
              <w:rPr>
                <w:sz w:val="20"/>
                <w:szCs w:val="20"/>
                <w:color w:val="auto"/>
              </w:rPr>
            </w:pPr>
            <w:r>
              <w:rPr>
                <w:rFonts w:ascii="Arial" w:cs="Arial" w:eastAsia="Arial" w:hAnsi="Arial"/>
                <w:sz w:val="18"/>
                <w:szCs w:val="18"/>
                <w:color w:val="auto"/>
              </w:rPr>
              <w:t>- 1.92%</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1.87 - 2.04%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840" w:type="dxa"/>
            <w:vAlign w:val="bottom"/>
          </w:tcPr>
          <w:p>
            <w:pPr>
              <w:ind w:left="40"/>
              <w:spacing w:after="0"/>
              <w:rPr>
                <w:sz w:val="20"/>
                <w:szCs w:val="20"/>
                <w:color w:val="auto"/>
              </w:rPr>
            </w:pPr>
            <w:r>
              <w:rPr>
                <w:rFonts w:ascii="Arial" w:cs="Arial" w:eastAsia="Arial" w:hAnsi="Arial"/>
                <w:sz w:val="18"/>
                <w:szCs w:val="18"/>
                <w:color w:val="auto"/>
              </w:rPr>
              <w:t>- 2.03%</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w:t>
            </w:r>
          </w:p>
        </w:tc>
        <w:tc>
          <w:tcPr>
            <w:tcW w:w="820" w:type="dxa"/>
            <w:vAlign w:val="bottom"/>
          </w:tcPr>
          <w:p>
            <w:pPr>
              <w:ind w:left="40"/>
              <w:spacing w:after="0"/>
              <w:rPr>
                <w:sz w:val="20"/>
                <w:szCs w:val="20"/>
                <w:color w:val="auto"/>
              </w:rPr>
            </w:pPr>
            <w:r>
              <w:rPr>
                <w:rFonts w:ascii="Arial" w:cs="Arial" w:eastAsia="Arial" w:hAnsi="Arial"/>
                <w:sz w:val="18"/>
                <w:szCs w:val="18"/>
                <w:color w:val="auto"/>
              </w:rPr>
              <w:t>- 2.04%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r>
      <w:tr>
        <w:trPr>
          <w:trHeight w:val="432"/>
        </w:trPr>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43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There were no stock options granted to non-employees during the nine months ended September 30, 2015. The estimated grant-date fair value of stock options granted to non-employees during the nine months ended September 30, 2014 was calculated using the Black-Scholes option-pricing model, based on the following assumptions: weighted-average volatility from 73.24% to 73.96%, weighted-average expected term from 8.18 years to 9.01 years, risk-free interest rate from 2.34% to 2.42%, and expected dividend yield of 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Genzyme Co-promotion Agreement</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will receive a percentage of U.S. cash receipts that the Company has received related to Afirma as co-promotion fees. The percentage was 50% in 2012, 40% from January 2013 through February 2014, and 32% beginning in February 2014. Genzyme’s obligation to also spend up to $500,000 for qualifying clinical development activities in countries that require additional testing for approval expired in July 2014.</w:t>
      </w:r>
    </w:p>
    <w:p>
      <w:pPr>
        <w:spacing w:after="0" w:line="17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over a four-year period, which was management’s best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can terminate the agreement without penalty. The Company accounted for the change in accounting estimate prospectively. Either party may terminate the agreement with six months prior notice, however, under the Amended Agreement, neither party can terminate the agreement for convenience prior to June 30, 2016. The agreement with Genzyme expires in 2027.</w:t>
      </w:r>
    </w:p>
    <w:p>
      <w:pPr>
        <w:sectPr>
          <w:pgSz w:w="11900" w:h="16838" w:orient="portrait"/>
          <w:cols w:equalWidth="0" w:num="1">
            <w:col w:w="11460"/>
          </w:cols>
          <w:pgMar w:left="240" w:top="140" w:right="199" w:bottom="0" w:gutter="0" w:footer="0" w:header="0"/>
        </w:sectPr>
      </w:pPr>
    </w:p>
    <w:bookmarkStart w:id="13" w:name="page14"/>
    <w:bookmarkEnd w:id="13"/>
    <w:p>
      <w:pPr>
        <w:spacing w:after="0" w:line="9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will pay Genzyme 25% of net revenue from the sale of the Afirma GEC test in Brazil and Singapore over a five-year period commencing January 1, 2015. Beginning in the fourth year of the agreement, if the Company terminates the agreement for convenience, the Company may be required to pay a termination fee contingent on the number of GEC billable results generated.</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incurred $1.8 million and $3.2 million in co-promotion expense in the three months ended September 30, 2015 and 2014, respectively, and $5.2 million and $8.7 million in the nine months ended September 30, 2015 and 2014, respectively, which is included in selling and marketing expenses in the condensed statements of operations and comprehensive loss. The Company’s outstanding obligation to Genzyme totaled $1.8 million at September 30, 2015 and is included in accrued liabilities on the Company’s condensed balance sheet. At December 31, 2014 the obligation was $6.0 million of which $2.7 million is included in accounts payable and $3.3 million is included in accrued liabilities on the Company’s condensed balance sheet.</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amortized $0.5 million and $0.5 million of the $10.0 million up-front co-promotion fee in the three months ended September 30, 2015 and 2014, respectively, and $1.4 million and $1.8 million in the nine months ended September 30, 2015 and 2014, respectively, which is reflected as a reduction to selling and marketing expenses in the condensed statements of operations and comprehensive loss.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Thyroid Cytopathology Partners</w:t>
      </w:r>
    </w:p>
    <w:p>
      <w:pPr>
        <w:spacing w:after="0" w:line="2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is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use a portion of the Company’s facility in Austin, Texas. The Company does not have an ownership interest in or provide any form of financial or other support to TCP.</w:t>
      </w:r>
    </w:p>
    <w:p>
      <w:pPr>
        <w:spacing w:after="0" w:line="15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condensed statements of operations and comprehensive loss. The Company incurred $1.2 million and $1.0 million in the three months ended September 30, 2015 and 2014, respectively, and $3.5 million and $2.8 million in the nine months ended September 30, 2015 and 2014, respectively, in cytopathology testing and evaluation services expenses with TCP. The Company’s outstanding obligations to TCP for cytopathology testing services were $0.8 million and $1.1 million as of September 30, 2015 and December 31, 2014, respectively, and are included in accounts payable in the Company’s condensed balance sheets.</w:t>
      </w:r>
    </w:p>
    <w:p>
      <w:pPr>
        <w:spacing w:after="0" w:line="154"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TCP reimburses the Company for a proportionate share of the Company’s rent and related operating expense costs for the leased facility. TCP’s portion of rent and related operating expense costs for the shared space at the Austin, Texas facility was $23,000 and $22,000 for the three months ended September 30, 2015 and 2014, respectively, and $67,000 and $63,000 for the nine months ended September 30, 2015 and 2014, respectively, is included in other income, net in the Company’s condensed statements of operations and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1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nine months ended September 30, 2015 and 2014, respectively. The Company continues to maintain a full valuation allowance against its net deferred tax assets.</w:t>
      </w:r>
    </w:p>
    <w:p>
      <w:pPr>
        <w:spacing w:after="0" w:line="15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September 30, 2015, the Company had unrecognized tax benefits of $1.7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September 30, 2015 will significantly increase or decrease within the next 12 months. There was no interest expense or penalties related to unrecognized tax benefits recorded through September 30, 2015.</w:t>
      </w:r>
    </w:p>
    <w:p>
      <w:pPr>
        <w:spacing w:after="0" w:line="15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in light of changing facts and circumstances. Settlement of any particular position could require the use of cash.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2014, as amended.</w:t>
      </w:r>
    </w:p>
    <w:p>
      <w:pPr>
        <w:spacing w:after="0" w:line="168"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Medicare and commercial third-party payers at acceptable levels; our expectations regarding future reimbursement rates for our tests; our belief that our published evidence provides a basis for inclusion of our Afirma GEC test in practice guidelines; the estimated size of the global markets for our current and future tests; the potential benefits of our tests and any future tests we may develop to patients, physicians and payers; the factors we believe drive demand for and reimbursement of our tests; our ability to sustain or increase demand</w:t>
      </w:r>
    </w:p>
    <w:p>
      <w:pPr>
        <w:sectPr>
          <w:pgSz w:w="11900" w:h="16930" w:orient="portrait"/>
          <w:cols w:equalWidth="0" w:num="1">
            <w:col w:w="11420"/>
          </w:cols>
          <w:pgMar w:left="240" w:top="125" w:right="239" w:bottom="0" w:gutter="0" w:footer="0" w:header="0"/>
        </w:sectPr>
      </w:pPr>
    </w:p>
    <w:bookmarkStart w:id="14" w:name="page15"/>
    <w:bookmarkEnd w:id="14"/>
    <w:p>
      <w:pPr>
        <w:spacing w:after="0" w:line="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our tests; our intent to expand into other clinical areas; our ability to develop new tests, including tests for interstitial lung disease, and the timeframes for development or commercialization; our ability to get our data and clinical studies accepted in peer-reviewed publications; our dependence on and the terms of our agreements with Genzyme and TCP, and on other strategic relationships, and the success of those relationships; our beliefs regarding our laboratory capacity; the applicability of clinical results to actual outcomes; our expectations regarding our international expansion, including entering new international markets and the timing thereof; the occurrence, timing, outcome or success of clinical trials or studies; the ability of our tests to impact treatment decisions; our beliefs regarding our competitive position; our ability to compete with potential competitors; our compliance with federal, state and international regulations; the potential impact of regulation of our tests by the U.S. Food and Drug Administration, or FDA, or other regulatory bodies; the impact of new or changing policies, regulation or legislation, or of judicial decisions, on our business; our ability to comply with the requirements of being a public company; the impact of seasonal fluctuations and economic conditions on our business; the potential effect of judicial decisions on our ability to adequately protect our intellectual property, and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as well as risks and uncertainties related to: our limited operating history and history of losses since inception; our ability to increase usage of and reimbursement for the Afirma GEC and any other tests we may develop, including the Percepta test;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collaborations and co-promotion arrangements;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and products;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We also refer to trademarks of other corporations or organizations in this report.</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We are a diagnostics company pioneering the field of molecular cytology, focusing on genomic solutions that resolve diagnostic ambiguity and enable physicians to make more informed treatment decisions at an early stage in patient care. By improving preoperative diagnostic accuracy, we aim to help patients avoid unnecessary invasive procedures while reducing healthcare costs. Our first commercial solution, the Afirma Thyroid FNA Analysis, or Afirma, centers on the proprietary Gene Expression Classifier, or GEC, to resolve ambiguity in diagnosis and is becoming a new standard of care in thyroid nodule assessment. The GEC helps physicians reduce the number of unnecessary surgeries by approximately 50% by employing a proprietary 142-gene signature to preoperatively identify benign thyroid nodules among those deemed indeterminate by cytopathology alone. We have demonstrated the clinical utility and cost effectiveness of the GEC in multiple studies published in peer-reviewed journals and established the clinical validity of the GEC in a study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New England Journal of Medicine </w:t>
      </w:r>
      <w:r>
        <w:rPr>
          <w:rFonts w:ascii="Arial" w:cs="Arial" w:eastAsia="Arial" w:hAnsi="Arial"/>
          <w:sz w:val="16"/>
          <w:szCs w:val="16"/>
          <w:color w:val="auto"/>
        </w:rPr>
        <w:t>in 2012. The comprehensive Afirma offering also includes cytopathology testing and the Afirma Malignancy Classifiers,</w:t>
      </w:r>
      <w:r>
        <w:rPr>
          <w:rFonts w:ascii="Arial" w:cs="Arial" w:eastAsia="Arial" w:hAnsi="Arial"/>
          <w:sz w:val="16"/>
          <w:szCs w:val="16"/>
          <w:i w:val="1"/>
          <w:iCs w:val="1"/>
          <w:color w:val="auto"/>
        </w:rPr>
        <w:t xml:space="preserve"> </w:t>
      </w:r>
      <w:r>
        <w:rPr>
          <w:rFonts w:ascii="Arial" w:cs="Arial" w:eastAsia="Arial" w:hAnsi="Arial"/>
          <w:sz w:val="16"/>
          <w:szCs w:val="16"/>
          <w:color w:val="auto"/>
        </w:rPr>
        <w:t>launched in May 2014. Since we commercially launched Afirma in January 2011, we have received over 190,000 fine needle aspiration, or FNA, samples for evaluation using Afirma and performed more than 45,000 GECs to resolve indeterminate cytopathology results.</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We are expanding our molecular cytology franchise into other clinical areas of unmet need, focusing first on difficult-to-diagnose lung diseases, where current diagnostic ambiguity frequently requires invasive, risky and costly procedures to obtain a definitive diagnosis. Through our acquisition of Allegro Diagnostics Corp., or Allegro, in September 2014, we acquired our genomic test aimed at improving the risk stratification of patients with lung nodules that are suspicious for cancer. Our proprietary technology has been developed to help physicians determine which patients with non-diagnostic bronchoscopy results can be safely monitored with routine CT scans versus an invasive surgical biopsy. In April 2015, we entered the lung cancer diagnostics market with the Percepta Bronchial Genomic Classifier, a new genomic test to resolve ambiguity in lung cancer diagnosis. We have demonstrated the validity of the Percepta test in our prospective multi-center AEGIS I and AEGIS II studies, which were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in July 2015</w:t>
      </w:r>
      <w:r>
        <w:rPr>
          <w:rFonts w:ascii="Arial" w:cs="Arial" w:eastAsia="Arial" w:hAnsi="Arial"/>
          <w:sz w:val="18"/>
          <w:szCs w:val="18"/>
          <w:i w:val="1"/>
          <w:iCs w:val="1"/>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second pulmonology product, which we currently plan to introduce in 2016, is intended to help patients with suspected interstitial lung diseases, or ILDs, specifically idiopathic pulmonary fibrosis, or IPF, obtain an accurate diagnosis without surgery. ILDs present a significant challenge for diagnosis today without invasive surgical biopsy, leaving many patients with ambiguous diagnoses that can lead to suboptimal or even harmful treatment.</w:t>
      </w:r>
    </w:p>
    <w:p>
      <w:pPr>
        <w:spacing w:after="0" w:line="147"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In November 2014, we signed an Amended and Restated U.S. Co-promotion Agreement, or Amended Agreement, with Genzyme that reduced the co-promotion fees we owe to Genzyme from 32% to 15% beginning January 1, 2015. The Amended Agreement expires in January 2027. In February 2015, we entered into an Ex-U.S. Co-promotion Agreement, or Ex-U.S. Agreement, with Genzyme for the promotion of the Afirma GEC test with exclusivity in five countries outside the United States initially and in other countries agreed to from time to time. The agreement commenced on January 1, 2015 and</w:t>
      </w:r>
    </w:p>
    <w:p>
      <w:pPr>
        <w:sectPr>
          <w:pgSz w:w="11900" w:h="16931" w:orient="portrait"/>
          <w:cols w:equalWidth="0" w:num="1">
            <w:col w:w="11380"/>
          </w:cols>
          <w:pgMar w:left="240" w:top="125" w:right="279" w:bottom="0" w:gutter="0" w:footer="0" w:header="0"/>
        </w:sectPr>
      </w:pPr>
    </w:p>
    <w:bookmarkStart w:id="15" w:name="page16"/>
    <w:bookmarkEnd w:id="15"/>
    <w:p>
      <w:pPr>
        <w:spacing w:after="0" w:line="26"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increased the list price billed for the GEC from $4,875 to $6,400 per test in July 2015, while the list price billed for routine cytopathology remained at $490 per test. We obtained Medicare coverage for the GEC effective in January 2012 and contracted reimbursement at an agreed upon rate of $3,200. We have entered into contracts with payers establishing in-network allowable rates for both our GEC and cytopathology test including United Healthcare, Aetna and Cigna, as well as several Blue Cross Blue Shield plans, among others. We have also received positive coverage determinations from numerous other commercial payers and, as of September 2015, the GEC is covered by payers representing nearly 155 million lives. We now have nearly 125 million lives under contract. Payers that have agreed to pay for Afirma under contract are also counted as covered lives. Contracted and reimbursement rates vary by payer.</w:t>
      </w:r>
    </w:p>
    <w:p>
      <w:pPr>
        <w:spacing w:after="0" w:line="18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September, the Centers for Medicare and Medicaid Services, or CMS, issued a preliminary rate determination for the 2016 Clinical Lab Fee Schedule, or CLFS, for new CPT codes issued in 2015. We obtained a unique CPT code (81545) for the GEC in 2015. The preliminary 2016 rate determination was issued at $2,152, a 33% reduction from our existing contracted rate of $3,200. We have challenged the pricing methodology that led to the preliminary determination and expect the final methodology to be issued by CMS before December 1, 2015.</w:t>
      </w:r>
    </w:p>
    <w:p>
      <w:pPr>
        <w:spacing w:after="0" w:line="17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recognized revenue of $12.3 million and $35.5 million in the three and nine months ended September 30, 2015, an increase of $2.5 million and $9.5 million, or 25% and 36%, respectively, compared to the same periods in 2014. We incurred a net loss of $9.0 million and $25.7 million for the three and nine months ended September 30, 2015 compared to a net loss of $7.9 million and $21.2 million in the same periods in 2014. As of September 30, 2015, we had an accumulated deficit of $140.7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Number of FNAs We Receive and Test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growth in our business is tied to the number of FNAs we receive and the number of GECs performed. Approximately 88% of FNAs we receive are for the Afirma solution, which consists of services related to rendering a cytopathology diagnosis, and if the cytopathology result is indeterminate, the GEC is performed. The remaining approximate 12%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 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the GEC is performed on approximately 14%-17% of samples we have received for the Afirma solution where we perfom cytopathology. Approximately 5%-10% of the samples for GEC testing have insufficient ribonucleic acid, or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Afirma</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To date, only a small number of payers have reimbursed us for Afirma at full list price. 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on many tests and payments may not be at acceptable levels. We expect our revenue growth will increase as more payers make a positive coverage decision and as payers enter into contracts with us, which should enhance our accrued revenue and collections. To drive increased adoption of Afirma, we increased our internal sales force in high-volume geographies domestically during 2014 and are continuing to do so, to a lesser extent, in 2015, along with increasing our marketing efforts. We have also hired institutional channel managers to focus on the institutional segment, which accounts generally send us only GECs.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average reimbursement per GEC was approximately $2,300 in the quarter ended September 30, 2015 as compared with approximately $2,100 in the quarter ended September 30, 2014.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calculate the average GEC reimbursement from all payers, whether they are on a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 significant portion of our revenue is recognized upon the earlier of receipt of third-party notification of payment or when cash is received. For Medicare and certain other payers where we have an agreed upon reimbursement rate or we are able to estimate the amount that will ultimately be received at the time delivery is complete, we recognize the related revenue on an accrual basis. In the first period in which revenue is accrued for a particular payer, there generally is a one-time increase in revenue. Until we have contracts with or can estimate the amount that will ultimately be received from a larger number of payers, we will recognize a large portion of our revenue upon the earlier of notification of payment or when cash is received. Additionally, as we commercialize new products, we will need to be able to make an estimate of the amount that will ultimately be received for each payer for each new product offering prior to being able to recognize the related revenue on an accrual basis. Because the timing and amount of cash payments received from payers is</w:t>
      </w:r>
    </w:p>
    <w:p>
      <w:pPr>
        <w:sectPr>
          <w:pgSz w:w="11900" w:h="16865" w:orient="portrait"/>
          <w:cols w:equalWidth="0" w:num="1">
            <w:col w:w="11400"/>
          </w:cols>
          <w:pgMar w:left="240" w:top="125" w:right="259" w:bottom="0" w:gutter="0" w:footer="0" w:header="0"/>
        </w:sectPr>
      </w:pPr>
    </w:p>
    <w:bookmarkStart w:id="16" w:name="page17"/>
    <w:bookmarkEnd w:id="16"/>
    <w:p>
      <w:pPr>
        <w:ind w:right="20"/>
        <w:spacing w:after="0" w:line="264" w:lineRule="auto"/>
        <w:rPr>
          <w:sz w:val="20"/>
          <w:szCs w:val="20"/>
          <w:color w:val="auto"/>
        </w:rPr>
      </w:pPr>
      <w:r>
        <w:rPr>
          <w:rFonts w:ascii="Arial" w:cs="Arial" w:eastAsia="Arial" w:hAnsi="Arial"/>
          <w:sz w:val="18"/>
          <w:szCs w:val="18"/>
          <w:color w:val="auto"/>
        </w:rPr>
        <w:t>difficult to predict, we expect that our revenue will fluctuate significantly in any given quarter. In addition, even if we begin to accrue larger amounts of revenue related to Afirma, when we introduce new products, we do not expect we will be able to recognize revenue from new products on an accrual basis for some period of time. This may result in continued fluctuations in our revenue.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Revenue recognized when cash is received and on an accrual basis for the three and nine months ended September 30, 2015 and 2014 was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366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 when cash is received</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7,338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Revenue recognized on an accrual basis</w:t>
            </w: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6,985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18,957</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7,490</w:t>
            </w:r>
          </w:p>
        </w:tc>
      </w:tr>
      <w:tr>
        <w:trPr>
          <w:trHeight w:val="210"/>
        </w:trPr>
        <w:tc>
          <w:tcPr>
            <w:tcW w:w="36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9,838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of September 30, 2015, cumulative amounts billed at list price for tests processed that were not recognized as revenue upon delivery of a patient report because our accrual revenue recognition criteria were not met and for which we have not received notification of payment, collected cash or written off as uncollectible, totaled approximately $118 million.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December 31, 2014, cumulative amounts billed at list price for tests processed that were not recognized as revenue upon delivery of a patient report because our accrual revenue recognition criteria were not met and for which we have not received notification of payment, collected cash or written off as uncollectible, totaled approximately $86 million. Of this amount, we recognized revenue of approximately $1 million and $9 million in the three and nine months ended September 30, 2015, respectively, when cash was received.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Generally, cash we receive is collected within 12 months of the date the test is billed. We cannot provide any assurance as to when, if ever, or to what extent any of the amounts outstanding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5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$10.0 million up-front co-promotion fee we received from Genzyme under the Co-promotion Agreement dated as of January 18, 2012 is being amortized over the estimated useful life based on the provisions of the agreement as a reduction to selling and marketing expenses. We amortized $1.4 million and $1.8 million of the $10.0 million of this fee in the nine months ended September 30, 2015 and 2014, respectively, which is reflected as a reduction to selling and marketing expenses in our condensed statements of operations and comprehensive loss. The 2012 agreement required that we pay a certain percentage of our cash receipts from the sale of the Afirma GEC test to Genzyme, which percentage decreased over time. The percentage was initially 50%, 40% from January 2013 through February 2014, 32% from February 2014 through December 2014, and decreased to 15% in January 2015. Our co-promotion fees were $1.8 million and $5.2 million in the three and nine months ended September 30, 2015, respectively, compared to $3.2 million and $8.7 million in the same periods in 2014, and are included in selling and marketing expenses in our condensed statements of operations and comprehensive loss.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November 2014, we signed an Amended and Restated U.S. Co-promotion Agreement, with Genzyme, or Amended Agreement. Under the Amended Agreement, the co-promotion fees Genzyme receives as a percentage of U.S. cash receipts from the sale of the Afirma GEC test were reduced from 32% to 15% beginning January 1, 2015. Further, we have agreed to assume more responsibilities for sales and marketing activities. Either party may terminate the agreement with six months prior notice, however, neither party can terminate the agreement for convenience prior to June 30, 2016. Our agreement with Genzyme expires in January 2027.</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February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For example, in September 2014 we acquired Allegro and with it, a molecular diagnostic lung cancer test designed to help physicians determine which patients with lung nodules who have had a non-diagnostic bronchoscopy result are at low risk for cancer and can thus be safely monitored with CT scans, rather than undergoing invasive procedures. We launched the Percepta Bronchial Genomic Classifier, the test acquired from Allegro, in April 2015. Additionally, we are pursuing a solution for interstitial lung disease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ectPr>
          <w:pgSz w:w="11900" w:h="16838" w:orient="portrait"/>
          <w:cols w:equalWidth="0" w:num="1">
            <w:col w:w="11420"/>
          </w:cols>
          <w:pgMar w:left="240" w:top="125" w:right="239" w:bottom="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Seasonal Fluctuations in FNAs Received, GEC Test Volume and Collections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business is subject to fluctuations in the number of FNA samples received for both cytopathology and GEC testing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Additionally, we may receive fewer FNAs in the winter months due to severe weather if patients are not able to visit their doctor’s office. Our reimbursed rates and cash collections are also subject to seasonality. Medicare normally makes adjustments in its fee schedules at the beginning of the year which may affect our reimbursement. Additionally, some plans reset their deductibles at the beginning of each year which means that patients early in the year are responsible for a greater portion of the cost of our tests, and we have lower collection rates from individual patients than from third-party payers. Later in the year, particularly in the fourth quarter, we experience improved payment results as third-party payers tend to clear pending claims toward year end. This trend historically has increased our cash collections in the fourth quarter. The effects of these seasonal fluctuations in prior periods may have been obscured by the growth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Through September 30, 2015, all of our revenues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collection from the third-party payer and individual patients. Our third-party payers in excess of 10% of revenue and their related revenue as a percentage of revenue were as follows: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33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244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UnitedHealthcare</w:t>
            </w:r>
          </w:p>
        </w:tc>
        <w:tc>
          <w:tcPr>
            <w:tcW w:w="164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Aetna</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244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the number of payers reimbursing for Afirma increases, the percentage of revenue derived from Medicare and other significant third-party payers has changed and will continue to change as a percentage of revenue.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tests performed where we have an agreed upon reimbursement rate or we can estimate of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The expected amount is typically lower than, if applicable, the agreed upon reimbursement amount due to several factors, such as the amount of patient co-payments, the existence of secondary payers and claim denials. In other situations, where we are cannot estimate the amount that will ultimately be received, we recognize revenue upon the earlier of receipt of third-party payer notification of payment or when cash is received. Incremental accrued revenue as a result of additional payer(s) meeting our revenue recognition criteria in the three and nine months ended September 30, 2015 was approximately $0.1 million and $0.6 million, respectively. Upon ultimate collection, the amount received from Medicare and commercial payers where reimbursement was estimated is compared to previous estimates and the contractual allowance is adjusted accordingly. Our ability to increase our revenue will depend on our ability to penetrate the market, obtain positive coverage policies from additional third-party payers, obtain reimbursement and/or enter into contracts with additional third-party payers, and increase reimbursement rates for tests performed. Finally, should we recognize revenue from payers on an accrual basis and later determine the judgments underlying estimated reimbursement change, our financial results could be negatively impacted in future quarters.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as the rent allocated to the laboratory increases based on the expanded square footage of the laboratory in our new facility. However, we expect that the cost per test will decrease over time due to leveraging fixed costs,</w:t>
      </w:r>
    </w:p>
    <w:p>
      <w:pPr>
        <w:sectPr>
          <w:pgSz w:w="11900" w:h="16838" w:orient="portrait"/>
          <w:cols w:equalWidth="0" w:num="1">
            <w:col w:w="11400"/>
          </w:cols>
          <w:pgMar w:left="240" w:top="490" w:right="259" w:bottom="0" w:gutter="0" w:footer="0" w:header="0"/>
        </w:sectPr>
      </w:pPr>
    </w:p>
    <w:bookmarkStart w:id="18" w:name="page19"/>
    <w:bookmarkEnd w:id="18"/>
    <w:p>
      <w:pPr>
        <w:spacing w:after="0" w:line="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future periods as we continue to invest in research and development activities related to developing additional products and evaluating various platforms. We expect that in 2015 the increase in research and development expenses will be for the continued development and support of the Afirma and Percepta tests and other new products and programs under development, including our ILD programs. Specifically, we plan to: increase the body of clinical evidence to support Afirma; incur research and development expenses associated with clinical utility studies to support the commercialization of Percepta; and incur expenses associated with clinical validation studies in our ILD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In November 2014, we amended the co-promotion agreement with Genzyme. As a result of this amendment, we expect our selling and marketing expenses for Afirma to increase slightly during 2015. Our personnel costs have increased as we have taken on more sales and marketing responsibilities related to Afirma, but these increases are offset by the lower rate we are required to pay Genzyme under the agreement beginning in January 2015. Additionally, in 2015, we have begun to incur selling and marketing expenses as a result of investments in our lung product portfolio. Thus, we believe total selling and marketing expenses will continue to increase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General and administrative expenses include those from the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The year ended December 31, 2014 also included transaction costs related to the acquisition of Allegro in September 2014, including charges for merger related severance and bonuses. We expect our general and administration expenses will continue to increase during 2015 as we expand our billing group to support anticipated increased demand for our tests, hire more personnel in accounting and finance, incur increasing expenses related to the documentation of our internal controls in connection with preparation for compliance with Section 404 of the Sarbanes-Oxley Act of 2002, and incur greater legal costs for patent prosecution, for public company compliance and for general corporate purposes. Additionally, while we do not begin to make rent payments for our new headquarters space until April 2016, following expiration of our current lease and build out of the office space and new laboratory in of our new facility, in accordance with generally accepted accounting principles, the rent is expensed on a straight-line basis over the lease period. Prior to beginning to utilize the space, this rent expense is being charged to general and administrative in the amount of approximately $0.5 million per quarter.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Intangible asset amortization began in April 2015 when we launched the Percepta test and as a result reclassified the indefinite-lived intangible asset to a finite-lived intangible asset. The finite-lived intangible asset with a cost of $16.0 million is being amortized over 15 years, using the straight-line method.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attributable to our borrowings under our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income, net consists primarily of sublease rental income, interest income received from payers and from our cash equivalents, partially offset by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Polices and Estimates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interim condensed financial statements, which have been prepared in accordance with United States generally accepted accounting principles, or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We recognize revenue in accordance with the provision of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 xml:space="preserve"> Our revenue is generated from the provision of diagnostic services using the Afirma solution and the service is completed upon the delivery of test results to the prescribing physician, at which time we bill for the service. We recognize revenue related to billings for Medicare and commercial payers on an accrual basis, net of contractual and other adjustments, when amounts that will ultimately be realized can be estimated. Contractual and other adjustments represent the difference between the list</w:t>
      </w:r>
    </w:p>
    <w:p>
      <w:pPr>
        <w:sectPr>
          <w:pgSz w:w="11900" w:h="16877" w:orient="portrait"/>
          <w:cols w:equalWidth="0" w:num="1">
            <w:col w:w="11420"/>
          </w:cols>
          <w:pgMar w:left="240" w:top="125" w:right="239" w:bottom="0" w:gutter="0" w:footer="0" w:header="0"/>
        </w:sectPr>
      </w:pPr>
    </w:p>
    <w:bookmarkStart w:id="19" w:name="page20"/>
    <w:bookmarkEnd w:id="19"/>
    <w:p>
      <w:pPr>
        <w:spacing w:after="0" w:line="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price (the billing rate) and the estimated reimbursement rate for each payer. Upon ultimate collection, the amount received from Medicare and commercial payers where reimbursement was estimated is compared to previous estimates and, if necessary, the contractual allowance is adjusted accordingly. Until a contract has been negotiated with a commercial payer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us. In the absence of an agreement with the patient or other clearly enforceable legal right to demand payment from the patient, the related revenue is only recognized upon the earlier of payment notification, if applicable, or cash receipt.</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estimates of amounts that will ultimately be realized requires significant judgment by management. Some patients have out-of-pocket costs for amounts not covered by their insurance carrier, and we may bill the patient directly for these amounts in the form of co-payments and co-insurance in accordance with their insurance carrier and health plans. Some payers may not cover our GEC as ordered by the prescribing physician under their reimbursement policies. We pursue reimbursement from such patients on a case-by-case basis. In the absence of contracted reimbursement coverage or the ability to estimate the amount that will ultimately be realized for our services, revenue is recognized upon the earlier of receipt of third-party payer notification of payment or when cash is received.</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use judgment in determining if we are able to make an estimate of what will ultimately be realized. We also use judgment in estimating the amounts we expect to collect by payer. Our judgments will continue to evolve in the future as we continue to gain payment experience with third-party payers and patients.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estimate an allowance for doubtful accounts against our individual patient accounts receivable based on estimates of expected payment consistent with historical payment experience. Our allowance for doubtful accounts is evaluated on a regular basis and adjusted when trends or significant events indicate that a change in estimate is appropriate. Accounts receivable are written off against the allowance when the appeals process is exhausted or when there is other substantive evidence that the account will not be paid.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annually or when facts or circumstances indicate a reduction in the fair value below its carrying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Indefinite-lived Intangible Assets — In-process Research and Development</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Company’s indefinite-lived intangible assets are comprised of acquired in-process research and development, or IPR&amp;D. The fair value of IPR&amp;D acquired through a business combination is capitalized as an indefinite-lived intangible asset until the completion or abandonment of the related research and development activities. When research and development is complete, the associated assets are amortized on a straight-line basis over their estimated useful lives. IPR&amp;D is tested for impairment annually or more frequently if events or circumstances indicate that the fair value may be below the carrying value of the asset. The Company recognizes an impairment loss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was no impairment for the nine months ended September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review goodwill for impairment annually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for the nine months ended September 30,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file U.S. federal income tax returns and tax returns in California, Texas and other states.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of December 31, 2014, our gross deferred tax assets were $43.4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7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are required to reduce our deferred tax assets by a valuation allowance if it is more-likely-than-not that some or all of our deferred tax assets will not be realized. We must use judgment in assessing the potential need for a valuation allowance, which requires an evaluation of both negative and positive</w:t>
      </w:r>
    </w:p>
    <w:p>
      <w:pPr>
        <w:sectPr>
          <w:pgSz w:w="11900" w:h="16908" w:orient="portrait"/>
          <w:cols w:equalWidth="0" w:num="1">
            <w:col w:w="11400"/>
          </w:cols>
          <w:pgMar w:left="240" w:top="125" w:right="259" w:bottom="0" w:gutter="0" w:footer="0" w:header="0"/>
        </w:sectPr>
      </w:pPr>
    </w:p>
    <w:bookmarkStart w:id="20" w:name="page21"/>
    <w:bookmarkEnd w:id="20"/>
    <w:p>
      <w:pPr>
        <w:spacing w:after="0" w:line="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more-likely-than-not that our recorded net deferred tax assets will not be realized. Accordingly, we recorded a valuation allowance against all of our net deferred tax assets at September 30, 2015 and December 31, 2014. We will continue to maintain a full valuation allowance on our net deferred tax assets until there is sufficient evidence to support the reversal of all or some portion of this allowance.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recognize stock-based compensation cost for only those shares underlying stock options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Dollar</w:t>
            </w:r>
          </w:p>
        </w:tc>
        <w:tc>
          <w:tcPr>
            <w:tcW w:w="80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540"/>
              <w:spacing w:after="0" w:line="142" w:lineRule="exact"/>
              <w:rPr>
                <w:sz w:val="20"/>
                <w:szCs w:val="20"/>
                <w:color w:val="auto"/>
              </w:rPr>
            </w:pPr>
            <w:r>
              <w:rPr>
                <w:rFonts w:ascii="Arial" w:cs="Arial" w:eastAsia="Arial" w:hAnsi="Arial"/>
                <w:sz w:val="14"/>
                <w:szCs w:val="14"/>
                <w:b w:val="1"/>
                <w:bCs w:val="1"/>
                <w:color w:val="auto"/>
                <w:w w:val="89"/>
              </w:rPr>
              <w:t>Change</w:t>
            </w:r>
          </w:p>
        </w:tc>
        <w:tc>
          <w:tcPr>
            <w:tcW w:w="9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18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rPr>
              <w:t>(In thousands except GECs processed)</w:t>
            </w: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Revenue</w:t>
            </w:r>
          </w:p>
        </w:tc>
        <w:tc>
          <w:tcPr>
            <w:tcW w:w="8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12,335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9,838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2,497</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5,618</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1,450</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6,048</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266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21,223</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(8,888)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(1,077)</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 income, net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04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GECs processed</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Revenue increased $2.5 million, or 25%, for the three months ended September 30, 2015 compared to the same period in 2014. The increase was primarily due to increased adoption of Afirma and the resultant increase in tests delivered, and, to a lesser extent, additional payers meeting our revenue recognition criteria for accrual, partially offset by a decrease in revenue recorded as cash is received. As contracts are executed and as revenue and collection becomes more predictable, we expect to continue to shift to accruing for revenue instead of waiting until the cash is received to recognize the revenue. For the three months ended September 30, 2015 compared to the same period in 2014, revenue recognized on an accrual basis increased by approximately $4.5 million, or 179%, to $7.0 million, and revenue recognized when cash was received decreased by approximately $2.0 million, or 27%, to $5.4 million. Cash revenue in the third quarter of 2014 was positively impacted by a $0.5 million catch-up 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Reagents, chips, consumables and related</w:t>
            </w:r>
          </w:p>
        </w:tc>
        <w:tc>
          <w:tcPr>
            <w:tcW w:w="152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2,008</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1,327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681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Cytopathology fees and related costs</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Sample collection</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834</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3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labor</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3720" w:type="dxa"/>
            <w:vAlign w:val="bottom"/>
          </w:tcPr>
          <w:p>
            <w:pPr>
              <w:ind w:left="2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696</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0"/>
        </w:trPr>
        <w:tc>
          <w:tcPr>
            <w:tcW w:w="37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Cost of revenue increased $1.5 million, or 35%, for the three months ended September 30, 2015 compared to the same period in 2014. Given our corporate focus on GEC growth, GEC tests increased by 46% and cytopathology tests increased by 20%.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The increase in direct labor is associated with the increase in</w:t>
      </w:r>
    </w:p>
    <w:p>
      <w:pPr>
        <w:sectPr>
          <w:pgSz w:w="11900" w:h="16918" w:orient="portrait"/>
          <w:cols w:equalWidth="0" w:num="1">
            <w:col w:w="11400"/>
          </w:cols>
          <w:pgMar w:left="240" w:top="125" w:right="259" w:bottom="0" w:gutter="0" w:footer="0" w:header="0"/>
        </w:sectPr>
      </w:pPr>
    </w:p>
    <w:bookmarkStart w:id="21" w:name="page22"/>
    <w:bookmarkEnd w:id="21"/>
    <w:p>
      <w:pPr>
        <w:spacing w:after="0" w:line="9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and increased allocation due to a headcount increase of 42%.</w:t>
      </w:r>
    </w:p>
    <w:p>
      <w:pPr>
        <w:spacing w:after="0" w:line="166"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relationship of cost of revenue to revenue for the three months ended September 30, 2015 is impacted by certain payers meeting our revenue recognition criteria for accrual. As a result, approximately $0.1 million of incremental revenue was accrued for these payers in the quarter and therefore the revenue was recognized in the same period as the related expenses for these tests, which represents a change for these payers from prior periods.</w:t>
      </w:r>
    </w:p>
    <w:p>
      <w:pPr>
        <w:spacing w:after="0" w:line="14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During the three months ended September 30, 2014, a payer made a catch-up payment of approximately $0.5 million, relating to tests performed in prior periods. The 2014 catch-up payment was the result of a negotiated settlement of amounts owed. The catch-up payment was recorded as cash revenue. The relationship of cost of revenue to revenue for the three months ended September 30, 2014 was favorably impacted as the costs associated with processing the tests associated with the catch-up payment had been expensed in the period in which the patient reports were delivered.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c>
          <w:tcPr>
            <w:tcW w:w="118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Personnel related expense</w:t>
            </w:r>
          </w:p>
        </w:tc>
        <w:tc>
          <w:tcPr>
            <w:tcW w:w="174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1,553</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473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18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1180" w:type="dxa"/>
            <w:vAlign w:val="bottom"/>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Direct R&amp;D expense</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999</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431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18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180" w:type="dxa"/>
            <w:vAlign w:val="bottom"/>
          </w:tcPr>
          <w:p>
            <w:pPr>
              <w:spacing w:after="0"/>
              <w:rPr>
                <w:sz w:val="18"/>
                <w:szCs w:val="18"/>
                <w:color w:val="auto"/>
              </w:rPr>
            </w:pPr>
          </w:p>
        </w:tc>
      </w:tr>
      <w:tr>
        <w:trPr>
          <w:trHeight w:val="210"/>
        </w:trPr>
        <w:tc>
          <w:tcPr>
            <w:tcW w:w="3500" w:type="dxa"/>
            <w:vAlign w:val="bottom"/>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1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13"/>
        </w:trPr>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Research and development expense increased $1.3 million, or 60%, for the three months ended September 30, 2015 compared to the same period in 2014. The increase in personnel related expense was primarily due to increased accrued bonuses as a result of increased bonus targets and performance, as well as a 7% increase in headcount at September 30, 2015 as compared to September 30, 2014. The increase in direct R&amp;D expense was primarily due to materials purchased for research and development experiments as well as expenses associated with ongoing thyroid studies and the Percepta clinical utility study. The increase in stock-based compensation expense reflects option grants to new and existing employees. The increase in other expense was primarily due to consulting, facility and equipment charges.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Genzyme co-promotion expense, net</w:t>
            </w:r>
          </w:p>
        </w:tc>
        <w:tc>
          <w:tcPr>
            <w:tcW w:w="16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1,330</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 related expense</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2,905</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353</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804</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10"/>
        </w:trPr>
        <w:tc>
          <w:tcPr>
            <w:tcW w:w="3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3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Selling and marketing expense increased $0.5 million, or 9%, for the three months ended September 30, 2015 compared to the same period in 2014. The decrease in Genzyme co-promotion expense, net, reflects a reduction in the co-promotion percentage rate payable to Genzyme in the third quarter of</w:t>
      </w:r>
    </w:p>
    <w:p>
      <w:pPr>
        <w:ind w:right="60"/>
        <w:spacing w:after="0" w:line="290" w:lineRule="auto"/>
        <w:rPr>
          <w:sz w:val="20"/>
          <w:szCs w:val="20"/>
          <w:color w:val="auto"/>
        </w:rPr>
      </w:pPr>
      <w:r>
        <w:rPr>
          <w:rFonts w:ascii="Arial" w:cs="Arial" w:eastAsia="Arial" w:hAnsi="Arial"/>
          <w:sz w:val="16"/>
          <w:szCs w:val="16"/>
          <w:color w:val="auto"/>
        </w:rPr>
        <w:t>2015 as compared to the third quarter of 2014 under the Amended Agreement with Genzyme, partially offset by growth in cash collections. The increase in personnel related expense was primarily due to increased commissions and accrued bonuses as a result of increased targets and performance, as well as a 28% increase in headcount of our sales and marketing team at September 30, 2015 as compared to September 30, 2014. The increase in stock-based compensation expense reflects option grants to new and existing employees. The increase in direct marketing expense was due primarily to increased marketing expenses for Afirma and, to a lesser extent, lung-related marketing expenses. The increase in other expense was primarily due to consulting expenses and an increase in information technology and facilities expenses that were related to sales and marketing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jc w:val="right"/>
              <w:ind w:right="7"/>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Personnel related expense</w:t>
            </w:r>
          </w:p>
        </w:tc>
        <w:tc>
          <w:tcPr>
            <w:tcW w:w="174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2,596</w:t>
            </w:r>
          </w:p>
        </w:tc>
        <w:tc>
          <w:tcPr>
            <w:tcW w:w="1000" w:type="dxa"/>
            <w:vAlign w:val="bottom"/>
          </w:tcPr>
          <w:p>
            <w:pPr>
              <w:jc w:val="right"/>
              <w:ind w:right="8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3,308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Professional fees expense</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1,101</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 and other facilities expense</w:t>
            </w: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r>
        <w:trPr>
          <w:trHeight w:val="216"/>
        </w:trPr>
        <w:tc>
          <w:tcPr>
            <w:tcW w:w="350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339</w:t>
            </w:r>
          </w:p>
        </w:tc>
        <w:tc>
          <w:tcPr>
            <w:tcW w:w="10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0"/>
        </w:trPr>
        <w:tc>
          <w:tcPr>
            <w:tcW w:w="35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3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General and administrative expense was largely unchanged for the three months ended September 30, 2015 compared to the same period in 2014. The decrease in personnel related expense was primarily due to $1.2 million of bonus and severance recorded in the quarter ended September 30, 2014 associated with acquisition of Allegro, offset by increased accrued bonuses as a result of increased bonus targets and performance, as well as an 11% increase in headcount, at September 30, 2015 as compared to September 30, 2014. The increase in stock-based compensation expense was primarily due to option grants to new and existing employees. The increase in professional fees includes higher accounting, audit, legal and other corporate expenses including insurance, offset by approximately $0.5 million of legal, accounting and valuation services associated with the Allegro acquisition in the 2014 period. The</w:t>
      </w:r>
    </w:p>
    <w:p>
      <w:pPr>
        <w:sectPr>
          <w:pgSz w:w="11900" w:h="16934" w:orient="portrait"/>
          <w:cols w:equalWidth="0" w:num="1">
            <w:col w:w="11460"/>
          </w:cols>
          <w:pgMar w:left="240" w:top="125" w:right="199" w:bottom="0" w:gutter="0" w:footer="0" w:header="0"/>
        </w:sectPr>
      </w:pPr>
    </w:p>
    <w:bookmarkStart w:id="22" w:name="page23"/>
    <w:bookmarkEnd w:id="22"/>
    <w:p>
      <w:pPr>
        <w:spacing w:after="0" w:line="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increase in rent and other facilities expense was largely due to our new headquarters building, which is currently being built out for office and new laboratory space, as well as our existing space, for which the lease ends in March 2016. While we do not begin to make rent payments for our new headquarters facility until April 2016, following expiration of our current lease and build out of office space and new laboratory space for our new facility, in accordance with GAAP, the rent is expensed on a straight-line basis over the lease period. Prior to beginning to utilize the space, this rent expense is being charged to general and administrative in the amount of approximately $0.5 million per quarter. The decrease in other expense was due primarily to a decrease in information technology and facilities allocations as a result of increased headcount in other functions.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225"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Intangible asset amortization began in April 2015 when we launched Percepta and as a result reclassified the indefinite-lived intangible asset to a finite-lived intangible asset. The finite-lived intangible asset with a cost of $16.0 million is being amortized over 15 years, using the straight-line method. Intangible asset amortization of $0.3 million was recorded in the three months ended September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Interest expense decreased $22,000 for the three months ended September 30, 2015 compared to the same period in 2014 reflecting the debt modification under the amended loan and security agreement entered into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Other income, net, increased $12,000 for the three months ended September 30, 2015 compared to the same period in 2014 primarily due to interest income received and lower amortization of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2015 and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w:t>
            </w: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9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(In thousands except GECs processed)</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35,461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25,991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9,470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9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15,322</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11,741</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3,581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2,851</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18,606</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14,970</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3,636</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17,062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Intangible asset amortization</w:t>
            </w:r>
          </w:p>
        </w:tc>
        <w:tc>
          <w:tcPr>
            <w:tcW w:w="9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60,976</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(25,515)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(4,568)</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income, net</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900" w:type="dxa"/>
            <w:vAlign w:val="bottom"/>
            <w:tcBorders>
              <w:top w:val="single" w:sz="8" w:color="auto"/>
              <w:bottom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(25,691)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w:t>
            </w: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GECs processed</w:t>
            </w:r>
          </w:p>
        </w:tc>
        <w:tc>
          <w:tcPr>
            <w:tcW w:w="9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13,812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Revenue increased $9.5 million, or 36%, for the nine months ended September 30, 2015 compared to the same period in 2014. The increase was primarily due to increased adoption of Afirma and the resultant increase in tests delivered, and, to a lesser extent, additional payers meeting our revenue recognition criteria for accrual, partially offset by a decrease in revenue recorded when cash is received. As contracts are executed and as revenue and collection becomes more predictable, we expect to continue to shift to accruing for revenue instead of waiting until the cash is received to recognize the revenue. For the nine months ended September 30, 2015 compared to the same period in 2014, revenue recognized on an accrual basis increased by approximately $11.5 million, or 153%, to $19.0 million, and revenue recognized when cash was received decreased by approximately $2.0 million, or 11%, to $16.5 million. Cash revenue for the nine months ended September 30, of 2015 and 2014 were positively impacted by $0.5 and $0.5 million, respectively, of catch-up payments.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3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Dollar</w:t>
            </w: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Reagents, chips, consumables and related</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5,210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3,641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Cytopathology fees and related costs</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Sample collection</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labor</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42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4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ectPr>
          <w:pgSz w:w="11900" w:h="16870" w:orient="portrait"/>
          <w:cols w:equalWidth="0" w:num="1">
            <w:col w:w="11420"/>
          </w:cols>
          <w:pgMar w:left="240" w:top="125" w:right="239" w:bottom="0" w:gutter="0" w:footer="0" w:header="0"/>
        </w:sectPr>
      </w:pPr>
    </w:p>
    <w:bookmarkStart w:id="23" w:name="page24"/>
    <w:bookmarkEnd w:id="23"/>
    <w:p>
      <w:pPr>
        <w:spacing w:after="0" w:line="9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Cost of revenue increased $3.6 million, or 30%, for the nine months ended September 30, 2015 compared to the same period in 2014. Given our corporate focus on GEC growth, GEC tests increased by 38% and cytopathology tests increased by 21%.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the increase in sample volume and the mix shift to relatively more GECs versus cytopathology tests as more labor hours are incurred on the GEC tests compared to the cytopathology tests and at a higher average employee cost. Other costs are primarily indirect costs, such as facilities allocation, depreciation and equipment maintenance, which increased as a result of increased allocable costs and increased allocation due to a headcount increase of 42%.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3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Dollar</w:t>
            </w:r>
          </w:p>
        </w:tc>
        <w:tc>
          <w:tcPr>
            <w:tcW w:w="138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2"/>
                <w:szCs w:val="12"/>
                <w:color w:val="auto"/>
              </w:rPr>
            </w:pP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4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Personnel related expense</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4,470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3,146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Direct R&amp;D expense</w:t>
            </w:r>
          </w:p>
        </w:tc>
        <w:tc>
          <w:tcPr>
            <w:tcW w:w="9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2,328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1,781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9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0"/>
        </w:trPr>
        <w:tc>
          <w:tcPr>
            <w:tcW w:w="4280" w:type="dxa"/>
            <w:vAlign w:val="bottom"/>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Borders>
              <w:bottom w:val="single" w:sz="8" w:color="auto"/>
            </w:tcBorders>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r>
      <w:tr>
        <w:trPr>
          <w:trHeight w:val="20"/>
        </w:trPr>
        <w:tc>
          <w:tcPr>
            <w:tcW w:w="4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Research and development expense increased $2.9 million, or 43%, for the nine months ended September 30, 2015 compared to the same period in 2014. The increase in personnel related expense was primarily due to increased accrued bonuses as a result of increased bonus targets and performance, as well as a 7% increase in headcount, at September 30, 2015 as compared to September 30, 2014. The increase in stock-based compensation expense reflects option grants to new and existing employees. The increase in direct R&amp;D expense was primarily due to increased clinical expenses associated with our ongoing thyroid studies and the Percepta clinical utility study and materials purchased for research and development experiments. Other expense increased primarily as a result of consulting and increased information technology and facilities expenses that were related to research and development activities.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3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Genzyme co-promotion expense, net</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6,895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Personnel related expense</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marketing expense</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r>
      <w:tr>
        <w:trPr>
          <w:trHeight w:val="210"/>
        </w:trPr>
        <w:tc>
          <w:tcPr>
            <w:tcW w:w="42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18,606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0"/>
        </w:trPr>
        <w:tc>
          <w:tcPr>
            <w:tcW w:w="4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Selling and marketing expense increased $3.6 million, or 24%, for the nine months ended September 30, 2015 compared to the same period in 2014. The decrease in Genzyme co-promotion expense, net, reflects a reduction in the co-promotion percentage rate payable to Genzyme in the first nine months of 2015 as compared to the first nine months of 2014 under the Amended Agreement with Genzyme, partially offset by growth in cash collections. The increase in personnel related expense was primarily due to increased commissions and accrued bonus as a result of increased performance and bonus targets, as well as a 28% increase in headcount of our sales and marketing team at September 30, 2015 as compared to September 30, 2014. The increase in stock-based compensation expense reflects option grants to new and existing employees. The increase in direct marketing expense was due primarily to expenses associated with Afirma, including trade shows, market research, advertising, public relations, speaker programs and, to a lesser extent, lung-related marketing expenses. The increase in other expense was primarily due to an increase in consulting expenses and, to a lesser extent, an increase in information technology and facilities expenses that were related to sales and marketing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3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Nine Months Ended June 30,</w:t>
            </w:r>
          </w:p>
        </w:tc>
        <w:tc>
          <w:tcPr>
            <w:tcW w:w="2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Dollar</w:t>
            </w: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Change</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Change</w:t>
            </w:r>
          </w:p>
        </w:tc>
      </w:tr>
      <w:tr>
        <w:trPr>
          <w:trHeight w:val="142"/>
        </w:trPr>
        <w:tc>
          <w:tcPr>
            <w:tcW w:w="4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Personnel related expense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7,811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7,116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Professional fees expense</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2,991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 and other facilities expense</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0"/>
        </w:trPr>
        <w:tc>
          <w:tcPr>
            <w:tcW w:w="42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17,062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4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General and administrative expense increased $3.4 million, or 25%, for the nine months ended September 30, 2015 compared to the same period in 2014. The increase in personnel related expense was primarily due to increased accrued bonuses as a result of increased bonus targets and performance, as well as an 11% increase in headcount, at September 30, 2015 as compared to September 30, 2014, offset by bonus and severance of $1.2 million associated with the Allegro acquisition in the nine months ended September 30, 2014. The increase in stock-based compensation expense was primarily due to option grants to new and existing employees. The increase in professional fees includes higher accounting, audit, legal and other corporate expenses including insurance offset by $0.5 million of professional fees associated with the Allegro acquisition in 2014. The increase in rent and other facilities expense was largely due to our new headquarters space, which is currently being built out for office and new laboratory space, as well as our existing space, for which the lease ends in March of 2016. While we do not begin to make rent payments for our new headquarters space until April 2016, following expiration of our current lease and build out of office space and new laboratory space for our new facility, in accordance with GAAP, the rent is expensed on a straight-line</w:t>
      </w:r>
    </w:p>
    <w:p>
      <w:pPr>
        <w:sectPr>
          <w:pgSz w:w="11900" w:h="16932" w:orient="portrait"/>
          <w:cols w:equalWidth="0" w:num="1">
            <w:col w:w="11400"/>
          </w:cols>
          <w:pgMar w:left="240" w:top="341" w:right="259" w:bottom="0" w:gutter="0" w:footer="0" w:header="0"/>
        </w:sectPr>
      </w:pPr>
    </w:p>
    <w:bookmarkStart w:id="24" w:name="page25"/>
    <w:bookmarkEnd w:id="24"/>
    <w:p>
      <w:pPr>
        <w:spacing w:after="0" w:line="13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basis over the lease period. Prior to beginning to utilize the space, this rent expense is being charged to general and administrative in the amount of approximately $0.5 million per quarter. The increase in other expense was due primarily to an increase in consulting expense of approximately $0.6 million and other expenses partially offset by decreases in information technology and facilities allocations as a result of increased headcount in other functions.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Intangible asset amortization began in April 2015 when we launched Percepta and as a result reclassified the indefinite-lived intangible asset to a finite-lived intangible asset. The finite-lived intangible asset with a cost of $16.0 million is being amortized over 15 years, using the straight-line method. Intangible asset amortization was $0.5 million for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Interest expense decreased $69,000 for the nine months ended September 30, 2015 compared to the same period in 2014 reflecting the debt modification under the amended loan and security agreement entered into in December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Other income, net, increased $39,000 for the nine months ended September 30, 2015 compared to the same period in 2014 primarily due to interest income received and lower amortization of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We have incurred net losses since our inception. For the nine months ended September 30, 2015 and the year ended December 31, 2014, we had a net loss of $25.7 million and $29.4 million, respectively, and we expect to incur additional losses in the remainder of 2015 and in future years. As of September 30, 2015, we had an accumulated deficit of $140.7 million. We may never achieve revenue sufficient to offset our expenses.</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April 28, 2015, we issued and sold 4,907,975 shares of our common stock in a private placement, at a price of $8.15 per share. We received $37.3 million in net proceeds, after deducting expenses payable by us of $2.7 million.</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June 2015, we filed a universal shelf registration statement with the Securities and Exchange Commission which provides us the ability to offer for sale up to $125.0 million of securities in a primary offering, including common stock, preferred stock, debt securities, depositary shares and rights. This shelf registration statement provides us the ability, within the $125.0 million, to offer for sale up to $25.0 million of our common stock at market prices pursuant to the terms of a Controlled Equity Sales Agreement. Approximately $0.3 million of costs associated with this registration statement have been deferred in other current assets as of September 30, 2015.</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our existing cash and cash equivalents of $46.1 million as of September 30, 2015 and our revenue during the next 12 months will be sufficient to meet our anticipated cash requirements for at least the next 12 months.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From inception through September 30, 2015, we have received $192.0 million in net proceeds from various sources to finance our operations, including net proceeds of $78.6 million from sales of our preferred stock, net proceeds of $59.2 million from our initial public offering, net proceeds of $37.3 million from our sale of common stock in a private placement, $10.0 million from the Genzyme co-promotion agreement, net borrowings of $4.9 million under our loan and security agreement, and $2.0 million from the exercise of stock options.</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June 2013, we entered into a loan and security agreement with a financial institution. The Original Loan provided for term loans of up to</w:t>
      </w:r>
    </w:p>
    <w:p>
      <w:pPr>
        <w:spacing w:after="0" w:line="2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$10.0 million in aggregate. We drew down $5.0 million in funds under the agreement in June 2013, and did not draw the remaining $5.0 million on or before the expiration date of March 31, 2014. We were required to repay the outstanding principal in 30 equal installments beginning 18 months after the date of the borrowing, and the loan was due in full in June 2017. The Original Loan had an interest rate of 6.06% per annum, carried prepayment penalties of 2.25% and 1.50% for prepayment within one and two years, respectively, and 0.75% thereafter.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December 2014, we amended certain terms and conditions of the Original Loan. The Amended Loan provides for term loans of up to</w:t>
      </w:r>
    </w:p>
    <w:p>
      <w:pPr>
        <w:spacing w:after="0" w:line="3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$15.0 million in aggregate, in three tranches of $5.0 million each. We borrowed $5.0 million under the first tranche in December 2014 and used the funds for repayment of the $5.0 million in principal outstanding under the Original Loan, in a cashless transaction. In addition, we paid the accrued but unpaid interest of $14,000 due on the Original Loan and the related end-of-term payment of $110,000. The Amended Loan waived the prepayment premium of $75,000 under the Original Loan and reduced the end-of-term payment of $225,000 under the Original Loan to $110,000. The second $5.0 million tranche under the Amended Loan is available through December 31, 2015, and we may borrow the third $5.0 million tranche any time through June 30, 2016 after achieving the third tranche revenue milestone as defined in the Amended Loan.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Under the Amended Loan, we are required to repay the outstanding principal in 24 equal installments beginning 24 months after the date of the borrowing, and the loan is due in full in December 2018. The first tranche of the Amended Loan bears interest at a rate of 5.00% per annum and the obligation includes an end-of-term payment of $237,500, representing 4.75% of the total outstanding principal balance, which accretes over the life of the loan as interest expense. The Amended Loan carries prepayment penalties of 2.00% and 1.00% for prepayment within one and two years, respectively, and no prepayment penalty thereafter. In connection with the Amended Loan, we paid approximately $45,000 in third-party fees. As a result of the debt discount and the end-of-term payment, the effective interest rate for the loan differs from the contractual rate.</w:t>
      </w:r>
    </w:p>
    <w:p>
      <w:pPr>
        <w:spacing w:after="0" w:line="17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Loans drawn under the Original Loan and the Amended Loan were used for working capital and general corporate purposes. Our obligations under the Amended Loan are secured by a security interest on substantially all of our assets, excluding our intellectual property and certain other assets. The</w:t>
      </w:r>
    </w:p>
    <w:p>
      <w:pPr>
        <w:sectPr>
          <w:pgSz w:w="11900" w:h="16975" w:orient="portrait"/>
          <w:cols w:equalWidth="0" w:num="1">
            <w:col w:w="11400"/>
          </w:cols>
          <w:pgMar w:left="240" w:top="125" w:right="259" w:bottom="0" w:gutter="0" w:footer="0" w:header="0"/>
        </w:sectPr>
      </w:pPr>
    </w:p>
    <w:bookmarkStart w:id="25" w:name="page26"/>
    <w:bookmarkEnd w:id="25"/>
    <w:p>
      <w:pPr>
        <w:ind w:right="180"/>
        <w:spacing w:after="0" w:line="276" w:lineRule="auto"/>
        <w:rPr>
          <w:sz w:val="20"/>
          <w:szCs w:val="20"/>
          <w:color w:val="auto"/>
        </w:rPr>
      </w:pPr>
      <w:r>
        <w:rPr>
          <w:rFonts w:ascii="Arial" w:cs="Arial" w:eastAsia="Arial" w:hAnsi="Arial"/>
          <w:sz w:val="17"/>
          <w:szCs w:val="17"/>
          <w:color w:val="auto"/>
        </w:rPr>
        <w:t>Amended Loan contains customary conditions related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Amended Loan also allows the lender to call the debt in the event there is a material adverse change in our business or financial condition. We are required to be in compliance with a minimum liquidity or minimum revenue covenant. As of September 30, 2015, we were in compliance with all covenants.</w:t>
      </w:r>
    </w:p>
    <w:p>
      <w:pPr>
        <w:spacing w:after="0" w:line="17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September 2014, we acquired Allegro, to accelerate our entry into pulmonology, our second planned clinical area. Allegro was focused on the development of genomic tests to improve the preoperative diagnosis of lung cancer. In conjunction with the acquisition, we issued 964,377 shares of our common stock, paid $2.7 million in cash, settled in cash outstanding indebtedness of Allegro totaling $4.3 million, and paid severance and bonus to Allegro personnel of $1.2 million.</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that our near- and longer-term liquidity requirements will continue to consist of selling and marketing expenses, research and development expenses, working capital, and general corporate expenses associated with the growth of our business. Within the next six months, we will spend approximately $1.8 million in addition to $3.3 million of landlord provided funding for tenant improvements for the build out of our new South San Francisco headquarters and laboratory facilities. As of September 30, 2015, we have incurred $1.7 million of costs for the new facility.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may result. Any equity securities issued may also provide for rights, preferences or privileges senior to those of holders of our common stock. If we raise funds by issuing debt securities, these debt securities would have rights, preferences and privileges senior to those of holders of our common stock. The terms of debt securities or borrowings could impose significant restrictions on our operations. If we raise funds through collaborations and licensing arrangements, we might be required to relinquish significant rights to our technologies or products, or grant licenses on terms that are not favorable to us. The credit market and financial services industry have in the past, and may in the future, experience periods of upheaval that could impact the availability and cost of equity and debt financing. If we are not able to secure additional funding when needed, on acceptable terms,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us.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2015 and 2014:</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48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(2,508)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(8,477)</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37,745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Cash used in operating activities for the nine months ended September 30, 2015 was $24.1 million. The net loss of $25.7 million primarily includes non-cash charges of $4.2 million of stock-based compensation expense and $1.6 million of depreciation and amortization, offset by $1.4 million in amortization of the deferred up-front fee received from Genzyme. Cash used as a result of changes in operating assets and liabilities of $3.0 million was primarily due to an increase in prepaid and other current assets of $1.9 million, a decrease in accounts payable of $1.8 million, an increase in accounts receivable of $0.6 and an increase in supplies inventory of $0.3 million, offset by an increase in accrued liabilities and deferred rent.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Cash used in operating activities for the nine months ended September 30, 2014 was $19.2 million. The net loss of $21.2 million includes non-cash charges of $2.4 million of stock-based compensation expense and $0.8 million of depreciation and amortization, offset by $1.8 million in amortization of the deferred up-front fee received from Genzyme. Cash generated as a result of changes in operating assets and liabilities of $0.4 million is primarily due to a net increase in accounts payable and accrued liabilities of $1.9 million, offset primarily by increases in supplies inventory of $0.8 million and prepaids and other assets of $0.6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Cash used in investing activities was $2.5 million for the nine months ended September 30, 2015. The investing activities in the nine months ended September 30, 2015 were primarily related to the $2.0 million acquisition of property and equipment, as well as additional restricted cash of $0.5 million, consisting of $0.6 million in conjunction with collateral for an irrevocable standby letter of credit as security for our new headquarters, offset by approximately $0.1 million of cash used to pay down liabilities associated with the acquisition of Allegro.</w:t>
      </w:r>
    </w:p>
    <w:p>
      <w:pPr>
        <w:spacing w:after="0" w:line="18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Cash used in investing activities was $8.5 million in the nine months ended September 30, 2014. The investing activities in the nine months ended September 30, 2014 primarily consisted of the acquisition of Allegro using $6.9 million of cash and $1.5 million to purchase property and equipment.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Cash provided by financing activities for the nine months ended September 30, 2015 of $37.7 million consisted of $37.3 million net proceeds from our sale of common stock in a private placement and $0.7 million of cash received from the exercise of options to purchase our common stock, offset by $0.2 million spent on deferred stock offering costs related to our Controlled Equity Sales Agreement.</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Cash provided by financing activities for the nine months ended September 30, 2014 of $0.5 million consisted of $0.6 million cash received from the exercise of options to purchase our common stock, net of $0.1 million of IPO-related disbursements.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ectPr>
          <w:pgSz w:w="11900" w:h="16838" w:orient="portrait"/>
          <w:cols w:equalWidth="0" w:num="1">
            <w:col w:w="11420"/>
          </w:cols>
          <w:pgMar w:left="240" w:top="125" w:right="239" w:bottom="212" w:gutter="0" w:footer="0" w:header="0"/>
        </w:sectPr>
      </w:pPr>
    </w:p>
    <w:bookmarkStart w:id="26" w:name="page27"/>
    <w:bookmarkEnd w:id="26"/>
    <w:p>
      <w:pPr>
        <w:spacing w:after="0" w:line="6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Except for the lease described below, during the nine months ended September 30, 2015, there were no material changes to our contractual obligations and commitments described under Management’s Discussion and Analysis of Financial Condition and Results of Operations included in our Annual Report Form 10-K for the year ended December 31, 2014, as amended.</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April 29, 2015, we signed a non-cancelable lease agreement for approximately 59,000 square feet to serve as our new South San Francisco headquarters and laboratory facilities. The lease begins in June 2015 and ends in March 2026 and contains extension of lease term and expansion options. In conjunction with this lease, the landlord is providing funding of approximately $3.3 million for tenant improvements. We currently estimate we will invest an additional approximate $3.5 million in our new facility. As of September 30, 2015, we had recorded approximately $1.7 million as a receivable from the landlord. Upon signing the lease, we provided $0.6 million in the form of a letter of credit held as security for the lease. The lease for our current South San Francisco headquarters and laboratory facilities expires on March 31, 2016.</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rent payment obligations under our non-cancelable operating leases as of September 30,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gridSpan w:val="2"/>
          </w:tcPr>
          <w:p>
            <w:pPr>
              <w:ind w:left="660"/>
              <w:spacing w:after="0"/>
              <w:rPr>
                <w:sz w:val="20"/>
                <w:szCs w:val="20"/>
                <w:color w:val="auto"/>
              </w:rPr>
            </w:pPr>
            <w:r>
              <w:rPr>
                <w:rFonts w:ascii="Arial" w:cs="Arial" w:eastAsia="Arial" w:hAnsi="Arial"/>
                <w:sz w:val="14"/>
                <w:szCs w:val="14"/>
                <w:b w:val="1"/>
                <w:bCs w:val="1"/>
                <w:color w:val="auto"/>
              </w:rPr>
              <w:t>Year Ending December 31,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Amounts</w:t>
            </w:r>
          </w:p>
        </w:tc>
        <w:tc>
          <w:tcPr>
            <w:tcW w:w="4420" w:type="dxa"/>
            <w:vAlign w:val="bottom"/>
          </w:tcPr>
          <w:p>
            <w:pPr>
              <w:spacing w:after="0"/>
              <w:rPr>
                <w:sz w:val="14"/>
                <w:szCs w:val="14"/>
                <w:color w:val="auto"/>
              </w:rPr>
            </w:pPr>
          </w:p>
        </w:tc>
      </w:tr>
      <w:tr>
        <w:trPr>
          <w:trHeight w:val="210"/>
        </w:trPr>
        <w:tc>
          <w:tcPr>
            <w:tcW w:w="66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through December 31, 2015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44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14,038</w:t>
            </w:r>
          </w:p>
        </w:tc>
        <w:tc>
          <w:tcPr>
            <w:tcW w:w="44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2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6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Standards Update, or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requiring an entity to recognize the amount of revenue to which it expects to be entitled for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The updated standard will replace most existing revenue recognition guidance in GAAP when it becomes effective and permits the use of either the retrospective or cumulative effect transition method. Adoption is permitted as early as the first quarter of fiscal 2017 and is required for us in the first quarter of fiscal 2018. We have not yet selected a transition method and are currently evaluating the effect that the updated standard may have on our condensed financial statements.</w:t>
      </w:r>
    </w:p>
    <w:p>
      <w:pPr>
        <w:spacing w:after="0" w:line="19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We do not anticipate that the adoption of the ASU will have a material impact on our condensed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We had cash and cash equivalents of $46.1 million as of September 30, 2015 which consisted of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ectPr>
          <w:pgSz w:w="11900" w:h="16908" w:orient="portrait"/>
          <w:cols w:equalWidth="0" w:num="1">
            <w:col w:w="11460"/>
          </w:cols>
          <w:pgMar w:left="240" w:top="125" w:right="199" w:bottom="0" w:gutter="0" w:footer="0" w:header="0"/>
        </w:sectPr>
      </w:pPr>
    </w:p>
    <w:bookmarkStart w:id="27" w:name="page28"/>
    <w:bookmarkEnd w:id="27"/>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September 30, 2015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early-stage company with a history of losses, and we expect to incur net losses for the foreseeable future and may never achieve or sustain profitability.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incurred net losses since our inception. For the nine months ended September 30, 2015 and the year ended December 31, 2014, we had a net loss of $25.7 million and $29.4 million, respectively, and we expect to incur additional losses in 2015 and in future years. As of September 30, 2015, we had an accumulated deficit of $140.7 million. We may never achieve revenue sufficient to offset our expenses. Over the next several years, we expect to continue to devote substantially all of our resources to increase adoption of, and reimbursement for, our Afirma test, as well as our lung cancer test, Percepta, which we launched in April 2015, as well as the development of additional tests we plan to commercialize, including our test for Idiopathic Pulmonary Fibrosis, or IPF. We may never achieve or sustain profitability, and our failure to achieve and sustain profitability in the future could cause the market price of our common stock to decline.</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efforts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and expand reimbursement for Afirma, or successfully commercialize Percepta and develop and commercialize other solutions, our revenue and our ability to achieve and sustain profitability would be impaired, and the market price of our common stock could decline.</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Revenue for tests performed on patients covered by Medicare, UnitedHealthcare and Aetna was 27%, 13% and 9%, respectively, of our revenue for the nine months ended September 30, 2015, compared with 26%, 17% and 11%, respectively, in the nine months ended September 30, 2014.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7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September, the Centers for Medicare and Medicaid Services, or CMS, issued a preliminary rate determination for the 2016 Clinical Lab Fee Schedule, or CLFS, for new CPT codes issued in 2015. We obtained a unique CPT code (81545) for the GEC in 2015. The preliminary 2016 rate determination was issued at $2,152, a 33% reduction from our existing contracted rate of $3,200. If we are unsuccessful in challenging the proposed rate determination, then our revenue in 2016 would be negatively impacted. Approximately 20% of our GEC patients are covered by Medicare. Additionally, commercial payers who tie their reimbursement rates to medicine rates could lower their reimbursement rates. There can be no assurance that we will prevail in our challenge to this preliminary rate.</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Although we have entered into contracts with certain third-party payers which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Physicians may not order our tests unless payers reimburse a substantial portion of the test price. There is significant uncertainty concerning third-party reimbursement of any test incorporating new technology, including the Afirma GEC and Malignancy Classifiers as well as Percepta. Reimbursement by a payer may depend on a number of factors, including a payer’s determination that these tests are:</w:t>
      </w:r>
    </w:p>
    <w:p>
      <w:pPr>
        <w:spacing w:after="0" w:line="181" w:lineRule="exact"/>
        <w:rPr>
          <w:sz w:val="20"/>
          <w:szCs w:val="20"/>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ectPr>
          <w:pgSz w:w="11900" w:h="16874" w:orient="portrait"/>
          <w:cols w:equalWidth="0" w:num="1">
            <w:col w:w="11400"/>
          </w:cols>
          <w:pgMar w:left="240" w:top="337" w:right="259" w:bottom="0" w:gutter="0" w:footer="0" w:header="0"/>
        </w:sectPr>
      </w:pPr>
    </w:p>
    <w:bookmarkStart w:id="28" w:name="page29"/>
    <w:bookmarkEnd w:id="28"/>
    <w:p>
      <w:pPr>
        <w:spacing w:after="0" w:line="32"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 seeking these approvals is a time-consuming and costly process.</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do not have a contracted rate of reimbursement with many payers for Afirma, and we do not have any contracted reimbursement with respect to Percepta.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7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the Afirma test. We believe it takes several years to achieve coverage and contracted reimbursement with a majority of third-party payers. However, we cannot predict whether, under what circumstances, or at what payment levels payers will reimburse for our test. In addition, the Afirma Malignancy Classifiers, launched in May 2014, and Percepta, launched in April 2015, and any other new tests we may develop in the future will require that we expend substantial time and resources in order to obtain reimbursement. Also, payer consolidation is underway and creates uncertainty as to whether coverage and contracts with existing payers will remain in effect. Finally, commercial payers may tie their allowable rates to Medicare rates, and should Medicare reduce their rates,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Afirma.</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are performed at a specialized clinical reference laboratory rather than by a pathologist in a local laboratory, so pathologists may be reluctant to support our services. In addition, guidelines for the diagnosis and treatment of thyroid nodules may subsequently be revised to recommend another type of treatment protocol, and these changes may result in medical practitioners deciding not to use Afirma. These facts may make physicians reluctant to convert to using or continuing to use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recognize a large portion of our revenue upon the earlier of receipt of third-party payer notification of payment or when cash is received. We have little visibility as to when we will receive payment for our diagnostic test, and we must appeal negative payment decisions, which delays collections.We may receive a large number of past payments from a payer all at once which might cause a one-time increase in revenues. For tests performed where we have an agreed upon reimbursement rate or we are able to estimate the amount that will ultimately be realized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realize. We determine the amount we expect to realize based on a per payer, per contract or agreement basis. In the first period in which revenue is accrued for a particular payer, there generally is a one-time increase in revenue. In situations where we cannot estimate the amount that will ultimately be collected, we recognize revenue upon the earlier of receipt of third-party notification of payment or when cash is received. Upon ultimate collection, the amount received from Medicare and other payers where reimbursement was estimated is compared to previous estimates and the contractual allowance is adjusted accordingly. These factors will likely result in fluctuations in our quarterly revenue.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right="200" w:firstLine="648"/>
        <w:spacing w:after="0" w:line="288" w:lineRule="auto"/>
        <w:rPr>
          <w:sz w:val="20"/>
          <w:szCs w:val="20"/>
          <w:color w:val="auto"/>
        </w:rPr>
      </w:pPr>
      <w:r>
        <w:rPr>
          <w:rFonts w:ascii="Arial" w:cs="Arial" w:eastAsia="Arial" w:hAnsi="Arial"/>
          <w:sz w:val="16"/>
          <w:szCs w:val="16"/>
          <w:color w:val="auto"/>
        </w:rPr>
        <w:t>We rely on sole suppliers, such as NuGEN Technologies, Inc., Affymetrix, Inc. and Thermo Fischer Scientific, Inc.,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w:t>
      </w:r>
    </w:p>
    <w:p>
      <w:pPr>
        <w:ind w:right="80"/>
        <w:spacing w:after="0" w:line="295" w:lineRule="auto"/>
        <w:rPr>
          <w:sz w:val="20"/>
          <w:szCs w:val="20"/>
          <w:color w:val="auto"/>
        </w:rPr>
      </w:pPr>
      <w:r>
        <w:rPr>
          <w:rFonts w:ascii="Arial" w:cs="Arial" w:eastAsia="Arial" w:hAnsi="Arial"/>
          <w:sz w:val="16"/>
          <w:szCs w:val="16"/>
          <w:color w:val="auto"/>
        </w:rPr>
        <w:t>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if we cannot obtain acceptable substitute materials, an interruption in test processing could occur and we may not be able to deliver patient reports. Any such interruption may significantly affect our future revenue, cause us to incur</w:t>
      </w:r>
    </w:p>
    <w:p>
      <w:pPr>
        <w:sectPr>
          <w:pgSz w:w="11900" w:h="16870" w:orient="portrait"/>
          <w:cols w:equalWidth="0" w:num="1">
            <w:col w:w="11400"/>
          </w:cols>
          <w:pgMar w:left="240" w:top="341" w:right="259" w:bottom="0" w:gutter="0" w:footer="0" w:header="0"/>
        </w:sectPr>
      </w:pPr>
    </w:p>
    <w:bookmarkStart w:id="29" w:name="page30"/>
    <w:bookmarkEnd w:id="29"/>
    <w:p>
      <w:pPr>
        <w:ind w:right="100"/>
        <w:spacing w:after="0" w:line="264" w:lineRule="auto"/>
        <w:rPr>
          <w:sz w:val="20"/>
          <w:szCs w:val="20"/>
          <w:color w:val="auto"/>
        </w:rPr>
      </w:pPr>
      <w:r>
        <w:rPr>
          <w:rFonts w:ascii="Arial" w:cs="Arial" w:eastAsia="Arial" w:hAnsi="Arial"/>
          <w:sz w:val="18"/>
          <w:szCs w:val="18"/>
          <w:color w:val="auto"/>
        </w:rPr>
        <w:t>higher costs, and harm our customer relationships and reputation. In addition, in order to mitigate these risks, we maintain inventories of these supplies at higher levels than would be the case if multiple sources of supply were available. If our test volume decreases, we may hold excess inventory with expiration dates that occur before use which would adversely affect our losses and cash flow position.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rely on Thyroid Cytopathology Partners, P.A.,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December 31, 2015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right="220"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are unable to support demand for Afirma or any of our future products or solutions, our business could suffer.</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demand for Afirma grows, and as we commercialize new products such as the Percepta test,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laboratory developed tests, or LDTs. Afirma is not currently listed as a medical device with the FDA. We cannot assure you that the tax will not be extended to services such as ours in the future if Afirma or our other tests were to be regulated as a device. The PPACA also mandates a reduction in payments for clinical laboratory services paid under the Medicare Clinical Laboratory Fee Schedule, or CLFS, of 1.75% for the years 2011 through 2015 and a productivity adjustment to the CLFS which affects our cytopathology billings.</w:t>
      </w:r>
    </w:p>
    <w:p>
      <w:pPr>
        <w:spacing w:after="0" w:line="166"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resets the clinical laboratory payment rates on the Medicare CLFS by 2% in 2013. In addition, a further reduction of 2% is anticipated from implementation of the automatic expense reductions (sequester) under the Budget Control Act of 2011, which is legislated to be in effect for dates of service on or after April 1, 2013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6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w:t>
      </w:r>
    </w:p>
    <w:p>
      <w:pPr>
        <w:sectPr>
          <w:pgSz w:w="11900" w:h="16838" w:orient="portrait"/>
          <w:cols w:equalWidth="0" w:num="1">
            <w:col w:w="11420"/>
          </w:cols>
          <w:pgMar w:left="240" w:top="125" w:right="239" w:bottom="0" w:gutter="0" w:footer="0" w:header="0"/>
        </w:sectPr>
      </w:pPr>
    </w:p>
    <w:bookmarkStart w:id="30" w:name="page31"/>
    <w:bookmarkEnd w:id="30"/>
    <w:p>
      <w:pPr>
        <w:spacing w:after="0" w:line="1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2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2013, CMS announced plans to bundle payments for clinical laboratory tests together with other services performed during hospital outpatient visits under the Hospital Outpatient Prospective Payment System. CMS exempted molecular diagnostic tests from this packaging provision at that time.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March 2015, we were issued a unique Category I CPT code for the Afirma GEC test. In September 2015, CMS issued preliminary rates for new CPT codes that become active on the 2016 Clinical Laboratory Fee Schedule, including a preliminary rate determination for Afirma GEC of $2,152, 33% lower than our current rate of $3,200. We have challenged CMS’s methodology in reaching this preliminary determination. A final determination on the methodology is expected before December 1, 2015. We do not know what the final pricing methodology and rate for Afirma for 2016 will be and any reduction from the current rate would have a material adverse effect on business and results of operations.</w:t>
      </w:r>
    </w:p>
    <w:p>
      <w:pPr>
        <w:spacing w:after="0" w:line="17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April 2014, the President signed the Protecting Access to Medicare Act of 2014, or PAMA, which included a substantial new payment system for clinical laboratory tests under the CLFS. Under PAMA, laboratories that receive the majority of their Medicare revenues from payments made under the CLFS would report, beginning January 1, 2016, and then on an every three year basis thereafter (or annually for “advanced diagnostic laboratory tests”), private payer payment rates and volumes for their tests. CMS will use the rates and volumes reported by laboratories to develop Medicare payment rates for the tests equal to the volume-weighted median of the private payer payment rates for the tests. The payment rates calculated under PAMA will be effective starting January 1, 2017. Any reductions to payment rates resulting from the new methodology are limited to 10% per test per year in each of the years 2017 through 2019 and to 15% per test per year in each of 2020 through 2022. CMS has issued draft regulations to implement PAMA and is taking public comments. We believe our Afirma GEC as well as our Percepta test would be considered an advanced diagnostic laboratory test, or ADLT. Further rule-making from CMS will define the time period and data elements evaluated on an annual basis to set reimbursement rates for tests like ours.</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Clinical laboratory tests like our tests are regulated under the Clinical Laboratory Improvement Amendments of 1988, or CLIA, as well as by applicable state laws. Most laboratory developed tests, are not currently subject to FDA regulation, although reagents, instruments, software or components provided by third parties and used to perform LDTs may be subject to regulation. We believe that the Afirma and Percepta tests are LDTs. FDA currently exercises its enforcement discretion for LDTs. In October 2014, the FDA published draft guidance documents describing the framework by which they might regulate LDTs. The framework is similar to the guidance they issued previously. There is no timeframe in which the FDA must issue final guidance documents.</w:t>
      </w:r>
    </w:p>
    <w:p>
      <w:pPr>
        <w:spacing w:after="0" w:line="193"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If the FDA requires us to seek clearance or approval to offer our existing tests or any of our future products for clinical use, we may not be able to obtain such approvals on a timely basis, or at all. If premarket review is required, our business could be negatively impacted if we are required to stop selling our products pending their clearance or approval or the launch of any new products that we develop could be delayed by new requirements. The cost of conducting clinical trials and otherwise developing data and information to support premarket applications may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In addition, we could be subject to a recall or seizure of current or future products, operating restrictions, partial suspension or total shutdown of production. Any such enforcement action would have a material adverse effect on our business, financial condition and operations. In addition, our sample collection containers are classified as Class I medical devices and are listed with the FDA. If the FDA were to determine that they are Class II medical devices, we would be required to file 510(k) applications and obtain FDA clearance to use the containers, which could be time consuming and expensive.</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Some of the materials we use for the Afirma and Percepta tests and that we may use for future products are labeled for research use only. In November 2013, the FDA finalized guidance regarding the sale and use of products labeled for research or investigational use only.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research-use only products. If the FDA were to undertake enforcement actions, some of our suppliers might cease selling research-use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 The same will be true for Percepta.</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w:t>
      </w:r>
    </w:p>
    <w:p>
      <w:pPr>
        <w:sectPr>
          <w:pgSz w:w="11900" w:h="16975" w:orient="portrait"/>
          <w:cols w:equalWidth="0" w:num="1">
            <w:col w:w="11420"/>
          </w:cols>
          <w:pgMar w:left="240" w:top="125" w:right="239" w:bottom="0" w:gutter="0" w:footer="0" w:header="0"/>
        </w:sectPr>
      </w:pPr>
    </w:p>
    <w:bookmarkStart w:id="31" w:name="page32"/>
    <w:bookmarkEnd w:id="31"/>
    <w:p>
      <w:pPr>
        <w:ind w:right="100"/>
        <w:spacing w:after="0" w:line="297" w:lineRule="auto"/>
        <w:rPr>
          <w:sz w:val="20"/>
          <w:szCs w:val="20"/>
          <w:color w:val="auto"/>
        </w:rPr>
      </w:pPr>
      <w:r>
        <w:rPr>
          <w:rFonts w:ascii="Arial" w:cs="Arial" w:eastAsia="Arial" w:hAnsi="Arial"/>
          <w:sz w:val="16"/>
          <w:szCs w:val="16"/>
          <w:color w:val="auto"/>
        </w:rPr>
        <w:t>as Illumina, Inc. and Thermo Fisher Scientific Inc., both of which have announced their intention to enter the clinical diagnostics market. Other potential competitors include companies that develop diagnostic products, such as Roche Diagnostics, a division of Roche Holding Ltd, Siemens AG and Qiagen N.V. We also face competition from companies and academic institutions that use next generation sequencing technology or other methods to measure mutational markers such as BRAF and KRAS along with numerous other mutations. In the future, we may also face competition from companies such as Rosetta Genomics Ltd., Integrated Diagnostics, Inc. and others who are developing new products or technologies that may compete with our tests.</w:t>
      </w:r>
    </w:p>
    <w:p>
      <w:pPr>
        <w:spacing w:after="0" w:line="15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During 2014, we significantly expanded our sales force for Afirma and will continue to do so, to a lesser extent, in 2015. There can be no assurance that they will be successful in maintaining and growing the business. As we plan to further increase our sales channels for new tests such as Percepta, we may have difficulties locating and recruiting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In addition,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Additionally, growth requires us to expand and move our South San Francisco operations, and we have leased a new facility beginning in June 2015. The move to the new laboratory facility in South San Francisco will require us to notify appropriate regulatory agencies, which may result in an inspection or audit of the new facility. This move of our offices and laboratory could disrupt our business and will require the investment of resources. If we are unable to manage our growth effectively, it may be difficult for us to execute our business strategy and our business could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ectPr>
          <w:pgSz w:w="11900" w:h="16838" w:orient="portrait"/>
          <w:cols w:equalWidth="0" w:num="1">
            <w:col w:w="11420"/>
          </w:cols>
          <w:pgMar w:left="240" w:top="125" w:right="239" w:bottom="0" w:gutter="0" w:footer="0" w:header="0"/>
        </w:sectPr>
      </w:pPr>
    </w:p>
    <w:bookmarkStart w:id="32" w:name="page33"/>
    <w:bookmarkEnd w:id="32"/>
    <w:p>
      <w:pPr>
        <w:spacing w:after="0" w:line="94"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there can be no assurance that payers will recognize these codes in a timely manner or that the process to transitioning to such a code will not result in errors or delays in payments. We obtained a specific CPT code for the GEC which was published by the American Medical Association in early 2015. The code is expected to become effective January 1, 2016. There can be no assurance that we or our customers who bill will not face issues as the new code is utilized, which could have an adverse effect on our collection rates, revenue, and cost of collecting.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As we introduce new tests, such as Percepta, we will need to add new codes to our billing process as well as our financial reporting systems. Failure or delays in effecting these changes in external billing and internal systems and processes could negatively affect our revenue and cash flow.</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October 2015, CMS replaced the ICD-9 code set with the ICD-10 code set. The transition requires ordering physicians to submit ICD-10 codes along with their requisitions for our tests with FNA samples. If physicians do not send proper coding with requisitions, electronic billing systems are not prepared for the transition, or payers have not upgraded their systems to appropriately pay claims with the new codes, we may experience delays in collecting payments, which would impact our revenue recognized on a cash basis, and our cash position.</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third-party to transmit claims to payers, and any delay in transmitting claims could have an adverse effect on our revenue.</w:t>
      </w:r>
    </w:p>
    <w:p>
      <w:pPr>
        <w:spacing w:after="0" w:line="2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relationship with Genzyme to co-promote Afirma may have a significant effect on our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sell Afirma in the United States through our internal sales team and through our Amended and Restated U.S. Co-promotion Agreement with Genzyme Corporation, or the Amended Agreement. Under the Amended Agreement, we are required to pay Genzyme a co-promotion fee that is equal to a percentage of our cash receipts from the sale of the Afirma GEC test. The percentage is currently set at 15% beginning on January 1, 2015. Our agreement with Genzyme expires in 2027. We have also granted Genzyme a right of first offer to co-promote any future thyroid cancer product that we commercialize. If Genzyme does not commit the necessary resources to market and sell the Afirma GEC test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had previously agreed to co-promote with Genzyme.</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February 2015, we entered into an Ex-U.S. Co-promotion Agreement with Genzyme for the promotion of the Afirma GEC test with exclusivity in five countries outside the United States initially and in other countries agreed to from time to time. The term of the agreement is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We will pay Genzyme 25% of net revenue from the sale of the Afirma GEC test in Brazil and Singapore over a five-year period commencing January 1, 2015. Beginning in the fourth year of the agreement, if we terminate the agreement for convenience, we may be required to pay a termination fee contingent on the number of GEC billable results generated outside the United States. If Genzyme does not commit the necessary resources to market and sell the Afirma GEC test outside</w:t>
      </w:r>
    </w:p>
    <w:p>
      <w:pPr>
        <w:sectPr>
          <w:pgSz w:w="11900" w:h="16932" w:orient="portrait"/>
          <w:cols w:equalWidth="0" w:num="1">
            <w:col w:w="11420"/>
          </w:cols>
          <w:pgMar w:left="240" w:top="341" w:right="239" w:bottom="0" w:gutter="0" w:footer="0" w:header="0"/>
        </w:sectPr>
      </w:pPr>
    </w:p>
    <w:bookmarkStart w:id="33" w:name="page34"/>
    <w:bookmarkEnd w:id="33"/>
    <w:p>
      <w:pPr>
        <w:ind w:right="360"/>
        <w:spacing w:after="0" w:line="277" w:lineRule="auto"/>
        <w:rPr>
          <w:sz w:val="20"/>
          <w:szCs w:val="20"/>
          <w:color w:val="auto"/>
        </w:rPr>
      </w:pPr>
      <w:r>
        <w:rPr>
          <w:rFonts w:ascii="Arial" w:cs="Arial" w:eastAsia="Arial" w:hAnsi="Arial"/>
          <w:sz w:val="18"/>
          <w:szCs w:val="18"/>
          <w:color w:val="auto"/>
        </w:rPr>
        <w:t>the United States to the level of our expectations, or if they terminate the agreement, we may not realize the benefits of this relationship and our ability to generate revenue in the future may be harmed.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have recently launched the Percepta test and are in the process of developing a test for interstitial lung disease, specifically IPF. We still must complete clinical utility studies of Percepta in order to obtain reimbursement, which studies are currently underway. Our product for interstitial lung diseases may not be fully developed and introduced as planned in 2016.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acquired Allegro Diagnostics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our acquisition of Allegro or any businesses we may acquire in the future.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ectPr>
          <w:pgSz w:w="11900" w:h="16838" w:orient="portrait"/>
          <w:cols w:equalWidth="0" w:num="1">
            <w:col w:w="11400"/>
          </w:cols>
          <w:pgMar w:left="240" w:top="125" w:right="259" w:bottom="63" w:gutter="0" w:footer="0" w:header="0"/>
        </w:sectPr>
      </w:pPr>
    </w:p>
    <w:bookmarkStart w:id="34" w:name="page35"/>
    <w:bookmarkEnd w:id="34"/>
    <w:p>
      <w:pPr>
        <w:ind w:right="74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When we relocate our South San Francisco CLIA laboratory to our new building, we will be subject to additional inspections or audits by regulatory agencies, in New York or California, and CMS. If we relocate our Texas facilities, we could be required to undergo certification at our new facility in order to offer our tests.</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also required to maintain state licenses to conduct testing in our laboratories. California, New York, Texas, among other states’ laws, require that we maintain a license and establish standards for the day-to-day operation of our clinical reference laboratories, including the training and skills required of personnel and quality control matters. In addition, both of our clinical reference laboratories are required to be licensed on a test-specific basis by New York State. We have received approval for the Afirma tests we currently offer, but will need to obtain approval for the Percepta test and any other tests we may offer in the future. New York law also mandates proficiency testing for laboratories licensed under New York state law, regardless of whether such laboratories are located in New York. Several other states require that we hold licenses to test samples from patients in those states. Other states may have similar requirements or may adopt similar requirements in the future. 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Finally, we may be subject to regulation in foreign jurisdictions as we pursue offering our tests internationally. Other limitations, such as prohibitions on the import of tissue necessary for us to perform our tests or restrictions on the export of tissue imposed by countries outside of the United States may constrain our ability to offer tests internationally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PPACA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5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ind w:left="980" w:right="140" w:hanging="324"/>
        <w:spacing w:after="0" w:line="276"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 care program;</w:t>
      </w:r>
    </w:p>
    <w:p>
      <w:pPr>
        <w:spacing w:after="0" w:line="181" w:lineRule="exact"/>
        <w:rPr>
          <w:rFonts w:ascii="Arial" w:cs="Arial" w:eastAsia="Arial" w:hAnsi="Arial"/>
          <w:sz w:val="18"/>
          <w:szCs w:val="18"/>
          <w:color w:val="auto"/>
        </w:rPr>
      </w:pPr>
    </w:p>
    <w:p>
      <w:pPr>
        <w:ind w:left="980" w:right="80" w:hanging="324"/>
        <w:spacing w:after="0" w:line="259"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980" w:right="180" w:hanging="324"/>
        <w:spacing w:after="0" w:line="286"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right="46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jc w:val="both"/>
        <w:ind w:left="980" w:right="240" w:hanging="324"/>
        <w:spacing w:after="0" w:line="264"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ectPr>
          <w:pgSz w:w="11900" w:h="16838" w:orient="portrait"/>
          <w:cols w:equalWidth="0" w:num="1">
            <w:col w:w="11420"/>
          </w:cols>
          <w:pgMar w:left="240" w:top="125" w:right="239" w:bottom="0" w:gutter="0" w:footer="0" w:header="0"/>
        </w:sectPr>
      </w:pPr>
    </w:p>
    <w:bookmarkStart w:id="35" w:name="page36"/>
    <w:bookmarkEnd w:id="35"/>
    <w:p>
      <w:pPr>
        <w:spacing w:after="0" w:line="103" w:lineRule="exact"/>
        <w:rPr>
          <w:sz w:val="20"/>
          <w:szCs w:val="20"/>
          <w:color w:val="auto"/>
        </w:rPr>
      </w:pPr>
    </w:p>
    <w:p>
      <w:pPr>
        <w:ind w:left="980" w:right="1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jc w:val="both"/>
        <w:ind w:left="980" w:right="60" w:hanging="324"/>
        <w:spacing w:after="0" w:line="264"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81" w:lineRule="exact"/>
        <w:rPr>
          <w:sz w:val="20"/>
          <w:szCs w:val="20"/>
          <w:color w:val="auto"/>
        </w:rPr>
      </w:pPr>
    </w:p>
    <w:p>
      <w:pPr>
        <w:ind w:left="980" w:right="6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 in various countries;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right="40" w:hanging="324"/>
        <w:spacing w:after="0" w:line="308" w:lineRule="auto"/>
        <w:tabs>
          <w:tab w:leader="none" w:pos="944"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w:t>
      </w:r>
    </w:p>
    <w:p>
      <w:pPr>
        <w:sectPr>
          <w:pgSz w:w="11900" w:h="16941" w:orient="portrait"/>
          <w:cols w:equalWidth="0" w:num="1">
            <w:col w:w="11420"/>
          </w:cols>
          <w:pgMar w:left="240" w:top="125" w:right="239" w:bottom="0" w:gutter="0" w:footer="0" w:header="0"/>
        </w:sectPr>
      </w:pPr>
    </w:p>
    <w:bookmarkStart w:id="36" w:name="page37"/>
    <w:bookmarkEnd w:id="36"/>
    <w:p>
      <w:pPr>
        <w:spacing w:after="0" w:line="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different nodule than the one that is malignant or failure of the GEC to perform as intended. We may also be subject to similar types of claims related to our Afirma Malignancy Classifiers and Percepta,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perform all of the Afirma GEC testing at our laboratory in South San Francisco, California. Our laboratory in Austin, Texas accepts and stores substantially all FNA samples pending transfer to our California laboratory for Afirma GEC processing. We have commenced Percepta testing in our South San Francisco laboratory as well.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72"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w:t>
      </w:r>
    </w:p>
    <w:p>
      <w:pPr>
        <w:sectPr>
          <w:pgSz w:w="11900" w:h="16877" w:orient="portrait"/>
          <w:cols w:equalWidth="0" w:num="1">
            <w:col w:w="11420"/>
          </w:cols>
          <w:pgMar w:left="240" w:top="125" w:right="239" w:bottom="0" w:gutter="0" w:footer="0" w:header="0"/>
        </w:sectPr>
      </w:pPr>
    </w:p>
    <w:bookmarkStart w:id="37" w:name="page38"/>
    <w:bookmarkEnd w:id="37"/>
    <w:p>
      <w:pPr>
        <w:spacing w:after="0" w:line="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eight issued patents that expire between 2029 and 2032 related to methods used in the Afirma diagnostic platform, in addition to eight pending U.S. utility patent applications and six U.S. provisional applications. Some of these U.S. utility patent applications have pending foreign counterparts. We also exclusively licensed intellectual property, including rights to one issued patent that will expire in 2031 and four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We also own two applications related to other lung diseases, and a pending U.S. application, one ex-U.S. applications, and two provisional U.S. applications related to our interstitial lung disease test under development. Any patents granted from the current lung cancer patent applications will expire no earlier than 2035 and those from the interstitial lung disease patent applications will expire no earlier than from 2034 to 2035.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39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71" w:lineRule="exact"/>
        <w:rPr>
          <w:sz w:val="20"/>
          <w:szCs w:val="20"/>
          <w:color w:val="auto"/>
        </w:rPr>
      </w:pPr>
    </w:p>
    <w:p>
      <w:pPr>
        <w:ind w:right="80" w:firstLine="654"/>
        <w:spacing w:after="0" w:line="291" w:lineRule="auto"/>
        <w:rPr>
          <w:sz w:val="20"/>
          <w:szCs w:val="20"/>
          <w:color w:val="auto"/>
        </w:rPr>
      </w:pPr>
      <w:r>
        <w:rPr>
          <w:rFonts w:ascii="Arial" w:cs="Arial" w:eastAsia="Arial" w:hAnsi="Arial"/>
          <w:sz w:val="16"/>
          <w:szCs w:val="16"/>
          <w:color w:val="auto"/>
        </w:rPr>
        <w:t>In particular, the patent positions of companies engaged in the development and commercialization of genomic diagnostic tests, like the Afirma GEC, Malignancy Classifiers and Percepta,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6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w:t>
      </w:r>
    </w:p>
    <w:p>
      <w:pPr>
        <w:sectPr>
          <w:pgSz w:w="11900" w:h="16908" w:orient="portrait"/>
          <w:cols w:equalWidth="0" w:num="1">
            <w:col w:w="11420"/>
          </w:cols>
          <w:pgMar w:left="240" w:top="125" w:right="239" w:bottom="0" w:gutter="0" w:footer="0" w:header="0"/>
        </w:sectPr>
      </w:pPr>
    </w:p>
    <w:bookmarkStart w:id="38" w:name="page39"/>
    <w:bookmarkEnd w:id="38"/>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proprietary products, methods and technologies that are patentable.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not registered certain of our trademarks, including Afirma and Percepta,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w:t>
      </w:r>
    </w:p>
    <w:p>
      <w:pPr>
        <w:sectPr>
          <w:pgSz w:w="11900" w:h="16934" w:orient="portrait"/>
          <w:cols w:equalWidth="0" w:num="1">
            <w:col w:w="11420"/>
          </w:cols>
          <w:pgMar w:left="240" w:top="125" w:right="239" w:bottom="0" w:gutter="0" w:footer="0" w:header="0"/>
        </w:sectPr>
      </w:pPr>
    </w:p>
    <w:bookmarkStart w:id="39" w:name="page40"/>
    <w:bookmarkEnd w:id="39"/>
    <w:p>
      <w:pPr>
        <w:spacing w:after="0" w:line="2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7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the annual report for the year ending December 31, 2014, as amended,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w:t>
      </w:r>
    </w:p>
    <w:p>
      <w:pPr>
        <w:sectPr>
          <w:pgSz w:w="11900" w:h="16865" w:orient="portrait"/>
          <w:cols w:equalWidth="0" w:num="1">
            <w:col w:w="11420"/>
          </w:cols>
          <w:pgMar w:left="240" w:top="125" w:right="239" w:bottom="0" w:gutter="0" w:footer="0" w:header="0"/>
        </w:sectPr>
      </w:pPr>
    </w:p>
    <w:bookmarkStart w:id="40" w:name="page41"/>
    <w:bookmarkEnd w:id="40"/>
    <w:p>
      <w:pPr>
        <w:ind w:right="160"/>
        <w:spacing w:after="0" w:line="342" w:lineRule="auto"/>
        <w:rPr>
          <w:sz w:val="20"/>
          <w:szCs w:val="20"/>
          <w:color w:val="auto"/>
        </w:rPr>
      </w:pPr>
      <w:r>
        <w:rPr>
          <w:rFonts w:ascii="Arial" w:cs="Arial" w:eastAsia="Arial" w:hAnsi="Arial"/>
          <w:sz w:val="16"/>
          <w:szCs w:val="16"/>
          <w:color w:val="auto"/>
        </w:rPr>
        <w:t>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Prior to our initial public offering in October 2013, there was no public market for our common stock, and an active and liquid public market for our stock may not develop or be sustained. In addition, the trading price of our common stock is likely to continue to be highly volatile and could be subject to wide fluctuations in response to various factors, some of which are beyond our control. These factors include:</w:t>
      </w:r>
    </w:p>
    <w:p>
      <w:pPr>
        <w:spacing w:after="0" w:line="181"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for some period of time following our initial public offering, especially if substantial investors sell large blocks of stock, particularly if the trading volume in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October 29, 2015, directors and executive officers and their affiliates beneficially owned, in the aggregate, 38%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right="1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ectPr>
          <w:pgSz w:w="11900" w:h="16838" w:orient="portrait"/>
          <w:cols w:equalWidth="0" w:num="1">
            <w:col w:w="11420"/>
          </w:cols>
          <w:pgMar w:left="240" w:top="125" w:right="239" w:bottom="0" w:gutter="0" w:footer="0" w:header="0"/>
        </w:sectPr>
      </w:pPr>
    </w:p>
    <w:bookmarkStart w:id="41" w:name="page42"/>
    <w:bookmarkEnd w:id="41"/>
    <w:p>
      <w:pPr>
        <w:ind w:left="980" w:right="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59"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8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p>
      <w:pPr>
        <w:ind w:left="5740"/>
        <w:spacing w:after="0"/>
        <w:tabs>
          <w:tab w:leader="none" w:pos="6200" w:val="left"/>
        </w:tabs>
        <w:rPr>
          <w:sz w:val="20"/>
          <w:szCs w:val="20"/>
          <w:color w:val="auto"/>
        </w:rPr>
      </w:pPr>
      <w:r>
        <w:rPr>
          <w:rFonts w:ascii="Arial" w:cs="Arial" w:eastAsia="Arial" w:hAnsi="Arial"/>
          <w:sz w:val="18"/>
          <w:szCs w:val="18"/>
          <w:color w:val="auto"/>
        </w:rPr>
        <w:t>By:</w:t>
        <w:tab/>
        <w:t>/s/ Shelly D. Guyer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Principal Executive Officer’s Certification Pursuant to Section 302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Officer’s Certification Pursuant to Section 302 of the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32.2**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18 U.S.C. § 1350 (Section 906 of Sarbanes-Oxley Act of 2002).</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59" w:lineRule="auto"/>
        <w:tabs>
          <w:tab w:leader="none" w:pos="2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Anderson, certify that:</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Shelly Guyer, certify that:</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60" w:firstLine="656"/>
        <w:spacing w:after="0" w:line="264"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60" w:firstLine="645"/>
        <w:spacing w:after="0" w:line="286" w:lineRule="auto"/>
        <w:tabs>
          <w:tab w:leader="none" w:pos="1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firstLine="645"/>
        <w:spacing w:after="0" w:line="342" w:lineRule="auto"/>
        <w:tabs>
          <w:tab w:leader="none" w:pos="1961"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20" w:firstLine="645"/>
        <w:spacing w:after="0" w:line="264" w:lineRule="auto"/>
        <w:tabs>
          <w:tab w:leader="none" w:pos="19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540" w:firstLine="656"/>
        <w:spacing w:after="0" w:line="342" w:lineRule="auto"/>
        <w:tabs>
          <w:tab w:leader="none" w:pos="12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660" w:right="260" w:firstLine="645"/>
        <w:spacing w:after="0" w:line="308" w:lineRule="auto"/>
        <w:tabs>
          <w:tab w:leader="none" w:pos="1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5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2015,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Shelly D. Guyer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2019-12-29T14:49:52Z</dcterms:created>
  <dcterms:modified xsi:type="dcterms:W3CDTF">2019-12-29T14:49:52Z</dcterms:modified>
</cp:coreProperties>
</file>