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6"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35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ectPr>
          <w:pgSz w:w="11900" w:h="16838" w:orient="portrait"/>
          <w:cols w:equalWidth="0" w:num="1">
            <w:col w:w="10099"/>
          </w:cols>
          <w:pgMar w:left="360" w:top="508" w:right="1440"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0"/>
          <w:szCs w:val="20"/>
          <w:color w:val="auto"/>
        </w:rPr>
      </w:pPr>
    </w:p>
    <w:p>
      <w:pPr>
        <w:ind w:left="460" w:hanging="45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460" w:hanging="45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020" w:right="140" w:hanging="551"/>
        <w:spacing w:after="0" w:line="223" w:lineRule="exact"/>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4"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460" w:hanging="45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460" w:hanging="450"/>
        <w:spacing w:after="0" w:line="29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980"/>
          </w:cols>
          <w:pgMar w:left="360" w:top="526"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on Wednesday, June 6, 2018, at 10:00 a.m., Pacific Daylight Time, at 6000 Shoreline Court, 3rd Floor, South San Francisco, California 94080.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to be acted upon are described in the accompanying Notice of Annual Meeting and Proxy Statement.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After reading the Proxy Statement, please vote promptly to ensure that your shares will be represented.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please vote by telephone or the internet, or sign and return a proxy card to ensure your representation at the meeting. Your vote is important.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200" w:lineRule="exact"/>
        <w:rPr>
          <w:sz w:val="20"/>
          <w:szCs w:val="20"/>
          <w:color w:val="auto"/>
        </w:rPr>
      </w:pPr>
    </w:p>
    <w:p>
      <w:pPr>
        <w:spacing w:after="0" w:line="30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143510</wp:posOffset>
            </wp:positionV>
            <wp:extent cx="125222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Wednesday, June 6, 2018</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Annual Meeting of Stockholders of Veracyte, Inc., a Delaware corporation (the “Company”), will be held at 6000 Shoreline Court, 3rd Floor, South San Francisco, California 94080, on Wednesday, June 6, 2018, at 10:00 a.m., Pacific Time, for the following purposes:</w:t>
      </w:r>
    </w:p>
    <w:p>
      <w:pPr>
        <w:spacing w:after="0" w:line="170"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 directors to serve until the 2021 Annual Meeting of Stockholders or until their successors are duly elected and qualified;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2018;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as of the close of business on April 9, 2018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in person. You may vote on the internet, by telephone or by mailing the enclosed proxy card or voting instruction form. Please review the instructions on page 2 of the Proxy Statement and your proxy card or voting instruction form regarding each of these voting options.</w:t>
      </w:r>
    </w:p>
    <w:p>
      <w:pPr>
        <w:spacing w:after="0" w:line="33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117475</wp:posOffset>
            </wp:positionV>
            <wp:extent cx="969010"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90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2018</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6,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https://materials.proxyvote.com.</w:t>
      </w:r>
    </w:p>
    <w:p>
      <w:pPr>
        <w:sectPr>
          <w:pgSz w:w="11900" w:h="16838" w:orient="portrait"/>
          <w:cols w:equalWidth="0" w:num="1">
            <w:col w:w="11420"/>
          </w:cols>
          <w:pgMar w:left="240" w:top="873"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FOR 2018 ANNUAL MEETING OF STOCKHOLDERS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10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27"/>
        </w:trPr>
        <w:tc>
          <w:tcPr>
            <w:tcW w:w="10240" w:type="dxa"/>
            <w:vAlign w:val="bottom"/>
            <w:vMerge w:val="restart"/>
          </w:tcPr>
          <w:p>
            <w:pPr>
              <w:spacing w:after="0"/>
              <w:rPr>
                <w:sz w:val="20"/>
                <w:szCs w:val="20"/>
                <w:color w:val="auto"/>
              </w:rPr>
            </w:pPr>
            <w:r>
              <w:rPr>
                <w:rFonts w:ascii="Arial" w:cs="Arial" w:eastAsia="Arial" w:hAnsi="Arial"/>
                <w:sz w:val="18"/>
                <w:szCs w:val="18"/>
                <w:b w:val="1"/>
                <w:bCs w:val="1"/>
                <w:color w:val="auto"/>
              </w:rPr>
              <w:t>GENERAL INFORMATION</w:t>
            </w: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240" w:type="dxa"/>
            <w:vAlign w:val="bottom"/>
            <w:vMerge w:val="continue"/>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Information about Solicitation and Voting</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Questions and Answers about the Proxy Materials and the Annual Meeting</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Directors and Nominees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 Nominations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 Qualifications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Director Independence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Compensation Committee Interlocks and Insider Participation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Board Meetings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Board Committees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Corporate Governance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Certain Relationships and Related Transactions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Related Party Transaction Approval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2017 Director Compensation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Summary Compensation Table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2017 Outstanding Equity Awards at Fiscal Year-End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Equity Compensation Plan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Independent Registered Public Accounting Firm Fees and Services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Pre-approval Policies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Required Vote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Section 16(A) Beneficial Ownership Reporting Compliance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Stockholder Proposals for the 2019 Annual Meeting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0240" w:type="dxa"/>
            <w:vAlign w:val="bottom"/>
          </w:tcPr>
          <w:p>
            <w:pPr>
              <w:ind w:left="480"/>
              <w:spacing w:after="0"/>
              <w:rPr>
                <w:sz w:val="20"/>
                <w:szCs w:val="20"/>
                <w:color w:val="auto"/>
              </w:rPr>
            </w:pPr>
            <w:r>
              <w:rPr>
                <w:rFonts w:ascii="Arial" w:cs="Arial" w:eastAsia="Arial" w:hAnsi="Arial"/>
                <w:sz w:val="18"/>
                <w:szCs w:val="18"/>
                <w:color w:val="auto"/>
              </w:rPr>
              <w:t>"Householding" - Stockholders Sharing the Same Last Name and Address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("Proxy Statement") is furnished in connection with the solicitation by the Board of Directors of Veracyte, Inc., a Delaware corporation (“we,” “us,” “our,” “Veracyte” or the “Company”), of proxies in the accompanying form to be used at the Annual Meeting of Stockholders of the Company to be held at 6000 Shoreline Court, 3rd Floor, South San Francisco, California 94080, on Wednesday, June 6, 2018, at 10:00 a.m., Pacific Time, and any postponement or adjournment thereof (the “Annual Meeting”).</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Notice of Internet Availability of Proxy Materials and this proxy statement for the Annual Meeting and the accompanying form of proxy were first distributed and made available on the Internet to stockholders on or about April 19, 2018. Our annual report on Form 10-K for the year ended December 31, 2017 (the “Annual Report”) is available with this Proxy Statement by following the instructions in the Notice of Internet Availability of Proxy Materials.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proposals will be voted on at the Annual Meeting:</w:t>
      </w:r>
    </w:p>
    <w:p>
      <w:pPr>
        <w:spacing w:after="0" w:line="252" w:lineRule="exact"/>
        <w:rPr>
          <w:sz w:val="20"/>
          <w:szCs w:val="20"/>
          <w:color w:val="auto"/>
        </w:rPr>
      </w:pPr>
    </w:p>
    <w:p>
      <w:pPr>
        <w:ind w:left="1620" w:firstLine="9"/>
        <w:spacing w:after="0" w:line="324"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 directors to serve until the 2021 Annual Meeting or until their successors are duly elected and qualified; and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2018.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election of each of the nominated Class II directors; and</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“FOR” ratification of the appointment of Ernst &amp; Young LLP as our independent registered public accounting firm for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of record at the close of business on April 9, 2018 (the “Record Date”) may vote at the Annual Meeting. Each stockholder is entitled to one vote for each share of our common stock held as of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As a stockholder of record, you may vote at the Annual Meeting or vote by telephone, by Internet, or by filling out and returning the proxy card.</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Beneficial Owner. </w:t>
      </w:r>
      <w:r>
        <w:rPr>
          <w:rFonts w:ascii="Arial" w:cs="Arial" w:eastAsia="Arial" w:hAnsi="Arial"/>
          <w:sz w:val="17"/>
          <w:szCs w:val="17"/>
          <w:color w:val="auto"/>
        </w:rPr>
        <w:t>If your shares are held in a brokerage account or by a bank or other nominee, you are considered the “beneficial owner”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Stockholders of record may submit proxies by completing, signing and dating each proxy card received and returning it in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Sign your name exactly as it appears on the proxy. If you return your signed proxy but do not indicate your voting preferences, your shares will be voted on your behalf “FOR” the election of the nominees for Class II director and “FOR” the ratification of the independent registered public accounting firm for 2018.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spacing w:after="0" w:line="187" w:lineRule="exact"/>
        <w:rPr>
          <w:rFonts w:ascii="Arial" w:cs="Arial" w:eastAsia="Arial" w:hAnsi="Arial"/>
          <w:sz w:val="18"/>
          <w:szCs w:val="18"/>
          <w:b w:val="1"/>
          <w:bCs w:val="1"/>
          <w:color w:val="auto"/>
        </w:rPr>
      </w:pPr>
    </w:p>
    <w:p>
      <w:pPr>
        <w:jc w:val="both"/>
        <w:ind w:left="660" w:hanging="328"/>
        <w:spacing w:after="0" w:line="27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Stockholders of record may submit proxies by following the telephone voting instructions on their proxy cards. Most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spacing w:after="0" w:line="168" w:lineRule="exact"/>
        <w:rPr>
          <w:rFonts w:ascii="Arial" w:cs="Arial" w:eastAsia="Arial" w:hAnsi="Arial"/>
          <w:sz w:val="17"/>
          <w:szCs w:val="17"/>
          <w:b w:val="1"/>
          <w:bCs w:val="1"/>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Stockholders of record may submit proxies by following the internet voting instructions on their proxy cards. Most stockholders who</w:t>
      </w:r>
      <w:r>
        <w:rPr>
          <w:rFonts w:ascii="Arial" w:cs="Arial" w:eastAsia="Arial" w:hAnsi="Arial"/>
          <w:sz w:val="18"/>
          <w:szCs w:val="18"/>
          <w:b w:val="1"/>
          <w:bCs w:val="1"/>
          <w:color w:val="auto"/>
        </w:rPr>
        <w:t xml:space="preserve"> </w:t>
      </w:r>
      <w:r>
        <w:rPr>
          <w:rFonts w:ascii="Arial" w:cs="Arial" w:eastAsia="Arial" w:hAnsi="Arial"/>
          <w:sz w:val="18"/>
          <w:szCs w:val="18"/>
          <w:color w:val="auto"/>
        </w:rPr>
        <w:t>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spacing w:after="0" w:line="183" w:lineRule="exact"/>
        <w:rPr>
          <w:rFonts w:ascii="Arial" w:cs="Arial" w:eastAsia="Arial" w:hAnsi="Arial"/>
          <w:sz w:val="18"/>
          <w:szCs w:val="18"/>
          <w:b w:val="1"/>
          <w:bCs w:val="1"/>
          <w:color w:val="auto"/>
        </w:rPr>
      </w:pPr>
    </w:p>
    <w:p>
      <w:pPr>
        <w:jc w:val="both"/>
        <w:ind w:left="660" w:hanging="328"/>
        <w:spacing w:after="0" w:line="303"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Person at the Annual Meeting </w:t>
      </w:r>
      <w:r>
        <w:rPr>
          <w:rFonts w:ascii="Arial" w:cs="Arial" w:eastAsia="Arial" w:hAnsi="Arial"/>
          <w:sz w:val="16"/>
          <w:szCs w:val="16"/>
          <w:color w:val="auto"/>
        </w:rPr>
        <w:t>- Shares held in your name as the stockholder of record may be voted at the Annual Meeting. Shares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 submit your proxy or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instructions or vote by telephone or the internet so that your vote will be counted if you later decide not to attend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You may change your vote or revoke your proxy at any time prior to the vote at the Annual Meeting. If you are a stockholder of record and submitted your proxy by mail, you must file with the Secretary of the Company a written notice of revocation or deliver, prior to the vote at the Annual Meeting, a valid, later</w:t>
      </w:r>
      <w:r>
        <w:rPr>
          <w:rFonts w:ascii="MS PGothic" w:cs="MS PGothic" w:eastAsia="MS PGothic" w:hAnsi="MS PGothic"/>
          <w:sz w:val="17"/>
          <w:szCs w:val="17"/>
          <w:color w:val="auto"/>
        </w:rPr>
        <w:t>‑</w:t>
      </w:r>
      <w:r>
        <w:rPr>
          <w:rFonts w:ascii="Arial" w:cs="Arial" w:eastAsia="Arial" w:hAnsi="Arial"/>
          <w:sz w:val="17"/>
          <w:szCs w:val="17"/>
          <w:color w:val="auto"/>
        </w:rPr>
        <w:t>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election of directors, you may vote “FOR” all of the Class II nominees or your vote may be “WITHHELD” with respect to one or more of the nominees. For Proposal 2, the appointment of Ernst &amp; Young LLP as our independent registered public accounting firm for 2018, you may vote “FOR,” vote “AGAINST” or “ABSTAIN.” An abstention has the same effect as a vote “AGAINST” the proposal.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II nominees to the board of directors and “FOR” the ratification of Ernst &amp; Young LLP as our independent registered public accounting firm for 2018, and in the discretion of the proxy holders on any other matters that may properly come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Proposal 1, the election of directors, the three persons receiving the highest number of “FOR” votes at the Annual Meeting will be elected.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Proposal 2 requires the affirmative “FOR” vote of the holders of a majority of the shares present at the Annual Meeting in person or by proxy and entitled to vote. Abstentions have the same effect as votes “AGAINST” this proposal.</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Broker non-votes occur when shares held by a broker for a beneficial owner are not voted either because (i) the broker did not receive voting instructions from the beneficial owner, or (ii) the broker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2018, is considered a routine matter. The election of directors is a non-routine matter. Broker non-votes are counted for purposes of determining whether a quorum is present, but have no effect on the outcome of the matters voted upon. Accordingly, we encourage you to provide voting instructions to your broker, whether or not you plan to attend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at the Annual Meeting, in person or by proxy, of the holders of a majority of the shares of common stock outstanding on the Record Date will constitute a quorum. As of the close of business on the Record Date, there were 34,346,004 shares of our common stock outstanding. Both abstentions and broker non-votes are counted for the purpose of determining the presence of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number of directors is currently set at nine. Our board of directors is divided into three classes, each serving staggered, three-year terms:</w:t>
      </w:r>
    </w:p>
    <w:p>
      <w:pPr>
        <w:spacing w:after="0" w:line="225"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 of stockholders to be held in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II directors are John L. Bishop, Fred E. Cohen, M.D., D.Phil. and Tina S. Nova, Ph.D. and their terms will expire at the Annual Meeting;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III directors are Karin Eastham, Kevin K. Gordon and Jesse I. Treu, Ph.D. and their terms will expire at the annual meeting of stockholders to be held in 2019.</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Three Class II directors will be elected at the Annual Meeting to serve until the annual meeting of stockholders to be held in 2021 or until their successors are duly elected and qualified, with the other classes of directors continuing to serve for the remainder of their respective terms. The three nominees receiving the highest number of affirmative votes will be elected as Class II directors. The nominating and corporate governance committee of the board of directors has recommended, and the board of directors has designated, John L. Bishop, Fred E. Cohen, M.D., D.Phil. and Tina S. Nova, Ph.D. as the nominees for Class II directors to serve until the 2021 annual meeting of stockholders.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Names of the Class II nominees and the other members of the board of directors and certain biographical information as of April 19, 2018 are set forth below:</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Age</w:t>
            </w:r>
          </w:p>
        </w:tc>
        <w:tc>
          <w:tcPr>
            <w:tcW w:w="488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Position with the Company</w:t>
            </w:r>
          </w:p>
        </w:tc>
        <w:tc>
          <w:tcPr>
            <w:tcW w:w="2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Director Since</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4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4880" w:type="dxa"/>
            <w:vAlign w:val="bottom"/>
          </w:tcPr>
          <w:p>
            <w:pPr>
              <w:ind w:left="60"/>
              <w:spacing w:after="0"/>
              <w:rPr>
                <w:sz w:val="20"/>
                <w:szCs w:val="20"/>
                <w:color w:val="auto"/>
              </w:rPr>
            </w:pPr>
            <w:r>
              <w:rPr>
                <w:rFonts w:ascii="Arial" w:cs="Arial" w:eastAsia="Arial" w:hAnsi="Arial"/>
                <w:sz w:val="18"/>
                <w:szCs w:val="18"/>
                <w:color w:val="auto"/>
              </w:rPr>
              <w:t>Lead Independent 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2014</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Fred E. Cohen, M.D., D.Phil.</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2007</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2012</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Robert S. Epstein, M.D., M.S.</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2016</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Tina S. Nova, Ph.D.</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Jesse I. Treu, Ph.D.</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2010</w:t>
            </w:r>
          </w:p>
        </w:tc>
      </w:tr>
    </w:tbl>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and as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board of directors since December 2016. From August 2013 to February 2017, she also served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Ms. Anderson currently serves as a member of the board of directors of Castle Biosciences, Inc. and as a trustee emeritus of the Keck Graduate Institute of Applied Life Sciences. Ms. Anderson holds a B.S. in Medical Technology from Indiana University of Pennsylvania.</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John L. Bishop </w:t>
      </w:r>
      <w:r>
        <w:rPr>
          <w:rFonts w:ascii="Arial" w:cs="Arial" w:eastAsia="Arial" w:hAnsi="Arial"/>
          <w:sz w:val="18"/>
          <w:szCs w:val="18"/>
          <w:color w:val="auto"/>
        </w:rPr>
        <w:t>was the Chief Executive Officer and served as a member of the board of directors of Cepheid, a molecular diagnostics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2002, and became the chairman of its board of directors in February 2013. Mr. Bishop retired from Cepheid and resigned from the board of directors following the acquisition of Cepheid by Danaher Corporation in November 2016. Mr. Bishop served as President and a member of the board of directors of Vysis, Inc., a genomic disease management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3" w:right="2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t>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served as a member of the board of directors and compensation committee member of Conceptus, Inc. from February 2009 until June 2013 upon its acquisition by Bayer HealthCare LLC and as the chairman of the board of directors of AdvaMedDx, a division of the Advanced Medical Technology Association, a private medical diagnostics industry advocacy group, from December 2013 until April 2017. Mr. Bishop holds a B.S. from the University of Miami.</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Fred E. Cohen, M.D., D.Phil. </w:t>
      </w:r>
      <w:r>
        <w:rPr>
          <w:rFonts w:ascii="Arial" w:cs="Arial" w:eastAsia="Arial" w:hAnsi="Arial"/>
          <w:sz w:val="17"/>
          <w:szCs w:val="17"/>
          <w:color w:val="auto"/>
        </w:rPr>
        <w:t>currently serves as a Co-Founder and Senior Managing Partner at Vida Ventures, a life sciences investment group.</w:t>
      </w:r>
      <w:r>
        <w:rPr>
          <w:rFonts w:ascii="Arial" w:cs="Arial" w:eastAsia="Arial" w:hAnsi="Arial"/>
          <w:sz w:val="17"/>
          <w:szCs w:val="17"/>
          <w:i w:val="1"/>
          <w:iCs w:val="1"/>
          <w:color w:val="auto"/>
        </w:rPr>
        <w:t xml:space="preserve"> </w:t>
      </w:r>
      <w:r>
        <w:rPr>
          <w:rFonts w:ascii="Arial" w:cs="Arial" w:eastAsia="Arial" w:hAnsi="Arial"/>
          <w:sz w:val="17"/>
          <w:szCs w:val="17"/>
          <w:color w:val="auto"/>
        </w:rPr>
        <w:t>From 2001 to 2016, Dr. Cohen was a Partner and Managing Director of TPG Capital, a private investment firm, where he led TPG’s venture efforts in biotechnology and life sciences. From 1986 to 2016, Dr. Cohen also served as a member of the faculty of University of California, San Francisco (UCSF). At UCSF, Dr. Cohen served as an internist for hospitalized patients, a consulting endocrinologist and as the Chief of the Division of Endocrinology and Metabolism. His research interests include structure based drug design, prion diseases, computational biology and heteropolymer chemistry. Dr. Cohen received his B.S. degree in Molecular Biophysics and Biochemistry from Yale University, his D.Phil. in Molecular Biophysics from Oxford on a Rhodes Scholarship, his M.D. from Stanford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was elected to the Institute of Medicine of the National Academy of Sciences in 2004 and the American Academy of Arts and Sciences in 2008. Currently, Dr. Cohen also serves on the board of directors of Genomic Health, Inc., Tandem Diabetes Care, Inc., UroGen Pharma Ltd., and CareDx, Inc., as well as on the boards of several privately held companies. Dr. Cohen previously served on the board of directors of Quintiles Transnational Holdings, Inc. and Five Prime Therapeutics, Inc.</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serves on the boards of directors of several life sciences companies. From May 2004 to September 2008, Ms. Eastham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has served on the board of directors of Geron Corporation, since March 2009 and Illumina, Inc., since August 2004. Ms. Eastham served as a member of the board of directors of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Robert S. Epstein, M.D., M.S. </w:t>
      </w:r>
      <w:r>
        <w:rPr>
          <w:rFonts w:ascii="Arial" w:cs="Arial" w:eastAsia="Arial" w:hAnsi="Arial"/>
          <w:sz w:val="16"/>
          <w:szCs w:val="16"/>
          <w:color w:val="auto"/>
        </w:rPr>
        <w:t>has served as a strategic consultant to life sciences companies since 2013. From 2010 to 2012, Dr. Epstein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Kevin K. Gordon</w:t>
      </w:r>
      <w:r>
        <w:rPr>
          <w:rFonts w:ascii="Arial" w:cs="Arial" w:eastAsia="Arial" w:hAnsi="Arial"/>
          <w:sz w:val="17"/>
          <w:szCs w:val="17"/>
          <w:color w:val="auto"/>
        </w:rPr>
        <w:t>, has served as President and Chief Financial Officer of Liquidia Technologies Inc., a late-stage clinical biopharmaceutical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since January 2018. Mr. Gordon served as Executive Vice President and Chief Operating Officer of Quintiles Transnational Holdings Inc., a research, clinical trial and pharmaceutical consulting company, from October 2015 until October 2016 and served as Executive Vice President and Chief Financial Officer from July 2010 until December 2015 (Quintiles Transitional Holdings merged with IMS Health Holdings, Inc., an information and technology services company, in October 2016 to form IQVIA Holdings, Inc., a global biopharmaceutical services provider). Mr. Gordon served as Executive Vice President and Chief Financial Officer of Teleflex Incorporated, a medical device company, from March 2007 until January 2010. Prior to that, Mr. Gordon held various senior corporate development positions at Teleflex Incorporated from 1997 to 2007. From 1992 to 1997, he held various senior positions, including General Manager, Chief Financial Officer and Secretary at Package Machinery Company, a consumer product packaging equipment company. From1984 to 1992, he held senior manager and other various finance positions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at KPMG LLP, an audit, tax and advisory services company. Mr. Gordon holds a B.S. in Accounting from the University of Connecticut.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Managing Member of jVen Capital, LLC, a life sciences investment company, since 2007. He also has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Opgen, Inc., a publicly held genetic analysis company, since 2013 and has served as a director since 2009. He was a co-founder of Digene Corporation, a publicly-traded biotechnology company focused on women’s health and molecular diagnostic testing, serving as chairman of its board of directors from 1995 until its acquisition in 2007 and served as Chief Executive Officer from 1990 to 2006 and as President from 1990 to 1999. Mr. Jones also serves as a member of the board of directors of Foundation Medicine, Inc. Mr. Jones served as a director of Fluidigm Corporation from March 2011 to August 2017 and CAS Medical Systems, Inc. from May 2008 until October 2013. Mr. Jones received a B.A. in Biotechnology from the University of Colorado and an M.B.A. from The Wharton School at the University of Pennsylvania.</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Tina S. Nova, Ph.D. </w:t>
      </w:r>
      <w:r>
        <w:rPr>
          <w:rFonts w:ascii="Arial" w:cs="Arial" w:eastAsia="Arial" w:hAnsi="Arial"/>
          <w:sz w:val="17"/>
          <w:szCs w:val="17"/>
          <w:color w:val="auto"/>
        </w:rPr>
        <w:t>has served as President and Chief Executive Officer of Molecular Stethoscope, Inc., a molecular diagnostics company, since</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2015. Dr. Nova served as senior vice president and general manager of Illumina Inc.’s oncology business unit from July 2014 to August 2015. From March 2000 to April 2014, Dr. Nova founded and served as a member of the board of directors, President and Chief Executive Officer of Genoptix, Inc., a medical laboratory, which was acquired in 2011 by Novartis Pharmaceuticals Corporation, a pharmaceutical company. Dr. Nova also held senior positions with Nanogen, Inc., a molecular diagnostics and biomedical research company, Ligand Pharmaceuticals, Inc., a biopharmaceutical company, and Hybritech, Inc., a monoclonal antibody development company. Dr. Nova has served on the board of directors of Arena Pharmaceuticals, Inc., since September 2004 and as the chairman of its board of directors since June 2016. Dr. Nova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Jesse I. Treu, Ph.D. </w:t>
      </w:r>
      <w:r>
        <w:rPr>
          <w:rFonts w:ascii="Arial" w:cs="Arial" w:eastAsia="Arial" w:hAnsi="Arial"/>
          <w:sz w:val="18"/>
          <w:szCs w:val="18"/>
          <w:color w:val="auto"/>
        </w:rPr>
        <w:t>has been a partner at Domain Associates, a venture capital firm, since its inception in 1985. Dr. Treu has served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38 early-stage healthcare companies, of which 23 became public companies. Dr. Treu has served as a member of the board of directors of Aldeyra Therapeutics, Inc., since June 2013 and Tandem Diabetes Care, Inc., since June 2008, and a number of privately-held life sciences and biopharmaceutical companies. Prior to the formation of Domain Associates, Dr. Treu was vice president of the predecessor organization to The Wilkerson Group, a pharmaceutical and medical products consulting company, and its venture capital arm, CW Ventures LLC. While at CW Ventures, Dr. Treu served as president and CEO of Microsonics Inc., a cardiac image processing company. Previous to that, Dr. Treu held executive positions at Technicon Instruments, a diagnostic equipment design and manufacturing company which is now part of Siemens Medical Solutions Diagnostics, and General Electric Company, an infrastructure and financial services company. Dr. Treu holds a B.S. in Physics from Rensselaer Polytechnic Institute and an M.A. and a Ph.D. in Physics from Princeton University.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II Nominees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nominates directors whose term is scheduled to expire at the next annual meeting of stockholders and elects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the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the Company and the board of directors. Although the Company has no formal diversity policy for board members, the board and the nominating and corporate governance committee consider diversity of backgrounds and experiences and other forms of diversity when selecting nominees.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("SEC") rules, and that a majority of the members of the board meet the definition of “independent director”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under the rules of The Nasdaq Stock Market. The nominating and corporate governance committee believes it appropriate for certain key members of our management - currently, our chief executive officer - to participate as members of the board of directors.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stockholder who wishes to suggest a prospective nominee for the board of directors should notify the Secretary of the Company or any member of the nominating and corporate governance committee in writing with any supporting material the stockholder considers appropriate. In addition, our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the Secretary of the Company and otherwise comply with the provisions of our Bylaws. To be timely, our Bylaws provide that we must have received the stockholder’s notice not earlier than February 6, 2019 and not later than March 8, 2019. Information required by the Bylaws to be in the notice include the name and contact information for the candidate and the person making the nomination and other information about the nominee that must be disclosed in proxy solicitations under Section 14 of the Securities Exchange Act of 1934 and the related rules and regulations under that Section.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Veracyte, Inc., 6000 Shoreline Court, Suite 300, South San Francisco, California 94080. You may obtain a copy of the full text of this provision of the Bylaws by writing to our Secretary at the above address.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members of our board of directors that, in addition to the experience of those individuals described in their biographies above, led our nominating and corporate governance committee and board of directors to conclude that the director should serve as a member of the board of directors.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Chief Executive Officer and our former President.</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has concluded that Mr. Bishop should serve on our board of directors due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the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Mr. Gordon should serve on our board of directors due to his significant experience in senior management positions in publicly traded life sciences companies, as well as his extensive senior management experience in the biopharmaceutical industry, including key corporate finance and accounting positions.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Dr. Nova’s knowledge of the life sciences industry and her experience as a chief executive officer and as a board member of other publicly traded and privately held life sciences companies qualifies her to serve on our board of directors.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Dr. Treu should serve on our board of directors due to his extensive management experience in the healthcare industry, and his experience as an investor in and director of numerous publicly traded and private life sciences and healthcare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our board of directors is, and each individual who served as a member of our board of directors in 2017 was, an “independent director” within the meaning of Rule 5605 of The Nasdaq Stock Market. Ms. Anderson is not considered independent as she serves as our Chief Executive Officer. For Mr. Bishop, Dr. Cohen, Ms. Eastham, Dr. Epstein, Mr. Gordon, Mr. Jones, Dr. Nova and Dr. Treu, the board of directors considered their relationship and transactions with the Company as directors and security holders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members of our compensation committee during 2017 included Karin Eastham, Fred E. Cohen, Evan Jones and John Bishop. No member of our compensation committee in 2017 was at any time during 2017 or at any other time an officer or employee of ours or any of our subsidiaries,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held ten meetings during 2017. Each director attended at least 75% of the aggregate number of meetings held by the board of directors and of the committees on which such director served.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nominating and corporate governance, and regulatory and compliance committees are available on the investor section of our website (www.veracyte.com) under the corporate governance tab.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members of the audit committee are Kevin K. Gordon (Chair), John L. Bishop and Karin Eastham. The audit committee held six meetings during 2017.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Gordon, Mr. Bishop and Ms. Eastham each are qualified as an “audit committee financial expert” under the definition outlined by the SEC.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current members of the compensation committee are Karin Eastham (Chair), Fred E. Cohen and Evan Jones. The compensation committee held ten meetings during 2017. 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current members of the nominating and corporate governance committee are Robert S. Epstein (Chair), Fred E. Cohen and Jesse I. Treu. The nominating and corporate governance committee held four meetings in 2017.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current members of the regulatory and compliance committee are Tina S. Nova (Chair), Robert S. Epstein and Evan Jones. The regulatory and compliance committee held three meetings in 2017. Our regulatory and compliance committee assists our board in meeting its responsibilities with regard to oversight of our compliance with healthcare legal and regulatory requirements applicable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 lead independent director of the board of directors separate from our chief executive officer. Ms. Anderson is our chairman and chief executive officer and Mr. Bishop is the lead independent director of the board of directors. The board of directors believes that this leadership structure reflects the role and responsibilities of the chief executive officer in our business and operations with significant involvement and authority vested in a separate lead independent director of the board. The board of directors retains the authority to modify this structure as it deems appropriate.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is responsible for overseeing the overall risk management process at our Company.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executive development and evaluation, regulatory and legal compliance including those laws and regulations relating to product and service promotional activities, Medicare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a stockholder of the Company. The Secretary will review any communications received from a stockholder and all material communications from stockholders will be forwarded to the appropriate director or directors or committee of the board based on the subject matter.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to the compensation arrangements of our directors and named executive officers discussed elsewhere in this Proxy Statement, the following is a description of transactions since January 1, 2017, to which we have been or will be a party, and in which the amount involved exceeded or will exceed $120,000 and in which any of our directors, executive officers, beneficial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holders of more than 5% of our capital stock, or entities affiliated with, or immediate family members of, any of the foregoing, had or will have a direct or indirect material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2017 Director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cash amounts and the value of other compensation awarded to, earned by, or paid in cash of our non-employee directors for their service in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b w:val="1"/>
                <w:bCs w:val="1"/>
                <w:color w:val="auto"/>
              </w:rPr>
              <w:t>Fees Earned</w:t>
            </w:r>
          </w:p>
        </w:tc>
        <w:tc>
          <w:tcPr>
            <w:tcW w:w="2120" w:type="dxa"/>
            <w:vAlign w:val="bottom"/>
          </w:tcPr>
          <w:p>
            <w:pPr>
              <w:jc w:val="right"/>
              <w:ind w:right="843"/>
              <w:spacing w:after="0"/>
              <w:rPr>
                <w:sz w:val="20"/>
                <w:szCs w:val="20"/>
                <w:color w:val="auto"/>
              </w:rPr>
            </w:pPr>
            <w:r>
              <w:rPr>
                <w:rFonts w:ascii="Arial" w:cs="Arial" w:eastAsia="Arial" w:hAnsi="Arial"/>
                <w:sz w:val="18"/>
                <w:szCs w:val="18"/>
                <w:b w:val="1"/>
                <w:bCs w:val="1"/>
                <w:color w:val="auto"/>
              </w:rPr>
              <w:t>Option</w:t>
            </w:r>
          </w:p>
        </w:tc>
        <w:tc>
          <w:tcPr>
            <w:tcW w:w="1220" w:type="dxa"/>
            <w:vAlign w:val="bottom"/>
          </w:tcPr>
          <w:p>
            <w:pPr>
              <w:spacing w:after="0"/>
              <w:rPr>
                <w:sz w:val="19"/>
                <w:szCs w:val="19"/>
                <w:color w:val="auto"/>
              </w:rPr>
            </w:pPr>
          </w:p>
        </w:tc>
      </w:tr>
      <w:tr>
        <w:trPr>
          <w:trHeight w:val="248"/>
        </w:trPr>
        <w:tc>
          <w:tcPr>
            <w:tcW w:w="3640" w:type="dxa"/>
            <w:vAlign w:val="bottom"/>
          </w:tcPr>
          <w:p>
            <w:pPr>
              <w:ind w:left="2020"/>
              <w:spacing w:after="0"/>
              <w:rPr>
                <w:sz w:val="20"/>
                <w:szCs w:val="20"/>
                <w:color w:val="auto"/>
              </w:rPr>
            </w:pPr>
            <w:r>
              <w:rPr>
                <w:rFonts w:ascii="Arial" w:cs="Arial" w:eastAsia="Arial" w:hAnsi="Arial"/>
                <w:sz w:val="18"/>
                <w:szCs w:val="18"/>
                <w:b w:val="1"/>
                <w:bCs w:val="1"/>
                <w:color w:val="auto"/>
              </w:rPr>
              <w:t>Name</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 options</w:t>
            </w: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or Paid in Cash ($)</w:t>
            </w:r>
          </w:p>
        </w:tc>
        <w:tc>
          <w:tcPr>
            <w:tcW w:w="2120" w:type="dxa"/>
            <w:vAlign w:val="bottom"/>
          </w:tcPr>
          <w:p>
            <w:pPr>
              <w:jc w:val="right"/>
              <w:ind w:right="483"/>
              <w:spacing w:after="0"/>
              <w:rPr>
                <w:sz w:val="20"/>
                <w:szCs w:val="20"/>
                <w:color w:val="auto"/>
              </w:rPr>
            </w:pPr>
            <w:r>
              <w:rPr>
                <w:rFonts w:ascii="Arial" w:cs="Arial" w:eastAsia="Arial" w:hAnsi="Arial"/>
                <w:sz w:val="18"/>
                <w:szCs w:val="18"/>
                <w:b w:val="1"/>
                <w:bCs w:val="1"/>
                <w:color w:val="auto"/>
              </w:rPr>
              <w:t>Awards ($)(1)(2)</w:t>
            </w: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w:t>
            </w:r>
          </w:p>
        </w:tc>
      </w:tr>
      <w:tr>
        <w:trPr>
          <w:trHeight w:val="27"/>
        </w:trPr>
        <w:tc>
          <w:tcPr>
            <w:tcW w:w="3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3640" w:type="dxa"/>
            <w:vAlign w:val="bottom"/>
          </w:tcPr>
          <w:p>
            <w:pPr>
              <w:ind w:left="40"/>
              <w:spacing w:after="0"/>
              <w:rPr>
                <w:sz w:val="20"/>
                <w:szCs w:val="20"/>
                <w:color w:val="auto"/>
              </w:rPr>
            </w:pPr>
            <w:r>
              <w:rPr>
                <w:rFonts w:ascii="Arial" w:cs="Arial" w:eastAsia="Arial" w:hAnsi="Arial"/>
                <w:sz w:val="20"/>
                <w:szCs w:val="20"/>
                <w:color w:val="auto"/>
              </w:rPr>
              <w:t>John L. Bishop</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65,219</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103,575</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Fred E. Cohen</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52,494</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90,850</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Karin Eastham</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63,007</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101,363</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Robert S. Epstein</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53,441</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91,797</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Kevin K. Gordon</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41,247</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79,603</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Evan Jones</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54,715</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93,071</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Tina S. Nova</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48,811</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87,167</w:t>
            </w:r>
          </w:p>
        </w:tc>
      </w:tr>
      <w:tr>
        <w:trPr>
          <w:trHeight w:val="284"/>
        </w:trPr>
        <w:tc>
          <w:tcPr>
            <w:tcW w:w="3640" w:type="dxa"/>
            <w:vAlign w:val="bottom"/>
          </w:tcPr>
          <w:p>
            <w:pPr>
              <w:ind w:left="40"/>
              <w:spacing w:after="0"/>
              <w:rPr>
                <w:sz w:val="20"/>
                <w:szCs w:val="20"/>
                <w:color w:val="auto"/>
              </w:rPr>
            </w:pPr>
            <w:r>
              <w:rPr>
                <w:rFonts w:ascii="Arial" w:cs="Arial" w:eastAsia="Arial" w:hAnsi="Arial"/>
                <w:sz w:val="20"/>
                <w:szCs w:val="20"/>
                <w:color w:val="auto"/>
              </w:rPr>
              <w:t>Jesse I. Treu</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43,679</w:t>
            </w:r>
          </w:p>
        </w:tc>
        <w:tc>
          <w:tcPr>
            <w:tcW w:w="2120" w:type="dxa"/>
            <w:vAlign w:val="bottom"/>
          </w:tcPr>
          <w:p>
            <w:pPr>
              <w:jc w:val="right"/>
              <w:ind w:right="143"/>
              <w:spacing w:after="0"/>
              <w:rPr>
                <w:sz w:val="20"/>
                <w:szCs w:val="20"/>
                <w:color w:val="auto"/>
              </w:rPr>
            </w:pPr>
            <w:r>
              <w:rPr>
                <w:rFonts w:ascii="Arial" w:cs="Arial" w:eastAsia="Arial" w:hAnsi="Arial"/>
                <w:sz w:val="20"/>
                <w:szCs w:val="20"/>
                <w:color w:val="auto"/>
              </w:rPr>
              <w:t>38,356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20" w:right="200" w:hanging="426"/>
        <w:spacing w:after="0" w:line="255"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2017. There can be no assurance that option awards will be exercised (in which case no value will be realized by the individual) or that the value on exercise will approximate the fair value as computed in accordance with ASC 718.</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ind w:left="620" w:right="460" w:hanging="426"/>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2017:</w:t>
      </w:r>
    </w:p>
    <w:p>
      <w:pPr>
        <w:spacing w:after="0" w:line="200" w:lineRule="exact"/>
        <w:rPr>
          <w:sz w:val="20"/>
          <w:szCs w:val="20"/>
          <w:color w:val="auto"/>
        </w:rPr>
      </w:pP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2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r>
      <w:tr>
        <w:trPr>
          <w:trHeight w:val="27"/>
        </w:trPr>
        <w:tc>
          <w:tcPr>
            <w:tcW w:w="3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John L. Bishop</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Fred E. Cohen</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40,000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Karin Eastham</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80,000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Robert S. Epstein</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Kevin K. Gordon</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45,000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Evan Jones</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75,000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Tina S. Nova</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55,000</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Jesse I. Treu</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40,000</w:t>
            </w: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Directors who are employees do not receive any fees for their service on the board of directors or any committee. Our non-employee directors receive an annual cash retainer of $40,000 for their service on our board of directors. Members of our audit committee, compensation committee, nominating and corporate governance committee and regulatory and compliance committee, other than the chair of each such committee, receive an additional annual cash retainer of $10,000, $6,000, $5,000 and $5,000, respectively. The chair of our audit committee, compensation committee, nominating and corporate governance committee and regulatory and compliance committee, each receive an additional annual cash retainer of $20,000, $12,000, $10,000 and $10,000, respectively. Additionally, the individual acting as lead independent director of the board of directors receives an additional annual cash retainer of $25,000.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non-employee director who first joins our board of directors is automatically granted an initial stock option to purchase 35,000 shares of our common stock at an exercise price equal to the fair market value of our common stock on the date of grant. The option will vest and become exercisable as to one-third (1/3) of those shares on each of the first, second and third</w:t>
      </w:r>
    </w:p>
    <w:p>
      <w:pPr>
        <w:sectPr>
          <w:pgSz w:w="11900" w:h="16838" w:orient="portrait"/>
          <w:cols w:equalWidth="0" w:num="1">
            <w:col w:w="11420"/>
          </w:cols>
          <w:pgMar w:left="240" w:top="58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both"/>
        <w:spacing w:after="0" w:line="276" w:lineRule="auto"/>
        <w:rPr>
          <w:sz w:val="20"/>
          <w:szCs w:val="20"/>
          <w:color w:val="auto"/>
        </w:rPr>
      </w:pPr>
      <w:r>
        <w:rPr>
          <w:rFonts w:ascii="Arial" w:cs="Arial" w:eastAsia="Arial" w:hAnsi="Arial"/>
          <w:sz w:val="17"/>
          <w:szCs w:val="17"/>
          <w:color w:val="auto"/>
        </w:rPr>
        <w:t>annual anniversaries of the date of grant. On the first business day after each annual meeting of stockholders, each non-employee director who continues to serve on our board of directors and who has served as a director for at least six months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names of our executive officers, their ages and certain biographical information as of April 19, 2018 are set forth below:</w:t>
      </w:r>
    </w:p>
    <w:p>
      <w:pPr>
        <w:spacing w:after="0" w:line="379"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Age</w:t>
            </w:r>
          </w:p>
        </w:tc>
        <w:tc>
          <w:tcPr>
            <w:tcW w:w="55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Position with the Company</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5560" w:type="dxa"/>
            <w:vAlign w:val="bottom"/>
          </w:tcPr>
          <w:p>
            <w:pPr>
              <w:ind w:left="8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Keith Kennedy</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c>
          <w:tcPr>
            <w:tcW w:w="55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Christopher M. Hall</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c>
          <w:tcPr>
            <w:tcW w:w="5560" w:type="dxa"/>
            <w:vAlign w:val="bottom"/>
          </w:tcPr>
          <w:p>
            <w:pPr>
              <w:ind w:left="80"/>
              <w:spacing w:after="0"/>
              <w:rPr>
                <w:sz w:val="20"/>
                <w:szCs w:val="20"/>
                <w:color w:val="auto"/>
              </w:rPr>
            </w:pPr>
            <w:r>
              <w:rPr>
                <w:rFonts w:ascii="Arial" w:cs="Arial" w:eastAsia="Arial" w:hAnsi="Arial"/>
                <w:sz w:val="18"/>
                <w:szCs w:val="18"/>
                <w:color w:val="auto"/>
              </w:rPr>
              <w:t>President and Chief Operating Officer</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Ms. Anderson, please refer to “Proposal 1- Election of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Keith Kennedy</w:t>
      </w:r>
      <w:r>
        <w:rPr>
          <w:rFonts w:ascii="Arial" w:cs="Arial" w:eastAsia="Arial" w:hAnsi="Arial"/>
          <w:sz w:val="18"/>
          <w:szCs w:val="18"/>
          <w:color w:val="auto"/>
        </w:rPr>
        <w:t>, has served as our Chief Financial Officer since December 2016 and Secretary since November 2017. Prior to joining us, Mr.</w:t>
      </w:r>
      <w:r>
        <w:rPr>
          <w:rFonts w:ascii="Arial" w:cs="Arial" w:eastAsia="Arial" w:hAnsi="Arial"/>
          <w:sz w:val="18"/>
          <w:szCs w:val="18"/>
          <w:i w:val="1"/>
          <w:iCs w:val="1"/>
          <w:color w:val="auto"/>
        </w:rPr>
        <w:t xml:space="preserve"> </w:t>
      </w:r>
      <w:r>
        <w:rPr>
          <w:rFonts w:ascii="Arial" w:cs="Arial" w:eastAsia="Arial" w:hAnsi="Arial"/>
          <w:sz w:val="18"/>
          <w:szCs w:val="18"/>
          <w:color w:val="auto"/>
        </w:rPr>
        <w:t>Kennedy provided strategic counsel and consulting services from his consulting practice from September 2015 to November 2016, including advisory services to Pennant Park Investment Advisors. Mr. Kennedy served as President, Chief Executive Officer and Director of MCG Capital Corporation, a publicly traded business development company, from April 2014 until its merger with Pennant Park Floating Rate Capital Ltd in August 2015. Mr. Kennedy joined MCG Capital Corporation in February 2012 as an Executive Vice President and Managing Director, served as its Chief Financial Officer and Treasurer from May 2012 to March 2014, and its President from March to April 2014. Prior to MCG, Mr. Kennedy served as a Managing Director at GE Capital, a Manager of Transaction Services at Ernst &amp; Young LLP and as an Officer in the U.S. Air Force. Mr. Kennedy holds a B.S. in Accounting with high distinction from Indiana University and holds an M.B.A. from the College of William &amp; Mary. Mr. Kennedy is a Chartered Financial Analyst and Certified Public Accountant.</w:t>
      </w:r>
    </w:p>
    <w:p>
      <w:pPr>
        <w:spacing w:after="0" w:line="19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Christopher M. Hall </w:t>
      </w:r>
      <w:r>
        <w:rPr>
          <w:rFonts w:ascii="Arial" w:cs="Arial" w:eastAsia="Arial" w:hAnsi="Arial"/>
          <w:sz w:val="17"/>
          <w:szCs w:val="17"/>
          <w:color w:val="auto"/>
        </w:rPr>
        <w:t>has served as our Chief Operating Officer since September 2014 and in February 2017, he was appointed as our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Mr. Hall served as our Chief Commercial Officer from March 2010 to September 2014. Prior to joining us, Mr. Hall served as Chief Business Officer of Celera 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Business School.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information concerning the total compensation our chief executive officer and two other highest paid executive officers other than the chief executive officer, who we refer to as our named executive officers, earned for services rendered to us in all capacities during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2016 and 2017.</w:t>
      </w: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Non-Equity</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Option Awards</w:t>
            </w: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Stock Awards</w:t>
            </w:r>
          </w:p>
        </w:tc>
        <w:tc>
          <w:tcPr>
            <w:tcW w:w="14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Incentive Plan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6"/>
        </w:trPr>
        <w:tc>
          <w:tcPr>
            <w:tcW w:w="33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Name and Principal Position</w:t>
            </w:r>
          </w:p>
        </w:tc>
        <w:tc>
          <w:tcPr>
            <w:tcW w:w="11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Year</w:t>
            </w: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Salary ($)</w:t>
            </w: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w:t>
            </w:r>
          </w:p>
        </w:tc>
        <w:tc>
          <w:tcPr>
            <w:tcW w:w="1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Compensation ($)</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Other (2)</w:t>
            </w: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 ($)</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1120" w:type="dxa"/>
            <w:vAlign w:val="bottom"/>
          </w:tcPr>
          <w:p>
            <w:pPr>
              <w:ind w:left="560"/>
              <w:spacing w:after="0"/>
              <w:rPr>
                <w:sz w:val="20"/>
                <w:szCs w:val="20"/>
                <w:color w:val="auto"/>
              </w:rPr>
            </w:pPr>
            <w:r>
              <w:rPr>
                <w:rFonts w:ascii="Arial" w:cs="Arial" w:eastAsia="Arial" w:hAnsi="Arial"/>
                <w:sz w:val="18"/>
                <w:szCs w:val="18"/>
                <w:color w:val="auto"/>
              </w:rPr>
              <w:t>2017</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550,000</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1,441,128</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220,000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2,213,128</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c>
          <w:tcPr>
            <w:tcW w:w="1120" w:type="dxa"/>
            <w:vAlign w:val="bottom"/>
          </w:tcPr>
          <w:p>
            <w:pPr>
              <w:ind w:left="560"/>
              <w:spacing w:after="0"/>
              <w:rPr>
                <w:sz w:val="20"/>
                <w:szCs w:val="20"/>
                <w:color w:val="auto"/>
              </w:rPr>
            </w:pPr>
            <w:r>
              <w:rPr>
                <w:rFonts w:ascii="Arial" w:cs="Arial" w:eastAsia="Arial" w:hAnsi="Arial"/>
                <w:sz w:val="18"/>
                <w:szCs w:val="18"/>
                <w:color w:val="auto"/>
              </w:rPr>
              <w:t>2016</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677,813</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292,500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1,472,313</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Christopher M. Hall</w:t>
            </w:r>
          </w:p>
        </w:tc>
        <w:tc>
          <w:tcPr>
            <w:tcW w:w="1120" w:type="dxa"/>
            <w:vAlign w:val="bottom"/>
          </w:tcPr>
          <w:p>
            <w:pPr>
              <w:ind w:left="560"/>
              <w:spacing w:after="0"/>
              <w:rPr>
                <w:sz w:val="20"/>
                <w:szCs w:val="20"/>
                <w:color w:val="auto"/>
              </w:rPr>
            </w:pPr>
            <w:r>
              <w:rPr>
                <w:rFonts w:ascii="Arial" w:cs="Arial" w:eastAsia="Arial" w:hAnsi="Arial"/>
                <w:sz w:val="18"/>
                <w:szCs w:val="18"/>
                <w:color w:val="auto"/>
              </w:rPr>
              <w:t>2017</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415,000</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371,904</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181,000</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114,100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1,084,004</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 and President</w:t>
            </w:r>
          </w:p>
        </w:tc>
        <w:tc>
          <w:tcPr>
            <w:tcW w:w="1120" w:type="dxa"/>
            <w:vAlign w:val="bottom"/>
          </w:tcPr>
          <w:p>
            <w:pPr>
              <w:ind w:left="560"/>
              <w:spacing w:after="0"/>
              <w:rPr>
                <w:sz w:val="20"/>
                <w:szCs w:val="20"/>
                <w:color w:val="auto"/>
              </w:rPr>
            </w:pPr>
            <w:r>
              <w:rPr>
                <w:rFonts w:ascii="Arial" w:cs="Arial" w:eastAsia="Arial" w:hAnsi="Arial"/>
                <w:sz w:val="18"/>
                <w:szCs w:val="18"/>
                <w:color w:val="auto"/>
              </w:rPr>
              <w:t>2016</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395,000</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293,769</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177,750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868,519</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Keith Kennedy (3)</w:t>
            </w:r>
          </w:p>
        </w:tc>
        <w:tc>
          <w:tcPr>
            <w:tcW w:w="1120" w:type="dxa"/>
            <w:vAlign w:val="bottom"/>
          </w:tcPr>
          <w:p>
            <w:pPr>
              <w:ind w:left="560"/>
              <w:spacing w:after="0"/>
              <w:rPr>
                <w:sz w:val="20"/>
                <w:szCs w:val="20"/>
                <w:color w:val="auto"/>
              </w:rPr>
            </w:pPr>
            <w:r>
              <w:rPr>
                <w:rFonts w:ascii="Arial" w:cs="Arial" w:eastAsia="Arial" w:hAnsi="Arial"/>
                <w:sz w:val="18"/>
                <w:szCs w:val="18"/>
                <w:color w:val="auto"/>
              </w:rPr>
              <w:t>2017</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92,976</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100,000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199,709</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792,685</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 and Secretary</w:t>
            </w:r>
          </w:p>
        </w:tc>
        <w:tc>
          <w:tcPr>
            <w:tcW w:w="1120" w:type="dxa"/>
            <w:vAlign w:val="bottom"/>
          </w:tcPr>
          <w:p>
            <w:pPr>
              <w:ind w:left="560"/>
              <w:spacing w:after="0"/>
              <w:rPr>
                <w:sz w:val="20"/>
                <w:szCs w:val="20"/>
                <w:color w:val="auto"/>
              </w:rPr>
            </w:pPr>
            <w:r>
              <w:rPr>
                <w:rFonts w:ascii="Arial" w:cs="Arial" w:eastAsia="Arial" w:hAnsi="Arial"/>
                <w:sz w:val="18"/>
                <w:szCs w:val="18"/>
                <w:color w:val="auto"/>
              </w:rPr>
              <w:t>2016</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28,975</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390,720</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186,750</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606,445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205740</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0" w:type="dxa"/>
            <w:vAlign w:val="bottom"/>
          </w:tcPr>
          <w:p>
            <w:pPr>
              <w:jc w:val="right"/>
              <w:ind w:right="650"/>
              <w:spacing w:after="0"/>
              <w:rPr>
                <w:sz w:val="20"/>
                <w:szCs w:val="20"/>
                <w:color w:val="auto"/>
              </w:rPr>
            </w:pPr>
            <w:r>
              <w:rPr>
                <w:rFonts w:ascii="Arial" w:cs="Arial" w:eastAsia="Arial" w:hAnsi="Arial"/>
                <w:sz w:val="18"/>
                <w:szCs w:val="18"/>
                <w:color w:val="auto"/>
                <w:w w:val="90"/>
              </w:rPr>
              <w:t>(1)</w:t>
            </w:r>
          </w:p>
        </w:tc>
        <w:tc>
          <w:tcPr>
            <w:tcW w:w="10220" w:type="dxa"/>
            <w:vAlign w:val="bottom"/>
          </w:tcPr>
          <w:p>
            <w:pPr>
              <w:ind w:left="740"/>
              <w:spacing w:after="0"/>
              <w:rPr>
                <w:sz w:val="20"/>
                <w:szCs w:val="20"/>
                <w:color w:val="auto"/>
              </w:rPr>
            </w:pPr>
            <w:r>
              <w:rPr>
                <w:rFonts w:ascii="Arial" w:cs="Arial" w:eastAsia="Arial" w:hAnsi="Arial"/>
                <w:sz w:val="18"/>
                <w:szCs w:val="18"/>
                <w:color w:val="auto"/>
                <w:w w:val="92"/>
              </w:rPr>
              <w:t>Amounts represent the aggregate fair value of the awards computed as of the grant date of each award in accordance with Topic</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90"/>
              </w:rPr>
              <w:t>718 for financial reporting purposes, rather than amounts paid to or realized by the named individual. Our assumptions with respect</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93"/>
              </w:rPr>
              <w:t>to the calculation of these values are set forth in the Notes to Financial Statements included in our Annual Report on Form 10-K</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89"/>
              </w:rPr>
              <w:t>for the year ended December 31, 2017. There can be no assurance that option awards will be exercised or that restricted stock units</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92"/>
              </w:rPr>
              <w:t>("RSUs") will settle (in which case no value will be realized by the individual) or that the value on exercise of options or settlement</w:t>
            </w:r>
          </w:p>
        </w:tc>
      </w:tr>
      <w:tr>
        <w:trPr>
          <w:trHeight w:val="230"/>
        </w:trPr>
        <w:tc>
          <w:tcPr>
            <w:tcW w:w="960" w:type="dxa"/>
            <w:vAlign w:val="bottom"/>
          </w:tcPr>
          <w:p>
            <w:pPr>
              <w:spacing w:after="0"/>
              <w:rPr>
                <w:sz w:val="20"/>
                <w:szCs w:val="20"/>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rPr>
              <w:t>of RSUs will approximate the fair value as computed in accordance with Topic 718.</w:t>
            </w:r>
          </w:p>
        </w:tc>
      </w:tr>
      <w:tr>
        <w:trPr>
          <w:trHeight w:val="742"/>
        </w:trPr>
        <w:tc>
          <w:tcPr>
            <w:tcW w:w="960" w:type="dxa"/>
            <w:vAlign w:val="bottom"/>
          </w:tcPr>
          <w:p>
            <w:pPr>
              <w:jc w:val="right"/>
              <w:ind w:right="650"/>
              <w:spacing w:after="0"/>
              <w:rPr>
                <w:sz w:val="20"/>
                <w:szCs w:val="20"/>
                <w:color w:val="auto"/>
              </w:rPr>
            </w:pPr>
            <w:r>
              <w:rPr>
                <w:rFonts w:ascii="Arial" w:cs="Arial" w:eastAsia="Arial" w:hAnsi="Arial"/>
                <w:sz w:val="18"/>
                <w:szCs w:val="18"/>
                <w:color w:val="auto"/>
                <w:w w:val="90"/>
              </w:rPr>
              <w:t>(2)</w:t>
            </w:r>
          </w:p>
        </w:tc>
        <w:tc>
          <w:tcPr>
            <w:tcW w:w="10220" w:type="dxa"/>
            <w:vAlign w:val="bottom"/>
          </w:tcPr>
          <w:p>
            <w:pPr>
              <w:ind w:left="740"/>
              <w:spacing w:after="0"/>
              <w:rPr>
                <w:sz w:val="20"/>
                <w:szCs w:val="20"/>
                <w:color w:val="auto"/>
              </w:rPr>
            </w:pPr>
            <w:r>
              <w:rPr>
                <w:rFonts w:ascii="Arial" w:cs="Arial" w:eastAsia="Arial" w:hAnsi="Arial"/>
                <w:sz w:val="18"/>
                <w:szCs w:val="18"/>
                <w:color w:val="auto"/>
                <w:w w:val="92"/>
              </w:rPr>
              <w:t>Other income includes matching contributions to 401(k) plans in an amount up to $2,000 per year. Other income for Mr. Kennedy</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95"/>
              </w:rPr>
              <w:t>also includes assistance with travel and living expenses associated with his commuting to our executive offices in South San</w:t>
            </w:r>
          </w:p>
        </w:tc>
      </w:tr>
      <w:tr>
        <w:trPr>
          <w:trHeight w:val="230"/>
        </w:trPr>
        <w:tc>
          <w:tcPr>
            <w:tcW w:w="960" w:type="dxa"/>
            <w:vAlign w:val="bottom"/>
          </w:tcPr>
          <w:p>
            <w:pPr>
              <w:spacing w:after="0"/>
              <w:rPr>
                <w:sz w:val="20"/>
                <w:szCs w:val="20"/>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rPr>
              <w:t>Francisco, California as described in footnote (3) below.</w:t>
            </w:r>
          </w:p>
        </w:tc>
      </w:tr>
      <w:tr>
        <w:trPr>
          <w:trHeight w:val="742"/>
        </w:trPr>
        <w:tc>
          <w:tcPr>
            <w:tcW w:w="960" w:type="dxa"/>
            <w:vAlign w:val="bottom"/>
          </w:tcPr>
          <w:p>
            <w:pPr>
              <w:jc w:val="right"/>
              <w:ind w:right="650"/>
              <w:spacing w:after="0"/>
              <w:rPr>
                <w:sz w:val="20"/>
                <w:szCs w:val="20"/>
                <w:color w:val="auto"/>
              </w:rPr>
            </w:pPr>
            <w:r>
              <w:rPr>
                <w:rFonts w:ascii="Arial" w:cs="Arial" w:eastAsia="Arial" w:hAnsi="Arial"/>
                <w:sz w:val="18"/>
                <w:szCs w:val="18"/>
                <w:color w:val="auto"/>
                <w:w w:val="90"/>
              </w:rPr>
              <w:t>(3)</w:t>
            </w:r>
          </w:p>
        </w:tc>
        <w:tc>
          <w:tcPr>
            <w:tcW w:w="10220" w:type="dxa"/>
            <w:vAlign w:val="bottom"/>
          </w:tcPr>
          <w:p>
            <w:pPr>
              <w:ind w:left="740"/>
              <w:spacing w:after="0"/>
              <w:rPr>
                <w:sz w:val="20"/>
                <w:szCs w:val="20"/>
                <w:color w:val="auto"/>
              </w:rPr>
            </w:pPr>
            <w:r>
              <w:rPr>
                <w:rFonts w:ascii="Arial" w:cs="Arial" w:eastAsia="Arial" w:hAnsi="Arial"/>
                <w:sz w:val="18"/>
                <w:szCs w:val="18"/>
                <w:color w:val="auto"/>
                <w:w w:val="91"/>
              </w:rPr>
              <w:t>Pursuant to the terms of his employment agreement, Mr. Kennedy is entitled to travel and living expense assistance in connection</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96"/>
              </w:rPr>
              <w:t>with his commuting to our executive offices in South San Francisco, California. In 2017, these amounts totaled $197,709 for</w:t>
            </w:r>
          </w:p>
        </w:tc>
      </w:tr>
      <w:tr>
        <w:trPr>
          <w:trHeight w:val="216"/>
        </w:trPr>
        <w:tc>
          <w:tcPr>
            <w:tcW w:w="960" w:type="dxa"/>
            <w:vAlign w:val="bottom"/>
          </w:tcPr>
          <w:p>
            <w:pPr>
              <w:spacing w:after="0"/>
              <w:rPr>
                <w:sz w:val="18"/>
                <w:szCs w:val="18"/>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w w:val="94"/>
              </w:rPr>
              <w:t>reimbursed expenses for airline travel, parking, transportation and related travel incidentals, and living expense and tax gross-</w:t>
            </w:r>
          </w:p>
        </w:tc>
      </w:tr>
      <w:tr>
        <w:trPr>
          <w:trHeight w:val="230"/>
        </w:trPr>
        <w:tc>
          <w:tcPr>
            <w:tcW w:w="960" w:type="dxa"/>
            <w:vAlign w:val="bottom"/>
          </w:tcPr>
          <w:p>
            <w:pPr>
              <w:spacing w:after="0"/>
              <w:rPr>
                <w:sz w:val="20"/>
                <w:szCs w:val="20"/>
                <w:color w:val="auto"/>
              </w:rPr>
            </w:pPr>
          </w:p>
        </w:tc>
        <w:tc>
          <w:tcPr>
            <w:tcW w:w="10220" w:type="dxa"/>
            <w:vAlign w:val="bottom"/>
          </w:tcPr>
          <w:p>
            <w:pPr>
              <w:ind w:left="740"/>
              <w:spacing w:after="0"/>
              <w:rPr>
                <w:sz w:val="20"/>
                <w:szCs w:val="20"/>
                <w:color w:val="auto"/>
              </w:rPr>
            </w:pPr>
            <w:r>
              <w:rPr>
                <w:rFonts w:ascii="Arial" w:cs="Arial" w:eastAsia="Arial" w:hAnsi="Arial"/>
                <w:sz w:val="18"/>
                <w:szCs w:val="18"/>
                <w:color w:val="auto"/>
              </w:rPr>
              <w:t>up paid for such expenses.</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2018, the compensation committee (or, in the case of Ms. Anderson, the independent members of the board of directors, on the recommendation of the compensation committee) approved the annual base salaries of our named executive officers for 2018. The base salaries approved were in the following amounts: Ms. Anderson, $550,000, Mr. Hall, $415,000 and Mr. Kennedy, $400,000. The salaries, which became effective as of January 1, 2018, remain unchanged from the corresponding amounts for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2018, the compensation committee and the independent members of the board of directors, on the recommendation of the compensation committee, approved grants of options to purchase shares of our common stock to the named executive officers in the following amounts: Ms. Anderson, 225,000 stock options, 30,000 restricted stock units and 150,000</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96" w:right="239" w:bottom="1440" w:gutter="0" w:footer="0" w:header="0"/>
          <w:type w:val="continuous"/>
        </w:sectPr>
      </w:pPr>
    </w:p>
    <w:bookmarkStart w:id="18" w:name="page19"/>
    <w:bookmarkEnd w:id="18"/>
    <w:p>
      <w:pPr>
        <w:jc w:val="both"/>
        <w:spacing w:after="0" w:line="290" w:lineRule="auto"/>
        <w:rPr>
          <w:sz w:val="20"/>
          <w:szCs w:val="20"/>
          <w:color w:val="auto"/>
        </w:rPr>
      </w:pPr>
      <w:r>
        <w:rPr>
          <w:rFonts w:ascii="Arial" w:cs="Arial" w:eastAsia="Arial" w:hAnsi="Arial"/>
          <w:sz w:val="16"/>
          <w:szCs w:val="16"/>
          <w:color w:val="auto"/>
        </w:rPr>
        <w:t>performance-based stock units; Mr. Hall, 110,250 stock options, 14,700 restricted stock units and 75,000 performance-based stock units; and Mr. Kennedy, 77,250 stock options, 10,300 restricted stock units and 50,000 performance-based stock units. The stock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 The restricted stock units vest and settle as to 25% of the units on the first anniversary of the grant date, and the remaining units vest and settle at a rate of 1/16th of the total number of shares subject to the units each quarter thereafter. All of the performance-based stock units are based on achievement of certain financial performance metrics.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2017 Bonus Plan Awards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2017, the independent members of the board of directors, on the recommendation of the compensation committee, approved corporate goals for 2017 relating to a corporate bonus plan for the 2017 fiscal year. Under the plan, eligible employees, including executive officers, were eligible to receive annual incentive compensation if we achieved the corporate goals approved by the board of directors.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Funding of the bonus pool for the plan was dependent upon achieving a minimum threshold of annual revenue, and achievement in excess of such minimum threshold could result in funding of the bonus pool up to a maximum level of 150%. In the event that certain commercial, product development and financial goals were not met, the bonus pool could have been reduced by up to 20%. Eligible employees, including executive officers, had individual goals, the achievement of which ranged from 80% - 120% of the bonus target allocated within the funded pool amount, although actual awards under the plan could have either exceeded or been less than the targets established, as determined by the independent members of the board of directors at their discretion based on the recommendation of the compensation committee and based on corporate and individual performance.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2018, the independent members of our board of directors, on the recommendation of the compensation committee, and the compensation committee approved cash bonus awards for 2017 performance under our 2017 corporate bonus plan. The independent members of the board of directors and compensation committee considered the achievements of the corporate goals under the plan as well our performance and individual performance in determining the amounts to be paid. The independent members of the board of directors and compensation committee approved awards our following named executive officers: Bonnie H. Anderson, Chairman and Chief Executive Officer, $220,000; Christopher M. Hall, President and Chief Operating Officer, $114,100; and Keith Kennedy, Chief Financial Officer, $100,000.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2018 Bonus Plan and Bonus Plan Targets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2018, the independent members of the board of directors, on the recommendation of the compensation committee, approved corporate goals for 2018 relating to a corporate bonus plan for the 2018 fiscal year. Under the plan, eligible employees, including executive officers, are eligible to receive annual incentive compensation if the Company achieves the corporate goals approved by the board of directors. With respect to the Company’s executive officers, the bonus pool can be funded from 0% to 142% based upon achieving certain annual revenue, product development, and reimbursement goals. Actual awards under the plan could either exceed or be less than the targets established, as determined by the independent members of the board of directors at their discretion based on the recommendation of the compensation committee and based on corporate and individual performance.</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independent members of the board of directors also approved, on the recommendation of the compensation committee, bonus targets under the 2018 Bonus Plan for the following named executive officers, which are the following percentages of their 2018 base salaries: Bonnie H. Anderson - 85%; Christopher M. Hall - 60%; and Keith Kennedy - 55%.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Bonnie H. Anderson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employment agreement with Ms. Anderson, our Chief Executive Officer, on February 15, 2008. This employment agreement, as amended on December 22, 2008 and March 11, 2009, provides for a base salary of $300,000 per year, subject to periodic review. Under the employment agreement, Ms. Anderson is also eligible to earn a bonus based on criteria and terms and conditions as may be established by the Board and a grant of restricted stock. For information regarding payments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made to Ms. Anderson in the year ended December 31, 2017 under our discretionary annual bonus program, see the section titled “-Bonus Plans-2017 Bonus Plan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Keith Kennedy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offer letter with Mr. Kennedy, our Chief Financial Officer, on November 17, 2016. This offer letter provides a base salary of $400,000 per year, subject to periodic review. Under the offer letter, Mr. Kennedy is also eligible to earn a bonus based on specified criteria and an option grant. For information regarding payments made to Mr. Kennedy in the year ended December 31, 2017 under our discretionary annual bonus program, see the section titled “Bonus Plans-2017 Bonus Plan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M. Hall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offer letter with Mr. Hall, our President and Chief Operating Officer, on January 27, 2010. This offer letter provides a base salary of $290,000 per year, subject to periodic review. Under the offer letter, Mr. Hall is also eligible to earn a bonus based on specified criteria and an option grant. For information regarding payments made to Mr. Hall in the year ended December 31, 2017 under our discretionary annual bonus program, see the section titled “Bonus Plans-2017 Bonus Plan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May 14, 2015, we entered into Amended and Restated Change of Control and Severance agreements with Ms. Anderson and Mr. Hall. We also entered into a Change of Control and Severance agreement with Mr. Kennedy on February 15, 2017. 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166"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Ms. Anderson: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w:t>
      </w:r>
      <w:r>
        <w:rPr>
          <w:rFonts w:ascii="MS PGothic" w:cs="MS PGothic" w:eastAsia="MS PGothic" w:hAnsi="MS PGothic"/>
          <w:sz w:val="18"/>
          <w:szCs w:val="18"/>
          <w:color w:val="auto"/>
        </w:rPr>
        <w:t>‑</w:t>
      </w:r>
      <w:r>
        <w:rPr>
          <w:rFonts w:ascii="Arial" w:cs="Arial" w:eastAsia="Arial" w:hAnsi="Arial"/>
          <w:sz w:val="18"/>
          <w:szCs w:val="18"/>
          <w:color w:val="auto"/>
        </w:rPr>
        <w:t>termination exercise period of such awards to 24 months after the termination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Kennedy and Mr. Hall: six months of salary continuation from the termination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each of these agreements, if the named executive officer is terminated by us without cause, or terminates his or her employment for good reason each during the change of control period, he or she is entitled to the following benefits: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Ms. Anderson: (i) a lump sum severance payment equal to 24 months of salary from the termination date, (ii) a lump sum payment equal to 100% of the highest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Kennedy and Mr. Hall: (i) a lump sum severance payment equal to 12 months of salary from the termination date, (ii) a lump sum payment equal to 100%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Rule 10b5-1 Sales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Outstanding Equity Awards at Fiscal Year-End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concerning the outstanding and unexercised stock options and outstanding restricted stock units that have not vested for each named executive officer as of December 31, 2017.</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80" w:type="dxa"/>
            <w:vAlign w:val="bottom"/>
            <w:gridSpan w:val="3"/>
          </w:tcPr>
          <w:p>
            <w:pPr>
              <w:ind w:left="860"/>
              <w:spacing w:after="0"/>
              <w:rPr>
                <w:sz w:val="20"/>
                <w:szCs w:val="20"/>
                <w:color w:val="auto"/>
              </w:rPr>
            </w:pPr>
            <w:r>
              <w:rPr>
                <w:rFonts w:ascii="Arial" w:cs="Arial" w:eastAsia="Arial" w:hAnsi="Arial"/>
                <w:sz w:val="14"/>
                <w:szCs w:val="14"/>
                <w:b w:val="1"/>
                <w:bCs w:val="1"/>
                <w:color w:val="auto"/>
              </w:rPr>
              <w:t>Option Awards(1)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26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5"/>
              </w:rPr>
              <w:t>Underlying</w:t>
            </w: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Securities</w:t>
            </w:r>
          </w:p>
        </w:tc>
        <w:tc>
          <w:tcPr>
            <w:tcW w:w="460" w:type="dxa"/>
            <w:vAlign w:val="bottom"/>
          </w:tcPr>
          <w:p>
            <w:pPr>
              <w:spacing w:after="0"/>
              <w:rPr>
                <w:sz w:val="14"/>
                <w:szCs w:val="14"/>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Unexercised</w:t>
            </w:r>
          </w:p>
        </w:tc>
        <w:tc>
          <w:tcPr>
            <w:tcW w:w="120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5"/>
              </w:rPr>
              <w:t>Underlying</w:t>
            </w:r>
          </w:p>
        </w:tc>
        <w:tc>
          <w:tcPr>
            <w:tcW w:w="4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120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Options (#)</w:t>
            </w:r>
          </w:p>
        </w:tc>
        <w:tc>
          <w:tcPr>
            <w:tcW w:w="46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Exercisable</w:t>
            </w:r>
          </w:p>
        </w:tc>
        <w:tc>
          <w:tcPr>
            <w:tcW w:w="12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Unexercisable</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Price ($)</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8"/>
        </w:trPr>
        <w:tc>
          <w:tcPr>
            <w:tcW w:w="2340" w:type="dxa"/>
            <w:vAlign w:val="bottom"/>
          </w:tcPr>
          <w:p>
            <w:pPr>
              <w:ind w:left="20"/>
              <w:spacing w:after="0"/>
              <w:rPr>
                <w:sz w:val="20"/>
                <w:szCs w:val="20"/>
                <w:color w:val="auto"/>
              </w:rPr>
            </w:pPr>
            <w:r>
              <w:rPr>
                <w:rFonts w:ascii="Arial" w:cs="Arial" w:eastAsia="Arial" w:hAnsi="Arial"/>
                <w:sz w:val="14"/>
                <w:szCs w:val="14"/>
                <w:color w:val="auto"/>
              </w:rPr>
              <w:t>Bonnie H. Anderson</w:t>
            </w: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78,612</w:t>
            </w:r>
          </w:p>
        </w:tc>
        <w:tc>
          <w:tcPr>
            <w:tcW w:w="560" w:type="dxa"/>
            <w:vAlign w:val="bottom"/>
          </w:tcPr>
          <w:p>
            <w:pPr>
              <w:spacing w:after="0"/>
              <w:rPr>
                <w:sz w:val="22"/>
                <w:szCs w:val="22"/>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$2.36</w:t>
            </w:r>
          </w:p>
        </w:tc>
        <w:tc>
          <w:tcPr>
            <w:tcW w:w="1300" w:type="dxa"/>
            <w:vAlign w:val="bottom"/>
          </w:tcPr>
          <w:p>
            <w:pPr>
              <w:jc w:val="right"/>
              <w:spacing w:after="0"/>
              <w:rPr>
                <w:sz w:val="20"/>
                <w:szCs w:val="20"/>
                <w:color w:val="auto"/>
              </w:rPr>
            </w:pPr>
            <w:r>
              <w:rPr>
                <w:rFonts w:ascii="Arial" w:cs="Arial" w:eastAsia="Arial" w:hAnsi="Arial"/>
                <w:sz w:val="14"/>
                <w:szCs w:val="14"/>
                <w:color w:val="auto"/>
              </w:rPr>
              <w:t>9/27/2020</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18,125</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$2.36</w:t>
            </w:r>
          </w:p>
        </w:tc>
        <w:tc>
          <w:tcPr>
            <w:tcW w:w="1300" w:type="dxa"/>
            <w:vAlign w:val="bottom"/>
          </w:tcPr>
          <w:p>
            <w:pPr>
              <w:jc w:val="right"/>
              <w:spacing w:after="0"/>
              <w:rPr>
                <w:sz w:val="20"/>
                <w:szCs w:val="20"/>
                <w:color w:val="auto"/>
              </w:rPr>
            </w:pPr>
            <w:r>
              <w:rPr>
                <w:rFonts w:ascii="Arial" w:cs="Arial" w:eastAsia="Arial" w:hAnsi="Arial"/>
                <w:sz w:val="14"/>
                <w:szCs w:val="14"/>
                <w:color w:val="auto"/>
              </w:rPr>
              <w:t>2/22/2021</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32,782</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$2.68</w:t>
            </w:r>
          </w:p>
        </w:tc>
        <w:tc>
          <w:tcPr>
            <w:tcW w:w="1300" w:type="dxa"/>
            <w:vAlign w:val="bottom"/>
          </w:tcPr>
          <w:p>
            <w:pPr>
              <w:jc w:val="right"/>
              <w:spacing w:after="0"/>
              <w:rPr>
                <w:sz w:val="20"/>
                <w:szCs w:val="20"/>
                <w:color w:val="auto"/>
              </w:rPr>
            </w:pPr>
            <w:r>
              <w:rPr>
                <w:rFonts w:ascii="Arial" w:cs="Arial" w:eastAsia="Arial" w:hAnsi="Arial"/>
                <w:sz w:val="14"/>
                <w:szCs w:val="14"/>
                <w:color w:val="auto"/>
              </w:rPr>
              <w:t>3/9/2022</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133,750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$2.68</w:t>
            </w:r>
          </w:p>
        </w:tc>
        <w:tc>
          <w:tcPr>
            <w:tcW w:w="1300" w:type="dxa"/>
            <w:vAlign w:val="bottom"/>
          </w:tcPr>
          <w:p>
            <w:pPr>
              <w:jc w:val="right"/>
              <w:spacing w:after="0"/>
              <w:rPr>
                <w:sz w:val="20"/>
                <w:szCs w:val="20"/>
                <w:color w:val="auto"/>
              </w:rPr>
            </w:pPr>
            <w:r>
              <w:rPr>
                <w:rFonts w:ascii="Arial" w:cs="Arial" w:eastAsia="Arial" w:hAnsi="Arial"/>
                <w:sz w:val="14"/>
                <w:szCs w:val="14"/>
                <w:color w:val="auto"/>
              </w:rPr>
              <w:t>3/9/2022</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112,500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right"/>
              <w:spacing w:after="0"/>
              <w:rPr>
                <w:sz w:val="20"/>
                <w:szCs w:val="20"/>
                <w:color w:val="auto"/>
              </w:rPr>
            </w:pPr>
            <w:r>
              <w:rPr>
                <w:rFonts w:ascii="Arial" w:cs="Arial" w:eastAsia="Arial" w:hAnsi="Arial"/>
                <w:sz w:val="14"/>
                <w:szCs w:val="14"/>
                <w:color w:val="auto"/>
              </w:rPr>
              <w:t>2/4/2023</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24,112</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right"/>
              <w:spacing w:after="0"/>
              <w:rPr>
                <w:sz w:val="20"/>
                <w:szCs w:val="20"/>
                <w:color w:val="auto"/>
              </w:rPr>
            </w:pPr>
            <w:r>
              <w:rPr>
                <w:rFonts w:ascii="Arial" w:cs="Arial" w:eastAsia="Arial" w:hAnsi="Arial"/>
                <w:sz w:val="14"/>
                <w:szCs w:val="14"/>
                <w:color w:val="auto"/>
              </w:rPr>
              <w:t>2/4/2023</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12,500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right"/>
              <w:spacing w:after="0"/>
              <w:rPr>
                <w:sz w:val="20"/>
                <w:szCs w:val="20"/>
                <w:color w:val="auto"/>
              </w:rPr>
            </w:pPr>
            <w:r>
              <w:rPr>
                <w:rFonts w:ascii="Arial" w:cs="Arial" w:eastAsia="Arial" w:hAnsi="Arial"/>
                <w:sz w:val="14"/>
                <w:szCs w:val="14"/>
                <w:color w:val="auto"/>
              </w:rPr>
              <w:t>2/4/2023</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134,164</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1"/>
              </w:rPr>
              <w:t>5,836</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3"/>
              </w:rPr>
              <w:t>$14.34</w:t>
            </w:r>
          </w:p>
        </w:tc>
        <w:tc>
          <w:tcPr>
            <w:tcW w:w="1300" w:type="dxa"/>
            <w:vAlign w:val="bottom"/>
          </w:tcPr>
          <w:p>
            <w:pPr>
              <w:jc w:val="right"/>
              <w:spacing w:after="0"/>
              <w:rPr>
                <w:sz w:val="20"/>
                <w:szCs w:val="20"/>
                <w:color w:val="auto"/>
              </w:rPr>
            </w:pPr>
            <w:r>
              <w:rPr>
                <w:rFonts w:ascii="Arial" w:cs="Arial" w:eastAsia="Arial" w:hAnsi="Arial"/>
                <w:sz w:val="14"/>
                <w:szCs w:val="14"/>
                <w:color w:val="auto"/>
              </w:rPr>
              <w:t>2/18/2024</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154,687</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3"/>
              </w:rPr>
              <w:t>70,313</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$8.86</w:t>
            </w:r>
          </w:p>
        </w:tc>
        <w:tc>
          <w:tcPr>
            <w:tcW w:w="1300" w:type="dxa"/>
            <w:vAlign w:val="bottom"/>
          </w:tcPr>
          <w:p>
            <w:pPr>
              <w:jc w:val="right"/>
              <w:spacing w:after="0"/>
              <w:rPr>
                <w:sz w:val="20"/>
                <w:szCs w:val="20"/>
                <w:color w:val="auto"/>
              </w:rPr>
            </w:pPr>
            <w:r>
              <w:rPr>
                <w:rFonts w:ascii="Arial" w:cs="Arial" w:eastAsia="Arial" w:hAnsi="Arial"/>
                <w:sz w:val="14"/>
                <w:szCs w:val="14"/>
                <w:color w:val="auto"/>
              </w:rPr>
              <w:t>3/1/2025</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98,437</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4"/>
              </w:rPr>
              <w:t>126,563</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$5.61</w:t>
            </w:r>
          </w:p>
        </w:tc>
        <w:tc>
          <w:tcPr>
            <w:tcW w:w="1300" w:type="dxa"/>
            <w:vAlign w:val="bottom"/>
          </w:tcPr>
          <w:p>
            <w:pPr>
              <w:jc w:val="right"/>
              <w:spacing w:after="0"/>
              <w:rPr>
                <w:sz w:val="20"/>
                <w:szCs w:val="20"/>
                <w:color w:val="auto"/>
              </w:rPr>
            </w:pPr>
            <w:r>
              <w:rPr>
                <w:rFonts w:ascii="Arial" w:cs="Arial" w:eastAsia="Arial" w:hAnsi="Arial"/>
                <w:sz w:val="14"/>
                <w:szCs w:val="14"/>
                <w:color w:val="auto"/>
              </w:rPr>
              <w:t>3/13/2026</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4"/>
              </w:rPr>
              <w:t>310,000</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$9.05</w:t>
            </w:r>
          </w:p>
        </w:tc>
        <w:tc>
          <w:tcPr>
            <w:tcW w:w="1300" w:type="dxa"/>
            <w:vAlign w:val="bottom"/>
          </w:tcPr>
          <w:p>
            <w:pPr>
              <w:jc w:val="right"/>
              <w:spacing w:after="0"/>
              <w:rPr>
                <w:sz w:val="20"/>
                <w:szCs w:val="20"/>
                <w:color w:val="auto"/>
              </w:rPr>
            </w:pPr>
            <w:r>
              <w:rPr>
                <w:rFonts w:ascii="Arial" w:cs="Arial" w:eastAsia="Arial" w:hAnsi="Arial"/>
                <w:sz w:val="14"/>
                <w:szCs w:val="14"/>
                <w:color w:val="auto"/>
              </w:rPr>
              <w:t>3/2/2027</w:t>
            </w:r>
          </w:p>
        </w:tc>
        <w:tc>
          <w:tcPr>
            <w:tcW w:w="0" w:type="dxa"/>
            <w:vAlign w:val="bottom"/>
          </w:tcPr>
          <w:p>
            <w:pPr>
              <w:spacing w:after="0"/>
              <w:rPr>
                <w:sz w:val="1"/>
                <w:szCs w:val="1"/>
                <w:color w:val="auto"/>
              </w:rPr>
            </w:pPr>
          </w:p>
        </w:tc>
      </w:tr>
      <w:tr>
        <w:trPr>
          <w:trHeight w:val="554"/>
        </w:trPr>
        <w:tc>
          <w:tcPr>
            <w:tcW w:w="2340" w:type="dxa"/>
            <w:vAlign w:val="bottom"/>
          </w:tcPr>
          <w:p>
            <w:pPr>
              <w:ind w:left="20"/>
              <w:spacing w:after="0"/>
              <w:rPr>
                <w:sz w:val="20"/>
                <w:szCs w:val="20"/>
                <w:color w:val="auto"/>
              </w:rPr>
            </w:pPr>
            <w:r>
              <w:rPr>
                <w:rFonts w:ascii="Arial" w:cs="Arial" w:eastAsia="Arial" w:hAnsi="Arial"/>
                <w:sz w:val="14"/>
                <w:szCs w:val="14"/>
                <w:color w:val="auto"/>
              </w:rPr>
              <w:t>Christopher M. Hall</w:t>
            </w: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80,000</w:t>
            </w:r>
          </w:p>
        </w:tc>
        <w:tc>
          <w:tcPr>
            <w:tcW w:w="560" w:type="dxa"/>
            <w:vAlign w:val="bottom"/>
          </w:tcPr>
          <w:p>
            <w:pPr>
              <w:spacing w:after="0"/>
              <w:rPr>
                <w:sz w:val="24"/>
                <w:szCs w:val="24"/>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$0.80</w:t>
            </w:r>
          </w:p>
        </w:tc>
        <w:tc>
          <w:tcPr>
            <w:tcW w:w="1300" w:type="dxa"/>
            <w:vAlign w:val="bottom"/>
          </w:tcPr>
          <w:p>
            <w:pPr>
              <w:jc w:val="right"/>
              <w:spacing w:after="0"/>
              <w:rPr>
                <w:sz w:val="20"/>
                <w:szCs w:val="20"/>
                <w:color w:val="auto"/>
              </w:rPr>
            </w:pPr>
            <w:r>
              <w:rPr>
                <w:rFonts w:ascii="Arial" w:cs="Arial" w:eastAsia="Arial" w:hAnsi="Arial"/>
                <w:sz w:val="14"/>
                <w:szCs w:val="14"/>
                <w:color w:val="auto"/>
              </w:rPr>
              <w:t>3/29/2020</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12,500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$2.36</w:t>
            </w:r>
          </w:p>
        </w:tc>
        <w:tc>
          <w:tcPr>
            <w:tcW w:w="1300" w:type="dxa"/>
            <w:vAlign w:val="bottom"/>
          </w:tcPr>
          <w:p>
            <w:pPr>
              <w:jc w:val="right"/>
              <w:spacing w:after="0"/>
              <w:rPr>
                <w:sz w:val="20"/>
                <w:szCs w:val="20"/>
                <w:color w:val="auto"/>
              </w:rPr>
            </w:pPr>
            <w:r>
              <w:rPr>
                <w:rFonts w:ascii="Arial" w:cs="Arial" w:eastAsia="Arial" w:hAnsi="Arial"/>
                <w:sz w:val="14"/>
                <w:szCs w:val="14"/>
                <w:color w:val="auto"/>
              </w:rPr>
              <w:t>9/27/2020</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11,000</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$2.36</w:t>
            </w:r>
          </w:p>
        </w:tc>
        <w:tc>
          <w:tcPr>
            <w:tcW w:w="1300" w:type="dxa"/>
            <w:vAlign w:val="bottom"/>
          </w:tcPr>
          <w:p>
            <w:pPr>
              <w:jc w:val="right"/>
              <w:spacing w:after="0"/>
              <w:rPr>
                <w:sz w:val="20"/>
                <w:szCs w:val="20"/>
                <w:color w:val="auto"/>
              </w:rPr>
            </w:pPr>
            <w:r>
              <w:rPr>
                <w:rFonts w:ascii="Arial" w:cs="Arial" w:eastAsia="Arial" w:hAnsi="Arial"/>
                <w:sz w:val="14"/>
                <w:szCs w:val="14"/>
                <w:color w:val="auto"/>
              </w:rPr>
              <w:t>2/22/2021</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16,927</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$2.68</w:t>
            </w:r>
          </w:p>
        </w:tc>
        <w:tc>
          <w:tcPr>
            <w:tcW w:w="1300" w:type="dxa"/>
            <w:vAlign w:val="bottom"/>
          </w:tcPr>
          <w:p>
            <w:pPr>
              <w:jc w:val="right"/>
              <w:spacing w:after="0"/>
              <w:rPr>
                <w:sz w:val="20"/>
                <w:szCs w:val="20"/>
                <w:color w:val="auto"/>
              </w:rPr>
            </w:pPr>
            <w:r>
              <w:rPr>
                <w:rFonts w:ascii="Arial" w:cs="Arial" w:eastAsia="Arial" w:hAnsi="Arial"/>
                <w:sz w:val="14"/>
                <w:szCs w:val="14"/>
                <w:color w:val="auto"/>
              </w:rPr>
              <w:t>3/9/2022</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37,500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$2.68</w:t>
            </w:r>
          </w:p>
        </w:tc>
        <w:tc>
          <w:tcPr>
            <w:tcW w:w="1300" w:type="dxa"/>
            <w:vAlign w:val="bottom"/>
          </w:tcPr>
          <w:p>
            <w:pPr>
              <w:jc w:val="right"/>
              <w:spacing w:after="0"/>
              <w:rPr>
                <w:sz w:val="20"/>
                <w:szCs w:val="20"/>
                <w:color w:val="auto"/>
              </w:rPr>
            </w:pPr>
            <w:r>
              <w:rPr>
                <w:rFonts w:ascii="Arial" w:cs="Arial" w:eastAsia="Arial" w:hAnsi="Arial"/>
                <w:sz w:val="14"/>
                <w:szCs w:val="14"/>
                <w:color w:val="auto"/>
              </w:rPr>
              <w:t>3/9/2022</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31,250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right"/>
              <w:spacing w:after="0"/>
              <w:rPr>
                <w:sz w:val="20"/>
                <w:szCs w:val="20"/>
                <w:color w:val="auto"/>
              </w:rPr>
            </w:pPr>
            <w:r>
              <w:rPr>
                <w:rFonts w:ascii="Arial" w:cs="Arial" w:eastAsia="Arial" w:hAnsi="Arial"/>
                <w:sz w:val="14"/>
                <w:szCs w:val="14"/>
                <w:color w:val="auto"/>
              </w:rPr>
              <w:t>2/4/2023</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11,767</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right"/>
              <w:spacing w:after="0"/>
              <w:rPr>
                <w:sz w:val="20"/>
                <w:szCs w:val="20"/>
                <w:color w:val="auto"/>
              </w:rPr>
            </w:pPr>
            <w:r>
              <w:rPr>
                <w:rFonts w:ascii="Arial" w:cs="Arial" w:eastAsia="Arial" w:hAnsi="Arial"/>
                <w:sz w:val="14"/>
                <w:szCs w:val="14"/>
                <w:color w:val="auto"/>
              </w:rPr>
              <w:t>2/4/2023</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67,081</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1"/>
              </w:rPr>
              <w:t>2,919</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3"/>
              </w:rPr>
              <w:t>$14.34</w:t>
            </w:r>
          </w:p>
        </w:tc>
        <w:tc>
          <w:tcPr>
            <w:tcW w:w="1300" w:type="dxa"/>
            <w:vAlign w:val="bottom"/>
          </w:tcPr>
          <w:p>
            <w:pPr>
              <w:jc w:val="right"/>
              <w:spacing w:after="0"/>
              <w:rPr>
                <w:sz w:val="20"/>
                <w:szCs w:val="20"/>
                <w:color w:val="auto"/>
              </w:rPr>
            </w:pPr>
            <w:r>
              <w:rPr>
                <w:rFonts w:ascii="Arial" w:cs="Arial" w:eastAsia="Arial" w:hAnsi="Arial"/>
                <w:sz w:val="14"/>
                <w:szCs w:val="14"/>
                <w:color w:val="auto"/>
              </w:rPr>
              <w:t>2/18/2024</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32,498</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1"/>
              </w:rPr>
              <w:t>7,502</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3"/>
              </w:rPr>
              <w:t>$10.45</w:t>
            </w:r>
          </w:p>
        </w:tc>
        <w:tc>
          <w:tcPr>
            <w:tcW w:w="1300" w:type="dxa"/>
            <w:vAlign w:val="bottom"/>
          </w:tcPr>
          <w:p>
            <w:pPr>
              <w:jc w:val="right"/>
              <w:spacing w:after="0"/>
              <w:rPr>
                <w:sz w:val="20"/>
                <w:szCs w:val="20"/>
                <w:color w:val="auto"/>
              </w:rPr>
            </w:pPr>
            <w:r>
              <w:rPr>
                <w:rFonts w:ascii="Arial" w:cs="Arial" w:eastAsia="Arial" w:hAnsi="Arial"/>
                <w:sz w:val="14"/>
                <w:szCs w:val="14"/>
                <w:color w:val="auto"/>
              </w:rPr>
              <w:t>9/15/2024</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55,000</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3"/>
              </w:rPr>
              <w:t>25,000</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$8.86</w:t>
            </w:r>
          </w:p>
        </w:tc>
        <w:tc>
          <w:tcPr>
            <w:tcW w:w="1300" w:type="dxa"/>
            <w:vAlign w:val="bottom"/>
          </w:tcPr>
          <w:p>
            <w:pPr>
              <w:jc w:val="right"/>
              <w:spacing w:after="0"/>
              <w:rPr>
                <w:sz w:val="20"/>
                <w:szCs w:val="20"/>
                <w:color w:val="auto"/>
              </w:rPr>
            </w:pPr>
            <w:r>
              <w:rPr>
                <w:rFonts w:ascii="Arial" w:cs="Arial" w:eastAsia="Arial" w:hAnsi="Arial"/>
                <w:sz w:val="14"/>
                <w:szCs w:val="14"/>
                <w:color w:val="auto"/>
              </w:rPr>
              <w:t>3/1/2025</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37,185</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3"/>
              </w:rPr>
              <w:t>47,815</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$6.45</w:t>
            </w:r>
          </w:p>
        </w:tc>
        <w:tc>
          <w:tcPr>
            <w:tcW w:w="1300" w:type="dxa"/>
            <w:vAlign w:val="bottom"/>
          </w:tcPr>
          <w:p>
            <w:pPr>
              <w:jc w:val="right"/>
              <w:spacing w:after="0"/>
              <w:rPr>
                <w:sz w:val="20"/>
                <w:szCs w:val="20"/>
                <w:color w:val="auto"/>
              </w:rPr>
            </w:pPr>
            <w:r>
              <w:rPr>
                <w:rFonts w:ascii="Arial" w:cs="Arial" w:eastAsia="Arial" w:hAnsi="Arial"/>
                <w:sz w:val="14"/>
                <w:szCs w:val="14"/>
                <w:color w:val="auto"/>
              </w:rPr>
              <w:t>2/28/2026</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3"/>
              </w:rPr>
              <w:t>80,000</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$9.05</w:t>
            </w:r>
          </w:p>
        </w:tc>
        <w:tc>
          <w:tcPr>
            <w:tcW w:w="1300" w:type="dxa"/>
            <w:vAlign w:val="bottom"/>
          </w:tcPr>
          <w:p>
            <w:pPr>
              <w:jc w:val="right"/>
              <w:spacing w:after="0"/>
              <w:rPr>
                <w:sz w:val="20"/>
                <w:szCs w:val="20"/>
                <w:color w:val="auto"/>
              </w:rPr>
            </w:pPr>
            <w:r>
              <w:rPr>
                <w:rFonts w:ascii="Arial" w:cs="Arial" w:eastAsia="Arial" w:hAnsi="Arial"/>
                <w:sz w:val="14"/>
                <w:szCs w:val="14"/>
                <w:color w:val="auto"/>
              </w:rPr>
              <w:t>3/2/2027</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54"/>
        </w:trPr>
        <w:tc>
          <w:tcPr>
            <w:tcW w:w="2340" w:type="dxa"/>
            <w:vAlign w:val="bottom"/>
          </w:tcPr>
          <w:p>
            <w:pPr>
              <w:ind w:left="20"/>
              <w:spacing w:after="0"/>
              <w:rPr>
                <w:sz w:val="20"/>
                <w:szCs w:val="20"/>
                <w:color w:val="auto"/>
              </w:rPr>
            </w:pPr>
            <w:r>
              <w:rPr>
                <w:rFonts w:ascii="Arial" w:cs="Arial" w:eastAsia="Arial" w:hAnsi="Arial"/>
                <w:sz w:val="14"/>
                <w:szCs w:val="14"/>
                <w:color w:val="auto"/>
              </w:rPr>
              <w:t>Keith Kennedy</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4"/>
              </w:rPr>
              <w:t>100,000</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$7.47</w:t>
            </w:r>
          </w:p>
        </w:tc>
        <w:tc>
          <w:tcPr>
            <w:tcW w:w="1300" w:type="dxa"/>
            <w:vAlign w:val="bottom"/>
          </w:tcPr>
          <w:p>
            <w:pPr>
              <w:jc w:val="right"/>
              <w:spacing w:after="0"/>
              <w:rPr>
                <w:sz w:val="20"/>
                <w:szCs w:val="20"/>
                <w:color w:val="auto"/>
              </w:rPr>
            </w:pPr>
            <w:r>
              <w:rPr>
                <w:rFonts w:ascii="Arial" w:cs="Arial" w:eastAsia="Arial" w:hAnsi="Arial"/>
                <w:sz w:val="14"/>
                <w:szCs w:val="14"/>
                <w:color w:val="auto"/>
              </w:rPr>
              <w:t>12/5/2026</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color w:val="auto"/>
                <w:w w:val="93"/>
              </w:rPr>
              <w:t>20,000</w:t>
            </w:r>
          </w:p>
        </w:tc>
        <w:tc>
          <w:tcPr>
            <w:tcW w:w="460" w:type="dxa"/>
            <w:vAlign w:val="bottom"/>
          </w:tcPr>
          <w:p>
            <w:pPr>
              <w:spacing w:after="0"/>
              <w:rPr>
                <w:sz w:val="23"/>
                <w:szCs w:val="23"/>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$9.05</w:t>
            </w:r>
          </w:p>
        </w:tc>
        <w:tc>
          <w:tcPr>
            <w:tcW w:w="1300" w:type="dxa"/>
            <w:vAlign w:val="bottom"/>
          </w:tcPr>
          <w:p>
            <w:pPr>
              <w:jc w:val="right"/>
              <w:spacing w:after="0"/>
              <w:rPr>
                <w:sz w:val="20"/>
                <w:szCs w:val="20"/>
                <w:color w:val="auto"/>
              </w:rPr>
            </w:pPr>
            <w:r>
              <w:rPr>
                <w:rFonts w:ascii="Arial" w:cs="Arial" w:eastAsia="Arial" w:hAnsi="Arial"/>
                <w:sz w:val="14"/>
                <w:szCs w:val="14"/>
                <w:color w:val="auto"/>
              </w:rPr>
              <w:t>3/2/2027</w:t>
            </w:r>
          </w:p>
        </w:tc>
        <w:tc>
          <w:tcPr>
            <w:tcW w:w="0" w:type="dxa"/>
            <w:vAlign w:val="bottom"/>
          </w:tcPr>
          <w:p>
            <w:pPr>
              <w:spacing w:after="0"/>
              <w:rPr>
                <w:sz w:val="1"/>
                <w:szCs w:val="1"/>
                <w:color w:val="auto"/>
              </w:rPr>
            </w:pPr>
          </w:p>
        </w:tc>
      </w:tr>
      <w:tr>
        <w:trPr>
          <w:trHeight w:val="228"/>
        </w:trPr>
        <w:tc>
          <w:tcPr>
            <w:tcW w:w="23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Stock Awards</w:t>
      </w:r>
    </w:p>
    <w:p>
      <w:pPr>
        <w:spacing w:after="0" w:line="36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 of</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Shares or Units of Market Value of Shares or</w:t>
      </w:r>
    </w:p>
    <w:tbl>
      <w:tblPr>
        <w:tblLayout w:type="fixed"/>
        <w:tblInd w:w="0" w:type="dxa"/>
        <w:tblCellMar>
          <w:top w:w="0" w:type="dxa"/>
          <w:left w:w="0" w:type="dxa"/>
          <w:bottom w:w="0" w:type="dxa"/>
          <w:right w:w="0" w:type="dxa"/>
        </w:tblCellMar>
      </w:tblPr>
      <w:tr>
        <w:trPr>
          <w:trHeight w:val="133"/>
        </w:trPr>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Stock That Have</w:t>
            </w:r>
          </w:p>
        </w:tc>
        <w:tc>
          <w:tcPr>
            <w:tcW w:w="1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Units of Stock That Have</w:t>
            </w:r>
          </w:p>
        </w:tc>
      </w:tr>
      <w:tr>
        <w:trPr>
          <w:trHeight w:val="186"/>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Not Vested ($)</w:t>
            </w:r>
          </w:p>
        </w:tc>
      </w:tr>
      <w:tr>
        <w:trPr>
          <w:trHeight w:val="26"/>
        </w:trPr>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0"/>
        <w:spacing w:after="0"/>
        <w:tabs>
          <w:tab w:leader="none" w:pos="1520" w:val="left"/>
          <w:tab w:leader="none" w:pos="2520" w:val="left"/>
        </w:tabs>
        <w:rPr>
          <w:sz w:val="20"/>
          <w:szCs w:val="20"/>
          <w:color w:val="auto"/>
        </w:rPr>
      </w:pPr>
      <w:r>
        <w:rPr>
          <w:rFonts w:ascii="Arial" w:cs="Arial" w:eastAsia="Arial" w:hAnsi="Arial"/>
          <w:sz w:val="14"/>
          <w:szCs w:val="14"/>
          <w:color w:val="auto"/>
        </w:rPr>
        <w:t>20,000</w:t>
      </w:r>
      <w:r>
        <w:rPr>
          <w:sz w:val="20"/>
          <w:szCs w:val="20"/>
          <w:color w:val="auto"/>
        </w:rPr>
        <w:tab/>
      </w:r>
      <w:r>
        <w:rPr>
          <w:rFonts w:ascii="Arial" w:cs="Arial" w:eastAsia="Arial" w:hAnsi="Arial"/>
          <w:sz w:val="14"/>
          <w:szCs w:val="14"/>
          <w:color w:val="auto"/>
        </w:rPr>
        <w:t>130,600</w:t>
      </w:r>
      <w:r>
        <w:rPr>
          <w:sz w:val="20"/>
          <w:szCs w:val="20"/>
          <w:color w:val="auto"/>
        </w:rPr>
        <w:tab/>
      </w:r>
      <w:r>
        <w:rPr>
          <w:rFonts w:ascii="Arial" w:cs="Arial" w:eastAsia="Arial" w:hAnsi="Arial"/>
          <w:sz w:val="13"/>
          <w:szCs w:val="13"/>
          <w:color w:val="auto"/>
        </w:rPr>
        <w:t>(3)</w:t>
      </w:r>
    </w:p>
    <w:p>
      <w:pPr>
        <w:spacing w:after="0" w:line="1286" w:lineRule="exact"/>
        <w:rPr>
          <w:sz w:val="20"/>
          <w:szCs w:val="20"/>
          <w:color w:val="auto"/>
        </w:rPr>
      </w:pPr>
    </w:p>
    <w:p>
      <w:pPr>
        <w:sectPr>
          <w:pgSz w:w="11900" w:h="16838" w:orient="portrait"/>
          <w:cols w:equalWidth="0" w:num="2">
            <w:col w:w="8080" w:space="120"/>
            <w:col w:w="3220"/>
          </w:cols>
          <w:pgMar w:left="240" w:top="5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4" w:right="239" w:bottom="1440" w:gutter="0" w:footer="0" w:header="0"/>
          <w:type w:val="continuous"/>
        </w:sectPr>
      </w:pPr>
    </w:p>
    <w:bookmarkStart w:id="21" w:name="page22"/>
    <w:bookmarkEnd w:id="21"/>
    <w:p>
      <w:pPr>
        <w:ind w:left="840" w:right="80" w:hanging="532"/>
        <w:spacing w:after="0" w:line="25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296" w:lineRule="exact"/>
        <w:rPr>
          <w:rFonts w:ascii="Arial" w:cs="Arial" w:eastAsia="Arial" w:hAnsi="Arial"/>
          <w:sz w:val="18"/>
          <w:szCs w:val="18"/>
          <w:color w:val="auto"/>
        </w:rPr>
      </w:pPr>
    </w:p>
    <w:p>
      <w:pPr>
        <w:ind w:left="840" w:hanging="5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333" w:lineRule="exact"/>
        <w:rPr>
          <w:rFonts w:ascii="Arial" w:cs="Arial" w:eastAsia="Arial" w:hAnsi="Arial"/>
          <w:sz w:val="18"/>
          <w:szCs w:val="18"/>
          <w:color w:val="auto"/>
        </w:rPr>
      </w:pPr>
    </w:p>
    <w:p>
      <w:pPr>
        <w:ind w:left="840" w:right="360" w:hanging="532"/>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price of $6.53 per share, which was the closing price per share of our common stock as reported by The Nasdaq Global Market on December 29, 2017.</w:t>
      </w:r>
    </w:p>
    <w:p>
      <w:pPr>
        <w:spacing w:after="0" w:line="278" w:lineRule="exact"/>
        <w:rPr>
          <w:rFonts w:ascii="Arial" w:cs="Arial" w:eastAsia="Arial" w:hAnsi="Arial"/>
          <w:sz w:val="18"/>
          <w:szCs w:val="18"/>
          <w:color w:val="auto"/>
        </w:rPr>
      </w:pPr>
    </w:p>
    <w:p>
      <w:pPr>
        <w:ind w:left="840" w:right="160" w:hanging="532"/>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vesting commencement date is December 6, 2017, with 1/36th of the total number of shares subject to the option vesting each month for the following 36 months.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about our common stock that may be issued under our equity compensation plans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ectPr>
          <w:pgSz w:w="11900" w:h="16838" w:orient="portrait"/>
          <w:cols w:equalWidth="0" w:num="1">
            <w:col w:w="11420"/>
          </w:cols>
          <w:pgMar w:left="240" w:top="746" w:right="239" w:bottom="1440" w:gutter="0" w:footer="0" w:header="0"/>
        </w:sectPr>
      </w:pPr>
    </w:p>
    <w:p>
      <w:pPr>
        <w:spacing w:after="0" w:line="311" w:lineRule="exact"/>
        <w:rPr>
          <w:sz w:val="20"/>
          <w:szCs w:val="20"/>
          <w:color w:val="auto"/>
        </w:rPr>
      </w:pPr>
    </w:p>
    <w:tbl>
      <w:tblPr>
        <w:tblLayout w:type="fixed"/>
        <w:tblInd w:w="520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exercise price of</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w:t>
            </w:r>
          </w:p>
        </w:tc>
      </w:tr>
      <w:tr>
        <w:trPr>
          <w:trHeight w:val="2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(b)</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Number of securities</w:t>
      </w:r>
    </w:p>
    <w:p>
      <w:pPr>
        <w:spacing w:after="0" w:line="17"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remaining available for</w:t>
      </w:r>
    </w:p>
    <w:p>
      <w:pPr>
        <w:spacing w:after="0" w:line="1" w:lineRule="exact"/>
        <w:rPr>
          <w:sz w:val="20"/>
          <w:szCs w:val="20"/>
          <w:color w:val="auto"/>
        </w:rPr>
      </w:pPr>
    </w:p>
    <w:p>
      <w:pPr>
        <w:jc w:val="center"/>
        <w:ind w:right="700"/>
        <w:spacing w:after="0" w:line="309" w:lineRule="auto"/>
        <w:rPr>
          <w:sz w:val="20"/>
          <w:szCs w:val="20"/>
          <w:color w:val="auto"/>
        </w:rPr>
      </w:pPr>
      <w:r>
        <w:rPr>
          <w:rFonts w:ascii="Arial" w:cs="Arial" w:eastAsia="Arial" w:hAnsi="Arial"/>
          <w:sz w:val="12"/>
          <w:szCs w:val="12"/>
          <w:b w:val="1"/>
          <w:bCs w:val="1"/>
          <w:color w:val="auto"/>
        </w:rPr>
        <w:t>future issuance under equity compensation plans (excluding securities reflected in column (a)</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(c)</w:t>
      </w:r>
    </w:p>
    <w:p>
      <w:pPr>
        <w:spacing w:after="0" w:line="46" w:lineRule="exact"/>
        <w:rPr>
          <w:sz w:val="20"/>
          <w:szCs w:val="20"/>
          <w:color w:val="auto"/>
        </w:rPr>
      </w:pPr>
    </w:p>
    <w:p>
      <w:pPr>
        <w:sectPr>
          <w:pgSz w:w="11900" w:h="16838" w:orient="portrait"/>
          <w:cols w:equalWidth="0" w:num="2">
            <w:col w:w="8420" w:space="300"/>
            <w:col w:w="2700"/>
          </w:cols>
          <w:pgMar w:left="240" w:top="746" w:right="239" w:bottom="1440" w:gutter="0" w:footer="0" w:header="0"/>
          <w:type w:val="continuous"/>
        </w:sectPr>
      </w:pPr>
    </w:p>
    <w:tbl>
      <w:tblPr>
        <w:tblLayout w:type="fixed"/>
        <w:tblInd w:w="5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6,811,081</w:t>
            </w: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$7.76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1,589,909</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w w:val="95"/>
              </w:rPr>
              <w:t>Equity compensation plans not approved by security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spacing w:after="0"/>
              <w:rPr>
                <w:sz w:val="20"/>
                <w:szCs w:val="20"/>
                <w:color w:val="auto"/>
              </w:rPr>
            </w:pPr>
            <w:r>
              <w:rPr>
                <w:rFonts w:ascii="Arial" w:cs="Arial" w:eastAsia="Arial" w:hAnsi="Arial"/>
                <w:sz w:val="18"/>
                <w:szCs w:val="18"/>
                <w:color w:val="auto"/>
              </w:rPr>
              <w:t>6,811,081</w:t>
            </w:r>
          </w:p>
        </w:tc>
        <w:tc>
          <w:tcPr>
            <w:tcW w:w="80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$7.76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1,589,909</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205740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30" w:lineRule="exact"/>
        <w:rPr>
          <w:sz w:val="20"/>
          <w:szCs w:val="20"/>
          <w:color w:val="auto"/>
        </w:rPr>
      </w:pPr>
    </w:p>
    <w:p>
      <w:pPr>
        <w:ind w:left="500" w:right="740" w:hanging="6"/>
        <w:spacing w:after="0" w:line="27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RSUs, since RSUs have no exercise price.</w:t>
      </w:r>
    </w:p>
    <w:p>
      <w:pPr>
        <w:spacing w:after="0" w:line="224" w:lineRule="exact"/>
        <w:rPr>
          <w:rFonts w:ascii="Arial" w:cs="Arial" w:eastAsia="Arial" w:hAnsi="Arial"/>
          <w:sz w:val="18"/>
          <w:szCs w:val="18"/>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purchase rights accruing under the Employee Stock Purchase Plan.</w:t>
      </w:r>
    </w:p>
    <w:p>
      <w:pPr>
        <w:spacing w:after="0" w:line="279" w:lineRule="exact"/>
        <w:rPr>
          <w:rFonts w:ascii="Arial" w:cs="Arial" w:eastAsia="Arial" w:hAnsi="Arial"/>
          <w:sz w:val="18"/>
          <w:szCs w:val="18"/>
          <w:color w:val="auto"/>
        </w:rPr>
      </w:pPr>
    </w:p>
    <w:p>
      <w:pPr>
        <w:ind w:left="500" w:right="1120" w:hanging="6"/>
        <w:spacing w:after="0" w:line="27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1,133,907 shares available for issuance under our stock award plans and 456,002 shares available for purchase under our Employee Stock Purchase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audit committee acts pursuant to a written charter that was adopted by the board of directors in October 2013 and became effective in November 2013. Each member of the audit committee qualifies as “independent” under the current listing requirements of The Nasdaq Stock Market.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performing its functions, the audit committee acts in an oversight capacity and necessarily relies on the work and assurances of the Company’s management, which has the primary responsibility for financial statements and reports, and of the independent registered public accounting firm, who, in their report, express an opinion on the conformity of the Company’s annual financial statements with accounting principles generally accepted in the United States. It is not the duty of the audit committee to plan or conduct audits, to determine that the Company’s financial statements are complete and accurate and are in accordance with generally accepted accounting principles, or to assess or determine the effectiveness of the Company’s internal control over financial reporting.</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this framework, the audit committee has reviewed and discussed with management the Company’s audited financial statements as of and for the year ended December 31, 2017. The audit committee has also discussed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the Company’s Annual Report on Form 10-K for the year ended December 31, 2017.</w:t>
      </w: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L. Bishop</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Karin Eastham</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Kevin K. Gordon (Chair)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9"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March 31, 2018, by:</w:t>
      </w:r>
    </w:p>
    <w:p>
      <w:pPr>
        <w:spacing w:after="0" w:line="18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Applicable percentage ownership is based on 34,312,808 shares of common stock outstanding at March 31, 2018. In computing the number of shares of common stock beneficially owned by a person and the percentage ownership of that person, we deemed outstanding shares of common stock subject to options held by that person that are currently exercisable or exercisable within 60 days of March 31, 2018, the Record Date for the Annual Meeting. We did not deem these shares outstanding, however, for the purpose of computing the percentage ownership of any other person.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 94080.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jc w:val="center"/>
              <w:ind w:right="13"/>
              <w:spacing w:after="0"/>
              <w:rPr>
                <w:sz w:val="20"/>
                <w:szCs w:val="20"/>
                <w:color w:val="auto"/>
              </w:rPr>
            </w:pPr>
            <w:r>
              <w:rPr>
                <w:rFonts w:ascii="Arial" w:cs="Arial" w:eastAsia="Arial" w:hAnsi="Arial"/>
                <w:sz w:val="14"/>
                <w:szCs w:val="14"/>
                <w:b w:val="1"/>
                <w:bCs w:val="1"/>
                <w:color w:val="auto"/>
                <w:w w:val="90"/>
              </w:rPr>
              <w:t>Percentage of</w:t>
            </w:r>
          </w:p>
        </w:tc>
      </w:tr>
      <w:tr>
        <w:trPr>
          <w:trHeight w:val="162"/>
        </w:trPr>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Shares</w:t>
            </w:r>
          </w:p>
        </w:tc>
        <w:tc>
          <w:tcPr>
            <w:tcW w:w="1340" w:type="dxa"/>
            <w:vAlign w:val="bottom"/>
          </w:tcPr>
          <w:p>
            <w:pPr>
              <w:jc w:val="center"/>
              <w:ind w:right="13"/>
              <w:spacing w:after="0"/>
              <w:rPr>
                <w:sz w:val="20"/>
                <w:szCs w:val="20"/>
                <w:color w:val="auto"/>
              </w:rPr>
            </w:pPr>
            <w:r>
              <w:rPr>
                <w:rFonts w:ascii="Arial" w:cs="Arial" w:eastAsia="Arial" w:hAnsi="Arial"/>
                <w:sz w:val="14"/>
                <w:szCs w:val="14"/>
                <w:b w:val="1"/>
                <w:bCs w:val="1"/>
                <w:color w:val="auto"/>
                <w:w w:val="85"/>
              </w:rPr>
              <w:t>Shares</w:t>
            </w:r>
          </w:p>
        </w:tc>
      </w:tr>
      <w:tr>
        <w:trPr>
          <w:trHeight w:val="171"/>
        </w:trPr>
        <w:tc>
          <w:tcPr>
            <w:tcW w:w="51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and Address of Beneficial</w:t>
            </w:r>
          </w:p>
        </w:tc>
        <w:tc>
          <w:tcPr>
            <w:tcW w:w="2680" w:type="dxa"/>
            <w:vAlign w:val="bottom"/>
          </w:tcPr>
          <w:p>
            <w:pPr>
              <w:spacing w:after="0"/>
              <w:rPr>
                <w:sz w:val="14"/>
                <w:szCs w:val="14"/>
                <w:color w:val="auto"/>
              </w:rPr>
            </w:pP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Beneficially</w:t>
            </w:r>
          </w:p>
        </w:tc>
        <w:tc>
          <w:tcPr>
            <w:tcW w:w="134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Beneficially</w:t>
            </w:r>
          </w:p>
        </w:tc>
      </w:tr>
      <w:tr>
        <w:trPr>
          <w:trHeight w:val="196"/>
        </w:trPr>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Owner</w:t>
            </w:r>
          </w:p>
        </w:tc>
        <w:tc>
          <w:tcPr>
            <w:tcW w:w="18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Owned(1)</w:t>
            </w: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Owned</w:t>
            </w: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5% Stockholders:</w:t>
            </w:r>
          </w:p>
        </w:tc>
        <w:tc>
          <w:tcPr>
            <w:tcW w:w="2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Versant Ventures(2)</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3,616,221</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TPG Biotechnology Partners II, L.P(3)</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3,551,929</w:t>
            </w: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Acuta Capital Partners LLC(4)</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3,295,111</w:t>
            </w: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Domain Partners(5)</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2,817,081</w:t>
            </w: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Eventide Asset Management, LLC(6)</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2,133,500</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Cannell Capital LLC(7)</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1,912,627</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Blackrock, Inc.(8)</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1,842,981</w:t>
            </w: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Bonnie H. Anderson(9)</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1,064,419</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John L. Bishop(10)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39,895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Fred E. Cohen, M.D., D.Phil.(11)</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30,000</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Karin Eastham(12)</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83,227</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Robert S. Epstein, M.D., M.S.(10)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39,166</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Kevin K. Gordon (10)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12,395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Evan Jones(13)</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344,653</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Tina S. Nova(10)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31,875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Jesse I. Treu, Ph.D.(5)</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2,817,081</w:t>
            </w: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Christopher M. Hall(10)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444,733</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Keith Kennedy(10)</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37,535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All directors and executive officers as a group (11 persons)(14)</w:t>
            </w:r>
          </w:p>
        </w:tc>
        <w:tc>
          <w:tcPr>
            <w:tcW w:w="4160" w:type="dxa"/>
            <w:vAlign w:val="bottom"/>
            <w:gridSpan w:val="2"/>
          </w:tcPr>
          <w:p>
            <w:pPr>
              <w:jc w:val="right"/>
              <w:ind w:right="128"/>
              <w:spacing w:after="0"/>
              <w:rPr>
                <w:sz w:val="20"/>
                <w:szCs w:val="20"/>
                <w:color w:val="auto"/>
              </w:rPr>
            </w:pPr>
            <w:r>
              <w:rPr>
                <w:rFonts w:ascii="Arial" w:cs="Arial" w:eastAsia="Arial" w:hAnsi="Arial"/>
                <w:sz w:val="18"/>
                <w:szCs w:val="18"/>
                <w:color w:val="auto"/>
              </w:rPr>
              <w:t>4,944,979</w:t>
            </w:r>
          </w:p>
        </w:tc>
        <w:tc>
          <w:tcPr>
            <w:tcW w:w="13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57"/>
        </w:trPr>
        <w:tc>
          <w:tcPr>
            <w:tcW w:w="6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6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547"/>
        </w:trPr>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Less than 1%</w:t>
            </w:r>
          </w:p>
        </w:tc>
        <w:tc>
          <w:tcPr>
            <w:tcW w:w="2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62"/>
        </w:trPr>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80" w:type="dxa"/>
            <w:vAlign w:val="bottom"/>
          </w:tcPr>
          <w:p>
            <w:pPr>
              <w:jc w:val="right"/>
              <w:ind w:right="1890"/>
              <w:spacing w:after="0"/>
              <w:rPr>
                <w:sz w:val="20"/>
                <w:szCs w:val="20"/>
                <w:color w:val="auto"/>
              </w:rPr>
            </w:pPr>
            <w:r>
              <w:rPr>
                <w:rFonts w:ascii="Arial" w:cs="Arial" w:eastAsia="Arial" w:hAnsi="Arial"/>
                <w:sz w:val="18"/>
                <w:szCs w:val="18"/>
                <w:color w:val="auto"/>
              </w:rPr>
              <w:t>19</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24" w:name="page25"/>
    <w:bookmarkEnd w:id="24"/>
    <w:p>
      <w:pPr>
        <w:ind w:left="705" w:right="20" w:hanging="705"/>
        <w:spacing w:after="0" w:line="308" w:lineRule="auto"/>
        <w:tabs>
          <w:tab w:leader="none" w:pos="7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jc w:val="both"/>
        <w:ind w:left="705" w:hanging="705"/>
        <w:spacing w:after="0" w:line="255"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13G/A filed on February 10, 2016, includes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directors and/or members of Versant Ventures III, LLC are Brian G. Atwood, Bradley J. Bolzon, Samuel D. Colella, Ross A. Jaffe, William J. Link, Barbara N. Lubash, Donald B. Milder, Robin L. Praeger, Rebecca B. Robertson and Charles M. Warden, all of whom share voting and dispositive power with respect to these shares. The address of the entities and individuals affiliated with Versant Ventures is One Sansome Street, Suite 3630, San Francisco, California 95104.</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jc w:val="both"/>
        <w:ind w:left="705" w:hanging="705"/>
        <w:spacing w:after="0" w:line="270" w:lineRule="auto"/>
        <w:tabs>
          <w:tab w:leader="none" w:pos="7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 Schedule 13G filed on February 13, 2014, 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ind w:left="705" w:right="20" w:hanging="705"/>
        <w:spacing w:after="0" w:line="277"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on February 14, 2018, Acuta Capital Partners LLC has sole voting and dispositive power with respect to the shares. The address of Acuta Capital Partners LLC is 1301 Shoreway Road, Suite 350, Belmont, California, 94002.</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both"/>
        <w:ind w:left="705" w:hanging="705"/>
        <w:spacing w:after="0" w:line="290"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Form 4 filed on May 18, 2017, consists of 2,763,294 shares are held by Domain Partners VIII, L.P., 20,504 shares held by DP VIII Associates, L.P., 1,642 shares held by Jesse I. Treu and 1,641 shares held by Treu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and Nicole Vitullo. Each of Jesse I. Treu, James C. Blair, Brian H. Dovey, Brian K. Halak and Nicole Vitullo disclaims beneficial ownership of these shares except to the extent of his or her pecuniary interest therein. Also includes options to purchase 30,000 shares of our common stock which is exercisable within 60 days of March 31, 2018 by Jesse I. Treu. The address for the entities and individuals affiliated with Domain Partners is One Palmer Square, Suite 515, Princeton, New Jersey 08542.</w:t>
      </w:r>
    </w:p>
    <w:p>
      <w:pPr>
        <w:spacing w:after="0" w:line="200" w:lineRule="exact"/>
        <w:rPr>
          <w:rFonts w:ascii="Arial" w:cs="Arial" w:eastAsia="Arial" w:hAnsi="Arial"/>
          <w:sz w:val="16"/>
          <w:szCs w:val="16"/>
          <w:color w:val="auto"/>
        </w:rPr>
      </w:pPr>
    </w:p>
    <w:p>
      <w:pPr>
        <w:spacing w:after="0" w:line="303" w:lineRule="exact"/>
        <w:rPr>
          <w:rFonts w:ascii="Arial" w:cs="Arial" w:eastAsia="Arial" w:hAnsi="Arial"/>
          <w:sz w:val="16"/>
          <w:szCs w:val="16"/>
          <w:color w:val="auto"/>
        </w:rPr>
      </w:pPr>
    </w:p>
    <w:p>
      <w:pPr>
        <w:jc w:val="both"/>
        <w:ind w:left="705" w:right="20" w:hanging="705"/>
        <w:spacing w:after="0" w:line="286" w:lineRule="auto"/>
        <w:tabs>
          <w:tab w:leader="none" w:pos="7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 Schedule 13G/A filed on February 12, 2018, Eventide Asset Management, LLC has sole voting and dispositive power with respect to the shares of common stock held by registered investment companies, for which Eventide Asset Management, LLC, acts as investment adviser. The address of Eventide Asset Management, LLC is One International Place, 35th Floor, Boston, Massachusetts, 02110.</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jc w:val="both"/>
        <w:ind w:left="705" w:right="20" w:hanging="705"/>
        <w:spacing w:after="0" w:line="264"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on February 14, 2018, Cannell Capital LLC and J. Carlo Cannell, Mr. Cannell is the managing member of Cannell Capital LLC, and each have shared voting and dispositive power with respect to the shares. The address of Cannell Capital LLC and Mr. Cannell is 245 Meriwether Circle, Alta, WY, 83414.</w:t>
      </w:r>
    </w:p>
    <w:p>
      <w:pPr>
        <w:spacing w:after="0" w:line="343" w:lineRule="exact"/>
        <w:rPr>
          <w:rFonts w:ascii="Arial" w:cs="Arial" w:eastAsia="Arial" w:hAnsi="Arial"/>
          <w:sz w:val="18"/>
          <w:szCs w:val="18"/>
          <w:color w:val="auto"/>
        </w:rPr>
      </w:pPr>
    </w:p>
    <w:p>
      <w:pPr>
        <w:ind w:left="705" w:right="180" w:hanging="705"/>
        <w:spacing w:after="0" w:line="277"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on February 1, 2018, Blackrock, Inc. has sole voting and dispositive power with respect to the shares. The address of Blackrock, Inc. is 55 East 52nd Street, New York, NY, 10055.</w:t>
      </w:r>
    </w:p>
    <w:p>
      <w:pPr>
        <w:spacing w:after="0" w:line="332" w:lineRule="exact"/>
        <w:rPr>
          <w:rFonts w:ascii="Arial" w:cs="Arial" w:eastAsia="Arial" w:hAnsi="Arial"/>
          <w:sz w:val="18"/>
          <w:szCs w:val="18"/>
          <w:color w:val="auto"/>
        </w:rPr>
      </w:pPr>
    </w:p>
    <w:p>
      <w:pPr>
        <w:ind w:left="705" w:hanging="705"/>
        <w:spacing w:after="0" w:line="277"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ownership of 22,541 shares of our common stock, options to purchase 942,793 shares of our common stock which are exercisable within 60 days of March 31, 2018 and 99,085 of our common stock owned by the Bonnie H. Anderson Living Trust.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705" w:hanging="705"/>
        <w:spacing w:after="0"/>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options to purchase shares of our common stock which are exercisable within 60 days of March 31,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5"/>
          </w:cols>
          <w:pgMar w:left="275" w:top="1071" w:right="259" w:bottom="977" w:gutter="0" w:footer="0" w:header="0"/>
        </w:sectPr>
      </w:pPr>
    </w:p>
    <w:bookmarkStart w:id="25" w:name="page26"/>
    <w:bookmarkEnd w:id="25"/>
    <w:p>
      <w:pPr>
        <w:jc w:val="both"/>
        <w:ind w:left="740" w:right="40" w:hanging="705"/>
        <w:spacing w:after="0" w:line="26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30,000 options to purchase shares of our common stock which are exercisable within 60 days of March 31, 2018. Does not include 3,551,929 shares held by TPG Biotechnology Partners II, L.P. Dr. Cohen does not have voting or dispositive power with respect to the shares held by TPG Biotechnology Partners II, L.P. and disclaims beneficial ownership of such shares.</w:t>
      </w: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ind w:left="740" w:right="20" w:hanging="705"/>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options to purchase 70,000 shares of our common stock which are exercisable within 60 days of March 31, 2018 and 13,227 shares held by the Karin Eastham Defined Benefit Plan.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right="40" w:hanging="705"/>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options to purchase 65,000 shares of our common stock which are exercisable within 60 days of March 31, 2018 and 279,653 shares held by jVen Capital, LLC, of which Mr. Jones is Managing Member.</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740" w:hanging="705"/>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options to purchase 1,721,156 shares of our common stock which are exercisable within 60 days of March 31,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2018.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fees billed for professional audit services and other services rendered to us by Ernst &amp; Young LLP for 2016 and 2017.</w:t>
      </w:r>
    </w:p>
    <w:p>
      <w:pPr>
        <w:spacing w:after="0" w:line="361"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December 31,</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7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Audit Fees(1)</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$702,000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$910,000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Tax Fees(2)</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$3,200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All Other Fees(3)</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$1,910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$1,990</w:t>
            </w:r>
          </w:p>
        </w:tc>
      </w:tr>
      <w:tr>
        <w:trPr>
          <w:trHeight w:val="27"/>
        </w:trPr>
        <w:tc>
          <w:tcPr>
            <w:tcW w:w="84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ind w:right="274"/>
              <w:spacing w:after="0"/>
              <w:rPr>
                <w:sz w:val="20"/>
                <w:szCs w:val="20"/>
                <w:color w:val="auto"/>
              </w:rPr>
            </w:pPr>
            <w:r>
              <w:rPr>
                <w:rFonts w:ascii="Arial" w:cs="Arial" w:eastAsia="Arial" w:hAnsi="Arial"/>
                <w:sz w:val="18"/>
                <w:szCs w:val="18"/>
                <w:color w:val="auto"/>
              </w:rPr>
              <w:t>$703,910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$915,190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0" w:right="40" w:hanging="524"/>
        <w:spacing w:after="0" w:line="342" w:lineRule="auto"/>
        <w:tabs>
          <w:tab w:leader="none" w:pos="3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3000" w:hanging="524"/>
        <w:spacing w:after="0"/>
        <w:tabs>
          <w:tab w:leader="none" w:pos="3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Tax fees consist of federal and state tax compliance and planning, tax advice and preparation of tax returns.</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3000" w:hanging="524"/>
        <w:spacing w:after="0"/>
        <w:tabs>
          <w:tab w:leader="none" w:pos="3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fees consist of accounting consultations.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ectPr>
          <w:pgSz w:w="11900" w:h="16838" w:orient="portrait"/>
          <w:cols w:equalWidth="0" w:num="1">
            <w:col w:w="11420"/>
          </w:cols>
          <w:pgMar w:left="240" w:top="746" w:right="2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of Directors Recommends a Vote “FOR” Ratification of Ernst &amp; Young LLP as our Independent Registered Public Accounting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t>
      </w:r>
    </w:p>
    <w:p>
      <w:pPr>
        <w:spacing w:after="0" w:line="26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 registered class of our equity securities, to file reports of ownership on Forms 3, 4 and 5 with the SEC. Executive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executive officers, directors and greater than 10% stockholders complied on a timely basis with all Section 16(a) filing requirements applicable to them with respect to transactions during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2019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2019 Annual Meeting of Stockholders, the proponent and the proposal must comply with the proxy proposal submission rules of the SEC. One of the requirements is that the proposal be received by our Secretary no later than December 20, 2018. Proposals we receive after that date will not be included in the proxy statement. We urge stockholders to submit proposals by Certified Mail - Return Receipt Requested.</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stockholder proposal not included in our proxy statement for the 2019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by February 6, 2019, or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Last Name and Address</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(800) 542-1061 or writing to Broadridge, Householding Department, 51 Mercedes Way, Edgewood, New York, 11717.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Annual Report on Form 10-K for the year ended December 31, 2017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t>
      </w:r>
      <w:r>
        <w:rPr>
          <w:rFonts w:ascii="Arial" w:cs="Arial" w:eastAsia="Arial" w:hAnsi="Arial"/>
          <w:sz w:val="18"/>
          <w:szCs w:val="18"/>
          <w:u w:val="single" w:color="auto"/>
          <w:color w:val="0563C1"/>
        </w:rPr>
        <w:t>http://investor.veracyte.com/node/10091/html.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1066800</wp:posOffset>
            </wp:positionV>
            <wp:extent cx="5454015" cy="172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45401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929640</wp:posOffset>
            </wp:positionV>
            <wp:extent cx="5600065" cy="3807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60006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929640</wp:posOffset>
            </wp:positionV>
            <wp:extent cx="5659755" cy="4013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65975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x"/>
      <w:numFmt w:val="bullet"/>
      <w:start w:val="1"/>
    </w:lvl>
  </w:abstractNum>
  <w:abstractNum w:abstractNumId="2">
    <w:nsid w:val="515F007C"/>
    <w:multiLevelType w:val="hybridMultilevel"/>
    <w:lvl w:ilvl="0">
      <w:lvlJc w:val="left"/>
      <w:lvlText w:val="o"/>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2019-12-07T07:26:02Z</dcterms:created>
  <dcterms:modified xsi:type="dcterms:W3CDTF">2019-12-07T07:26:02Z</dcterms:modified>
</cp:coreProperties>
</file>