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 Mark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46"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Principal Accounting Officer</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1"/>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02/28/2020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3,000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center"/>
              <w:ind w:right="279"/>
              <w:spacing w:after="0"/>
              <w:rPr>
                <w:sz w:val="20"/>
                <w:szCs w:val="20"/>
                <w:color w:val="auto"/>
              </w:rPr>
            </w:pPr>
            <w:r>
              <w:rPr>
                <w:rFonts w:ascii="Arial" w:cs="Arial" w:eastAsia="Arial" w:hAnsi="Arial"/>
                <w:sz w:val="17"/>
                <w:szCs w:val="17"/>
                <w:color w:val="0000FF"/>
              </w:rPr>
              <w:t>25,905</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03/02/2020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(3)</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486</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25,419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02/28/2020</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17,500</w:t>
            </w:r>
          </w:p>
        </w:tc>
        <w:tc>
          <w:tcPr>
            <w:tcW w:w="360" w:type="dxa"/>
            <w:vAlign w:val="bottom"/>
          </w:tcPr>
          <w:p>
            <w:pPr>
              <w:spacing w:after="0"/>
              <w:rPr>
                <w:sz w:val="17"/>
                <w:szCs w:val="17"/>
                <w:color w:val="auto"/>
              </w:rPr>
            </w:pPr>
          </w:p>
        </w:tc>
        <w:tc>
          <w:tcPr>
            <w:tcW w:w="780" w:type="dxa"/>
            <w:vAlign w:val="bottom"/>
            <w:gridSpan w:val="2"/>
          </w:tcPr>
          <w:p>
            <w:pPr>
              <w:jc w:val="center"/>
              <w:ind w:right="21"/>
              <w:spacing w:after="0"/>
              <w:rPr>
                <w:sz w:val="20"/>
                <w:szCs w:val="20"/>
                <w:color w:val="auto"/>
              </w:rPr>
            </w:pPr>
            <w:r>
              <w:rPr>
                <w:rFonts w:ascii="Arial" w:cs="Arial" w:eastAsia="Arial" w:hAnsi="Arial"/>
                <w:sz w:val="11"/>
                <w:szCs w:val="11"/>
                <w:color w:val="008000"/>
              </w:rPr>
              <w:t>(4)</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02/27/2030</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17,500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17,500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2020 vest 25% on March 2, 2021 and 1/16 per quarter thereafter subject to continuing employment of the Reporting Person on each vesting date.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1,147 shares of common stock purchased pursuant to the Veracyte, Inc. Employee Stock Purchase Plan.</w:t>
      </w:r>
    </w:p>
    <w:p>
      <w:pPr>
        <w:spacing w:after="0" w:line="51"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relinquished by the Reporting Person and cancelled by the Issuer in exchange for the Issuer's agreement to pay federal and state tax withholding obligations of the Reporting Person resulting from the vesting of restricted stock units. The Reporting Person did not sell or otherwise dispose of the shares for any reason other than to cover required taxes.</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2021, and the remaining shares vest at a rate of 1/48th of the total number of shares subject to the award for each month of continuous service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Keith Kennedy as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46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16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2020-03-03T17:02:22Z</dcterms:created>
  <dcterms:modified xsi:type="dcterms:W3CDTF">2020-03-03T17:02:22Z</dcterms:modified>
</cp:coreProperties>
</file>