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38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380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JONES EVAN/ FA</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1"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60" w:type="dxa"/>
            <w:vAlign w:val="bottom"/>
            <w:gridSpan w:val="7"/>
          </w:tcPr>
          <w:p>
            <w:pPr>
              <w:jc w:val="center"/>
              <w:ind w:righ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gridSpan w:val="2"/>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w:t>
            </w:r>
          </w:p>
        </w:tc>
        <w:tc>
          <w:tcPr>
            <w:tcW w:w="16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06/07/2018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10,000</w:t>
            </w:r>
          </w:p>
        </w:tc>
        <w:tc>
          <w:tcPr>
            <w:tcW w:w="380" w:type="dxa"/>
            <w:vAlign w:val="bottom"/>
          </w:tcPr>
          <w:p>
            <w:pPr>
              <w:spacing w:after="0"/>
              <w:rPr>
                <w:sz w:val="18"/>
                <w:szCs w:val="18"/>
                <w:color w:val="auto"/>
              </w:rPr>
            </w:pPr>
          </w:p>
        </w:tc>
        <w:tc>
          <w:tcPr>
            <w:tcW w:w="880" w:type="dxa"/>
            <w:vAlign w:val="bottom"/>
            <w:gridSpan w:val="2"/>
          </w:tcPr>
          <w:p>
            <w:pPr>
              <w:spacing w:after="0" w:line="211" w:lineRule="exact"/>
              <w:rPr>
                <w:sz w:val="20"/>
                <w:szCs w:val="20"/>
                <w:color w:val="auto"/>
              </w:rPr>
            </w:pPr>
            <w:r>
              <w:rPr>
                <w:rFonts w:ascii="Arial" w:cs="Arial" w:eastAsia="Arial" w:hAnsi="Arial"/>
                <w:sz w:val="13"/>
                <w:szCs w:val="13"/>
                <w:color w:val="0000FF"/>
              </w:rPr>
              <w:t>06/07/2019</w:t>
            </w:r>
            <w:r>
              <w:rPr>
                <w:rFonts w:ascii="Arial" w:cs="Arial" w:eastAsia="Arial" w:hAnsi="Arial"/>
                <w:sz w:val="22"/>
                <w:szCs w:val="22"/>
                <w:color w:val="008000"/>
                <w:vertAlign w:val="superscript"/>
              </w:rPr>
              <w:t>(1)</w:t>
            </w:r>
          </w:p>
        </w:tc>
        <w:tc>
          <w:tcPr>
            <w:tcW w:w="680" w:type="dxa"/>
            <w:vAlign w:val="bottom"/>
          </w:tcPr>
          <w:p>
            <w:pPr>
              <w:spacing w:after="0"/>
              <w:rPr>
                <w:sz w:val="20"/>
                <w:szCs w:val="20"/>
                <w:color w:val="auto"/>
              </w:rPr>
            </w:pPr>
            <w:r>
              <w:rPr>
                <w:rFonts w:ascii="Arial" w:cs="Arial" w:eastAsia="Arial" w:hAnsi="Arial"/>
                <w:sz w:val="13"/>
                <w:szCs w:val="13"/>
                <w:color w:val="0000FF"/>
              </w:rPr>
              <w:t>06/07/2028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10,000</w:t>
            </w:r>
          </w:p>
        </w:tc>
        <w:tc>
          <w:tcPr>
            <w:tcW w:w="86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the first anniversary of the date of the grant or immediately prior to the Company's next annual meeting of stockholders, if earlier. In addition, the option vests in full in the event of a change in control of the Company.</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0"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06/07/2018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39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287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20741"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2019-12-24T06:58:01Z</dcterms:created>
  <dcterms:modified xsi:type="dcterms:W3CDTF">2019-12-24T06:58:01Z</dcterms:modified>
</cp:coreProperties>
</file>