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20"/>
        <w:spacing w:after="0"/>
        <w:rPr>
          <w:sz w:val="20"/>
          <w:szCs w:val="20"/>
          <w:color w:val="auto"/>
        </w:rPr>
      </w:pPr>
      <w:r>
        <w:rPr>
          <w:rFonts w:ascii="Arial" w:cs="Arial" w:eastAsia="Arial" w:hAnsi="Arial"/>
          <w:sz w:val="18"/>
          <w:szCs w:val="18"/>
          <w:color w:val="auto"/>
        </w:rPr>
        <w:t>As filed with the Securities and Exchange Commission on June 8, 2023</w:t>
      </w:r>
    </w:p>
    <w:p>
      <w:pPr>
        <w:spacing w:after="0" w:line="36"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333-270147</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333-263116</w:t>
      </w:r>
    </w:p>
    <w:p>
      <w:pPr>
        <w:spacing w:after="0" w:line="9"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333-253363</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333-236630</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333-229848</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333-223292</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333-216388</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333-210185</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333-203097</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333-191992</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UNITED STATES</w:t>
      </w:r>
    </w:p>
    <w:p>
      <w:pPr>
        <w:spacing w:after="0" w:line="66"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58"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Washington, D.C. 20549</w:t>
      </w:r>
    </w:p>
    <w:p>
      <w:pPr>
        <w:spacing w:after="0" w:line="76"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333-270147</w:t>
      </w:r>
    </w:p>
    <w:p>
      <w:pPr>
        <w:spacing w:after="0" w:line="1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333-263116</w:t>
      </w:r>
    </w:p>
    <w:p>
      <w:pPr>
        <w:ind w:left="340"/>
        <w:spacing w:after="0" w:line="234" w:lineRule="auto"/>
        <w:rPr>
          <w:sz w:val="20"/>
          <w:szCs w:val="20"/>
          <w:color w:val="auto"/>
        </w:rPr>
      </w:pPr>
      <w:r>
        <w:rPr>
          <w:rFonts w:ascii="Arial" w:cs="Arial" w:eastAsia="Arial" w:hAnsi="Arial"/>
          <w:sz w:val="18"/>
          <w:szCs w:val="18"/>
          <w:b w:val="1"/>
          <w:bCs w:val="1"/>
          <w:color w:val="auto"/>
        </w:rPr>
        <w:t>POST-EFFECTIVE AMENDMENT NO. 1 TO FORM S-8 REGISTRATION STATEMENT NO. 333-253363</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333-236630</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333-229848</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333-223292</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333-216388</w:t>
      </w:r>
    </w:p>
    <w:p>
      <w:pPr>
        <w:ind w:left="340"/>
        <w:spacing w:after="0" w:line="234" w:lineRule="auto"/>
        <w:rPr>
          <w:sz w:val="20"/>
          <w:szCs w:val="20"/>
          <w:color w:val="auto"/>
        </w:rPr>
      </w:pPr>
      <w:r>
        <w:rPr>
          <w:rFonts w:ascii="Arial" w:cs="Arial" w:eastAsia="Arial" w:hAnsi="Arial"/>
          <w:sz w:val="18"/>
          <w:szCs w:val="18"/>
          <w:b w:val="1"/>
          <w:bCs w:val="1"/>
          <w:color w:val="auto"/>
        </w:rPr>
        <w:t>POST-EFFECTIVE AMENDMENT NO. 1 TO FORM S-8 REGISTRATION STATEMENT NO. 333-210185</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333-203097</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333-191992</w:t>
      </w:r>
    </w:p>
    <w:p>
      <w:pPr>
        <w:spacing w:after="0" w:line="255"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UNDER THE SECURITIES ACT OF 1933</w:t>
      </w:r>
    </w:p>
    <w:p>
      <w:pPr>
        <w:spacing w:after="0" w:line="35"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w:t>
      </w:r>
    </w:p>
    <w:p>
      <w:pPr>
        <w:spacing w:after="0" w:line="120" w:lineRule="exact"/>
        <w:rPr>
          <w:sz w:val="24"/>
          <w:szCs w:val="24"/>
          <w:color w:val="auto"/>
        </w:rPr>
      </w:pPr>
    </w:p>
    <w:p>
      <w:pPr>
        <w:ind w:left="3020"/>
        <w:spacing w:after="0"/>
        <w:rPr>
          <w:sz w:val="20"/>
          <w:szCs w:val="20"/>
          <w:color w:val="auto"/>
        </w:rPr>
      </w:pPr>
      <w:r>
        <w:rPr>
          <w:rFonts w:ascii="Arial" w:cs="Arial" w:eastAsia="Arial" w:hAnsi="Arial"/>
          <w:sz w:val="36"/>
          <w:szCs w:val="36"/>
          <w:b w:val="1"/>
          <w:bCs w:val="1"/>
          <w:color w:val="auto"/>
        </w:rPr>
        <w:t>VERACYTE, INC.</w:t>
      </w:r>
    </w:p>
    <w:p>
      <w:pPr>
        <w:spacing w:after="0" w:line="65"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120"/>
          </w:cols>
          <w:pgMar w:left="1440" w:top="1016" w:right="339" w:bottom="1440" w:gutter="0" w:footer="0" w:header="0"/>
        </w:sectPr>
      </w:pPr>
    </w:p>
    <w:bookmarkStart w:id="1" w:name="page2"/>
    <w:bookmarkEnd w:id="1"/>
    <w:tbl>
      <w:tblPr>
        <w:tblLayout w:type="fixed"/>
        <w:tblInd w:w="1360" w:type="dxa"/>
        <w:tblCellMar>
          <w:top w:w="0" w:type="dxa"/>
          <w:left w:w="0" w:type="dxa"/>
          <w:bottom w:w="0" w:type="dxa"/>
          <w:right w:w="0" w:type="dxa"/>
        </w:tblCellMar>
      </w:tblP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2"/>
              </w:rPr>
              <w:t>Delaware</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20-5455398</w:t>
            </w:r>
          </w:p>
        </w:tc>
      </w:t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3"/>
              </w:rPr>
              <w:t>(State or other jurisdiction of</w:t>
            </w:r>
          </w:p>
        </w:tc>
        <w:tc>
          <w:tcPr>
            <w:tcW w:w="1640" w:type="dxa"/>
            <w:vAlign w:val="bottom"/>
          </w:tcPr>
          <w:p>
            <w:pPr>
              <w:ind w:left="380"/>
              <w:spacing w:after="0"/>
              <w:rPr>
                <w:sz w:val="20"/>
                <w:szCs w:val="20"/>
                <w:color w:val="auto"/>
              </w:rPr>
            </w:pPr>
            <w:r>
              <w:rPr>
                <w:rFonts w:ascii="Arial" w:cs="Arial" w:eastAsia="Arial" w:hAnsi="Arial"/>
                <w:sz w:val="18"/>
                <w:szCs w:val="18"/>
                <w:color w:val="auto"/>
                <w:w w:val="93"/>
              </w:rPr>
              <w:t>(I.R.S. Employer</w:t>
            </w:r>
          </w:p>
        </w:tc>
      </w:tr>
      <w:tr>
        <w:trPr>
          <w:trHeight w:val="230"/>
        </w:trPr>
        <w:tc>
          <w:tcPr>
            <w:tcW w:w="5920" w:type="dxa"/>
            <w:vAlign w:val="bottom"/>
          </w:tcPr>
          <w:p>
            <w:pPr>
              <w:jc w:val="center"/>
              <w:ind w:right="2910"/>
              <w:spacing w:after="0"/>
              <w:rPr>
                <w:sz w:val="20"/>
                <w:szCs w:val="20"/>
                <w:color w:val="auto"/>
              </w:rPr>
            </w:pPr>
            <w:r>
              <w:rPr>
                <w:rFonts w:ascii="Arial" w:cs="Arial" w:eastAsia="Arial" w:hAnsi="Arial"/>
                <w:sz w:val="18"/>
                <w:szCs w:val="18"/>
                <w:color w:val="auto"/>
                <w:w w:val="92"/>
              </w:rPr>
              <w:t>incorporation or organization)</w:t>
            </w: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4"/>
              </w:rPr>
              <w:t>Identification No.)</w:t>
            </w:r>
          </w:p>
        </w:tc>
      </w:tr>
      <w:tr>
        <w:trPr>
          <w:trHeight w:val="485"/>
        </w:trPr>
        <w:tc>
          <w:tcPr>
            <w:tcW w:w="5920" w:type="dxa"/>
            <w:vAlign w:val="bottom"/>
          </w:tcPr>
          <w:p>
            <w:pPr>
              <w:jc w:val="center"/>
              <w:ind w:right="2910"/>
              <w:spacing w:after="0"/>
              <w:rPr>
                <w:sz w:val="20"/>
                <w:szCs w:val="20"/>
                <w:color w:val="auto"/>
              </w:rPr>
            </w:pPr>
            <w:r>
              <w:rPr>
                <w:rFonts w:ascii="Arial" w:cs="Arial" w:eastAsia="Arial" w:hAnsi="Arial"/>
                <w:sz w:val="18"/>
                <w:szCs w:val="18"/>
                <w:color w:val="auto"/>
                <w:w w:val="90"/>
              </w:rPr>
              <w:t>6000 Shoreline Court, Suite 300</w:t>
            </w:r>
          </w:p>
        </w:tc>
        <w:tc>
          <w:tcPr>
            <w:tcW w:w="1640" w:type="dxa"/>
            <w:vAlign w:val="bottom"/>
          </w:tcPr>
          <w:p>
            <w:pPr>
              <w:spacing w:after="0"/>
              <w:rPr>
                <w:sz w:val="24"/>
                <w:szCs w:val="24"/>
                <w:color w:val="auto"/>
              </w:rPr>
            </w:pPr>
          </w:p>
        </w:tc>
      </w:t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0"/>
              </w:rPr>
              <w:t>South San Francisco, California</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94080</w:t>
            </w:r>
          </w:p>
        </w:tc>
      </w:tr>
      <w:tr>
        <w:trPr>
          <w:trHeight w:val="271"/>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2"/>
              </w:rPr>
              <w:t>(Address of Principal Executive Offices)</w:t>
            </w: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r>
      <w:tr>
        <w:trPr>
          <w:trHeight w:val="418"/>
        </w:trPr>
        <w:tc>
          <w:tcPr>
            <w:tcW w:w="5920" w:type="dxa"/>
            <w:vAlign w:val="bottom"/>
          </w:tcPr>
          <w:p>
            <w:pPr>
              <w:jc w:val="center"/>
              <w:ind w:left="2210"/>
              <w:spacing w:after="0"/>
              <w:rPr>
                <w:sz w:val="20"/>
                <w:szCs w:val="20"/>
                <w:color w:val="auto"/>
              </w:rPr>
            </w:pPr>
            <w:r>
              <w:rPr>
                <w:rFonts w:ascii="Arial" w:cs="Arial" w:eastAsia="Arial" w:hAnsi="Arial"/>
                <w:sz w:val="18"/>
                <w:szCs w:val="18"/>
                <w:color w:val="auto"/>
                <w:w w:val="90"/>
              </w:rPr>
              <w:t>Veracyte, Inc. 2008 Stock Plan</w:t>
            </w:r>
          </w:p>
        </w:tc>
        <w:tc>
          <w:tcPr>
            <w:tcW w:w="1640" w:type="dxa"/>
            <w:vAlign w:val="bottom"/>
          </w:tcPr>
          <w:p>
            <w:pPr>
              <w:spacing w:after="0"/>
              <w:rPr>
                <w:sz w:val="24"/>
                <w:szCs w:val="24"/>
                <w:color w:val="auto"/>
              </w:rPr>
            </w:pPr>
          </w:p>
        </w:tc>
      </w:tr>
      <w:tr>
        <w:trPr>
          <w:trHeight w:val="216"/>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0"/>
              </w:rPr>
              <w:t>Veracyte, Inc. 2013 Stock Incentive Plan</w:t>
            </w:r>
          </w:p>
        </w:tc>
        <w:tc>
          <w:tcPr>
            <w:tcW w:w="1640" w:type="dxa"/>
            <w:vAlign w:val="bottom"/>
          </w:tcPr>
          <w:p>
            <w:pPr>
              <w:spacing w:after="0"/>
              <w:rPr>
                <w:sz w:val="18"/>
                <w:szCs w:val="18"/>
                <w:color w:val="auto"/>
              </w:rPr>
            </w:pPr>
          </w:p>
        </w:tc>
      </w:tr>
      <w:tr>
        <w:trPr>
          <w:trHeight w:val="230"/>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1"/>
              </w:rPr>
              <w:t>Veracyte, Inc. 2023 Equity Incentive Plan</w:t>
            </w:r>
          </w:p>
        </w:tc>
        <w:tc>
          <w:tcPr>
            <w:tcW w:w="1640" w:type="dxa"/>
            <w:vAlign w:val="bottom"/>
          </w:tcPr>
          <w:p>
            <w:pPr>
              <w:spacing w:after="0"/>
              <w:rPr>
                <w:sz w:val="20"/>
                <w:szCs w:val="20"/>
                <w:color w:val="auto"/>
              </w:rPr>
            </w:pPr>
          </w:p>
        </w:tc>
      </w:tr>
      <w:tr>
        <w:trPr>
          <w:trHeight w:val="270"/>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2"/>
              </w:rPr>
              <w:t>(Full titles of the plans)</w:t>
            </w:r>
          </w:p>
        </w:tc>
        <w:tc>
          <w:tcPr>
            <w:tcW w:w="1640" w:type="dxa"/>
            <w:vAlign w:val="bottom"/>
          </w:tcPr>
          <w:p>
            <w:pPr>
              <w:spacing w:after="0"/>
              <w:rPr>
                <w:sz w:val="23"/>
                <w:szCs w:val="23"/>
                <w:color w:val="auto"/>
              </w:rPr>
            </w:pPr>
          </w:p>
        </w:tc>
      </w:tr>
    </w:tbl>
    <w:p>
      <w:pPr>
        <w:spacing w:after="0" w:line="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Marc Stapley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(Name and address of agent for service)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(650) 243-6300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Copies to:</w:t>
      </w:r>
    </w:p>
    <w:p>
      <w:pPr>
        <w:spacing w:after="0" w:line="116"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4160" w:type="dxa"/>
            <w:vAlign w:val="bottom"/>
          </w:tcPr>
          <w:p>
            <w:pPr>
              <w:jc w:val="center"/>
              <w:ind w:right="1210"/>
              <w:spacing w:after="0"/>
              <w:rPr>
                <w:sz w:val="20"/>
                <w:szCs w:val="20"/>
                <w:color w:val="auto"/>
              </w:rPr>
            </w:pPr>
            <w:r>
              <w:rPr>
                <w:rFonts w:ascii="Arial" w:cs="Arial" w:eastAsia="Arial" w:hAnsi="Arial"/>
                <w:sz w:val="18"/>
                <w:szCs w:val="18"/>
                <w:color w:val="auto"/>
                <w:w w:val="89"/>
              </w:rPr>
              <w:t>Ran Ben-Tzur, Esq.</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2"/>
              </w:rPr>
              <w:t>Annie McGuire Esq.</w:t>
            </w:r>
          </w:p>
        </w:tc>
      </w:tr>
      <w:tr>
        <w:trPr>
          <w:trHeight w:val="216"/>
        </w:trPr>
        <w:tc>
          <w:tcPr>
            <w:tcW w:w="4160" w:type="dxa"/>
            <w:vAlign w:val="bottom"/>
          </w:tcPr>
          <w:p>
            <w:pPr>
              <w:jc w:val="center"/>
              <w:ind w:right="1230"/>
              <w:spacing w:after="0"/>
              <w:rPr>
                <w:sz w:val="20"/>
                <w:szCs w:val="20"/>
                <w:color w:val="auto"/>
              </w:rPr>
            </w:pPr>
            <w:r>
              <w:rPr>
                <w:rFonts w:ascii="Arial" w:cs="Arial" w:eastAsia="Arial" w:hAnsi="Arial"/>
                <w:sz w:val="18"/>
                <w:szCs w:val="18"/>
                <w:color w:val="auto"/>
                <w:w w:val="93"/>
              </w:rPr>
              <w:t>Fenwick &amp; West LLP</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Executive Vice President and</w:t>
            </w:r>
          </w:p>
        </w:tc>
      </w:tr>
      <w:tr>
        <w:trPr>
          <w:trHeight w:val="216"/>
        </w:trPr>
        <w:tc>
          <w:tcPr>
            <w:tcW w:w="4160" w:type="dxa"/>
            <w:vAlign w:val="bottom"/>
          </w:tcPr>
          <w:p>
            <w:pPr>
              <w:jc w:val="center"/>
              <w:ind w:right="1230"/>
              <w:spacing w:after="0"/>
              <w:rPr>
                <w:sz w:val="20"/>
                <w:szCs w:val="20"/>
                <w:color w:val="auto"/>
              </w:rPr>
            </w:pPr>
            <w:r>
              <w:rPr>
                <w:rFonts w:ascii="Arial" w:cs="Arial" w:eastAsia="Arial" w:hAnsi="Arial"/>
                <w:sz w:val="18"/>
                <w:szCs w:val="18"/>
                <w:color w:val="auto"/>
                <w:w w:val="90"/>
              </w:rPr>
              <w:t>228 Santa Monica Boulevard Suite 300</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88"/>
              </w:rPr>
              <w:t>General Counsel</w:t>
            </w:r>
          </w:p>
        </w:tc>
      </w:tr>
      <w:tr>
        <w:trPr>
          <w:trHeight w:val="216"/>
        </w:trPr>
        <w:tc>
          <w:tcPr>
            <w:tcW w:w="4160" w:type="dxa"/>
            <w:vAlign w:val="bottom"/>
          </w:tcPr>
          <w:p>
            <w:pPr>
              <w:jc w:val="center"/>
              <w:ind w:right="1210"/>
              <w:spacing w:after="0"/>
              <w:rPr>
                <w:sz w:val="20"/>
                <w:szCs w:val="20"/>
                <w:color w:val="auto"/>
              </w:rPr>
            </w:pPr>
            <w:r>
              <w:rPr>
                <w:rFonts w:ascii="Arial" w:cs="Arial" w:eastAsia="Arial" w:hAnsi="Arial"/>
                <w:sz w:val="18"/>
                <w:szCs w:val="18"/>
                <w:color w:val="auto"/>
                <w:w w:val="91"/>
              </w:rPr>
              <w:t>Santa Monica, California 90401</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Veracyte, Inc.</w:t>
            </w:r>
          </w:p>
        </w:tc>
      </w:tr>
      <w:tr>
        <w:trPr>
          <w:trHeight w:val="216"/>
        </w:trPr>
        <w:tc>
          <w:tcPr>
            <w:tcW w:w="4160" w:type="dxa"/>
            <w:vAlign w:val="bottom"/>
          </w:tcPr>
          <w:p>
            <w:pPr>
              <w:spacing w:after="0"/>
              <w:rPr>
                <w:sz w:val="18"/>
                <w:szCs w:val="18"/>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6000 Shoreline Court, Suite 300</w:t>
            </w:r>
          </w:p>
        </w:tc>
      </w:tr>
      <w:tr>
        <w:trPr>
          <w:trHeight w:val="216"/>
        </w:trPr>
        <w:tc>
          <w:tcPr>
            <w:tcW w:w="4160" w:type="dxa"/>
            <w:vAlign w:val="bottom"/>
          </w:tcPr>
          <w:p>
            <w:pPr>
              <w:spacing w:after="0"/>
              <w:rPr>
                <w:sz w:val="18"/>
                <w:szCs w:val="18"/>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South San Francisco, California 94080</w:t>
            </w:r>
          </w:p>
        </w:tc>
      </w:tr>
      <w:tr>
        <w:trPr>
          <w:trHeight w:val="230"/>
        </w:trPr>
        <w:tc>
          <w:tcPr>
            <w:tcW w:w="4160" w:type="dxa"/>
            <w:vAlign w:val="bottom"/>
          </w:tcPr>
          <w:p>
            <w:pPr>
              <w:spacing w:after="0"/>
              <w:rPr>
                <w:sz w:val="20"/>
                <w:szCs w:val="20"/>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(650) 243-6300</w:t>
            </w:r>
          </w:p>
        </w:tc>
      </w:tr>
    </w:tbl>
    <w:p>
      <w:pPr>
        <w:spacing w:after="0" w:line="200" w:lineRule="exact"/>
        <w:rPr>
          <w:sz w:val="20"/>
          <w:szCs w:val="20"/>
          <w:color w:val="auto"/>
        </w:rPr>
      </w:pPr>
    </w:p>
    <w:p>
      <w:pPr>
        <w:spacing w:after="0" w:line="2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80" w:type="dxa"/>
            <w:vAlign w:val="bottom"/>
          </w:tcPr>
          <w:p>
            <w:pPr>
              <w:ind w:left="190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0"/>
          <w:szCs w:val="20"/>
          <w:color w:val="auto"/>
        </w:rPr>
      </w:pPr>
    </w:p>
    <w:p>
      <w:pPr>
        <w:spacing w:after="0" w:line="217" w:lineRule="exact"/>
        <w:rPr>
          <w:sz w:val="20"/>
          <w:szCs w:val="20"/>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080"/>
          </w:cols>
          <w:pgMar w:left="320" w:top="989"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Veracyte, Inc. (the “Registrant”) previously filed a Registration Statement on Form S-8 (File No. 333-270147) with respect to 2,878,378 shares of the Registrant’s Common Stock (“Common Stock”) issuable under the Veracyte, Inc. 2013 Stock Incentive Plan (the “Prior Plan”) with the Securities and Exchange Commission (the “Commission”) on March 1, 2023, a Registration Statement on Form S-8 (File No. 333-263116) with respect to 2,844,924 shares of Common Stock issuable under the Prior Plan filed with the Commission on March 1, 2022, a Registration Statement on Form S-8 (File No. 333-253363) with respect to 2,328,021 shares of Common Stock issuable under the Prior Plan filed with the Commission on February 22, 2021, a Registration Statement on Form S-8 (File No. 333-236630) with respect to 1,985,013 shares of Common Stock issuable under the Prior Plan filed with the Commission on February 25, 2020, a Registration Statement (File No. 333-229848) with respect to 1,634,528 shares of Common Stock issuable under the Prior Plan filed with the Commission on February 25, 2019, a Registration Statement on Form S-8 (File No. 333-223292) with respect to 1,368,159 shares of Common Stock issuable under the Prior Plan filed with the Commission on February 28, 2018, a Registration Statement on Form S-8 (File No. 333-216388) with respect to 1,350,491 shares of Common Stock issuable under the Prior Plan filed with the Commission on March 2, 2017, a Registration Statement on Form S-8 (File No. 333-210185) with respect to 1,107,411 shares of Common Stock issuable under the Prior Plan filed with the Commission on March 14, 2016, a Registration Statement on Form S-8 (File No. 333-203097) with respect to 1,746,673 shares of Common Stock issuable under the Prior Plan filed with the Commission on March 30, 2015, and a Registration Statement on Form S-8 (File No. 333-191992) with respect to 1,786,209 shares of Common Stock issuable under the Prior Plan and 2,368,797 shares of Common Stock issuable under the Veracyte, Inc. 2008 Stock Plan filed with the Commission on October 30, 2013 (each a “Registration Statement”, and collectively, the “Registration Statements”).</w:t>
      </w:r>
    </w:p>
    <w:p>
      <w:pPr>
        <w:spacing w:after="0" w:line="1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On June 8, 2023 (the “Effective Date”), the Registrant’s stockholders approved the Veracyte, Inc. 2023 Equity Incentive Plan (the “2023 Plan”), and in connection therewith, no further awards will be made under the Prior Plan as of and following the Effective Date. Pursuant to the terms of the 2023 Plan, the number of shares reserved and available for grant and issuance pursuant to the 2023 Plan is the number of reserved shares of Common Stock not issued or subject to outstanding grants under the Prior Plan on the Effective Date plus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Registrant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(collectively, the “Rollover Shares”).</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Accordingly, the Registrant is filing this Post-Effective Amendment No. 1 to Registration Statement on Form S-8 (the “Post-Effective Amendment”) pursuant to Item 512(a)(1)(iii) of Regulation S-K and SEC Compliance and Disclosure Interpretation 126.43 to amend each of the Registration Statements to register the offer of the Rollover Shares under the 2023 Plan (as such shares would no longer be issuable under the Prior Plan as of the Effective Date). In accordance with SEC Compliance and Disclosure Interpretation 126.43, no new filing fee is due upon the filing of this Post-Effective Amendment. This Post-Effective Amendment constitutes Post-Effective Amendment No. 1 to each of the Registration Statements. For the avoidance of doubt, the Company is not registering any additional shares of Common Stock on this Post-Effective Amendment that were not previously approved by the Company’s stockholders as of the Effective Date.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information specified in Part I of Form S-8 is omitted from this Post-Effective Amendment in accordance with the provisions of Rule 428 under the Securities Act of 1933, as amended (the “Securities Act”) and the Note to Part I of Form S-8. The documents containing the information specified in Part I of Form S-8 will be delivered to the participants in the equity benefit plans covered by this Post-Effective Amendment as specified by Rule 428(b)</w:t>
      </w:r>
    </w:p>
    <w:p>
      <w:pPr>
        <w:spacing w:after="0"/>
        <w:rPr>
          <w:sz w:val="20"/>
          <w:szCs w:val="20"/>
          <w:color w:val="auto"/>
        </w:rPr>
      </w:pPr>
      <w:r>
        <w:rPr>
          <w:rFonts w:ascii="Arial" w:cs="Arial" w:eastAsia="Arial" w:hAnsi="Arial"/>
          <w:sz w:val="18"/>
          <w:szCs w:val="18"/>
          <w:color w:val="auto"/>
        </w:rPr>
        <w:t>(1) under the Securities Act.</w:t>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documents filed by the Registrant with the Commission are hereby incorporated by reference in this Post-Effective Amendment:</w:t>
      </w:r>
    </w:p>
    <w:p>
      <w:pPr>
        <w:spacing w:after="0" w:line="194" w:lineRule="exact"/>
        <w:rPr>
          <w:sz w:val="20"/>
          <w:szCs w:val="20"/>
          <w:color w:val="auto"/>
        </w:rPr>
      </w:pPr>
    </w:p>
    <w:p>
      <w:pPr>
        <w:ind w:left="1040" w:hanging="384"/>
        <w:spacing w:after="0"/>
        <w:tabs>
          <w:tab w:leader="none" w:pos="1040" w:val="left"/>
        </w:tabs>
        <w:numPr>
          <w:ilvl w:val="0"/>
          <w:numId w:val="1"/>
        </w:numPr>
        <w:rPr>
          <w:rFonts w:ascii="Arial" w:cs="Arial" w:eastAsia="Arial" w:hAnsi="Arial"/>
          <w:sz w:val="17"/>
          <w:szCs w:val="17"/>
          <w:u w:val="single" w:color="auto"/>
          <w:color w:val="0000FF"/>
        </w:rPr>
      </w:pPr>
      <w:hyperlink r:id="rId8">
        <w:r>
          <w:rPr>
            <w:rFonts w:ascii="Arial" w:cs="Arial" w:eastAsia="Arial" w:hAnsi="Arial"/>
            <w:sz w:val="17"/>
            <w:szCs w:val="17"/>
            <w:u w:val="single" w:color="auto"/>
            <w:color w:val="0000FF"/>
          </w:rPr>
          <w:t>The Registrant’s Annual Report on Form 10-K for the year ended December 31, 2022, filed with the Commission on March 1, 2023.</w:t>
        </w:r>
      </w:hyperlink>
    </w:p>
    <w:p>
      <w:pPr>
        <w:spacing w:after="0" w:line="209" w:lineRule="exact"/>
        <w:rPr>
          <w:rFonts w:ascii="Arial" w:cs="Arial" w:eastAsia="Arial" w:hAnsi="Arial"/>
          <w:sz w:val="17"/>
          <w:szCs w:val="17"/>
          <w:u w:val="single" w:color="auto"/>
          <w:color w:val="0000FF"/>
        </w:rPr>
      </w:pPr>
    </w:p>
    <w:p>
      <w:pPr>
        <w:jc w:val="both"/>
        <w:ind w:left="980" w:hanging="324"/>
        <w:spacing w:after="0" w:line="263" w:lineRule="auto"/>
        <w:tabs>
          <w:tab w:leader="none" w:pos="1058"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w:t>
      </w:r>
    </w:p>
    <w:p>
      <w:pPr>
        <w:spacing w:after="0" w:line="129" w:lineRule="exact"/>
        <w:rPr>
          <w:rFonts w:ascii="Arial" w:cs="Arial" w:eastAsia="Arial" w:hAnsi="Arial"/>
          <w:sz w:val="18"/>
          <w:szCs w:val="18"/>
          <w:color w:val="auto"/>
        </w:rPr>
      </w:pPr>
    </w:p>
    <w:p>
      <w:pPr>
        <w:jc w:val="both"/>
        <w:ind w:left="980" w:hanging="324"/>
        <w:spacing w:after="0" w:line="243" w:lineRule="auto"/>
        <w:tabs>
          <w:tab w:leader="none" w:pos="1068" w:val="left"/>
        </w:tabs>
        <w:numPr>
          <w:ilvl w:val="0"/>
          <w:numId w:val="1"/>
        </w:numPr>
        <w:rPr>
          <w:rFonts w:ascii="Arial" w:cs="Arial" w:eastAsia="Arial" w:hAnsi="Arial"/>
          <w:sz w:val="18"/>
          <w:szCs w:val="18"/>
          <w:color w:val="0000FF"/>
        </w:rPr>
      </w:pPr>
      <w:hyperlink r:id="rId9">
        <w:r>
          <w:rPr>
            <w:rFonts w:ascii="Arial" w:cs="Arial" w:eastAsia="Arial" w:hAnsi="Arial"/>
            <w:sz w:val="18"/>
            <w:szCs w:val="18"/>
            <w:u w:val="single" w:color="auto"/>
            <w:color w:val="0000FF"/>
          </w:rPr>
          <w:t>The description of the Registrant’s Common Stock contained in Registrant’s registration statement on Form 8-A, filed on October 28, 2013</w:t>
        </w:r>
      </w:hyperlink>
      <w:r>
        <w:rPr>
          <w:rFonts w:ascii="Arial" w:cs="Arial" w:eastAsia="Arial" w:hAnsi="Arial"/>
          <w:sz w:val="18"/>
          <w:szCs w:val="18"/>
          <w:u w:val="single" w:color="auto"/>
          <w:color w:val="0000FF"/>
        </w:rPr>
        <w:t xml:space="preserve"> </w:t>
      </w:r>
      <w:hyperlink r:id="rId9">
        <w:r>
          <w:rPr>
            <w:rFonts w:ascii="Arial" w:cs="Arial" w:eastAsia="Arial" w:hAnsi="Arial"/>
            <w:sz w:val="18"/>
            <w:szCs w:val="18"/>
            <w:u w:val="single" w:color="auto"/>
            <w:color w:val="0000FF"/>
          </w:rPr>
          <w:t>pursuant to Section 12(b) of the Exchange Act</w:t>
        </w:r>
        <w:r>
          <w:rPr>
            <w:rFonts w:ascii="Arial" w:cs="Arial" w:eastAsia="Arial" w:hAnsi="Arial"/>
            <w:sz w:val="18"/>
            <w:szCs w:val="18"/>
            <w:color w:val="000000"/>
          </w:rPr>
          <w:t>, including any amendment or report filed for the purpose of updating such description,</w:t>
        </w:r>
      </w:hyperlink>
      <w:r>
        <w:rPr>
          <w:rFonts w:ascii="Arial" w:cs="Arial" w:eastAsia="Arial" w:hAnsi="Arial"/>
          <w:sz w:val="18"/>
          <w:szCs w:val="18"/>
          <w:color w:val="0000FF"/>
        </w:rPr>
        <w:t xml:space="preserve"> </w:t>
      </w:r>
      <w:hyperlink r:id="rId10">
        <w:r>
          <w:rPr>
            <w:rFonts w:ascii="Arial" w:cs="Arial" w:eastAsia="Arial" w:hAnsi="Arial"/>
            <w:sz w:val="18"/>
            <w:szCs w:val="18"/>
            <w:u w:val="single" w:color="auto"/>
            <w:color w:val="0000FF"/>
          </w:rPr>
          <w:t>including Exhibit 4.2 to the Registrant's Annual Report on Form 10-K for the fiscal year ended December 31, 2020, filed with the</w:t>
        </w:r>
      </w:hyperlink>
      <w:r>
        <w:rPr>
          <w:rFonts w:ascii="Arial" w:cs="Arial" w:eastAsia="Arial" w:hAnsi="Arial"/>
          <w:sz w:val="18"/>
          <w:szCs w:val="18"/>
          <w:u w:val="single" w:color="auto"/>
          <w:color w:val="0000FF"/>
        </w:rPr>
        <w:t xml:space="preserve"> </w:t>
      </w:r>
      <w:hyperlink r:id="rId10">
        <w:r>
          <w:rPr>
            <w:rFonts w:ascii="Arial" w:cs="Arial" w:eastAsia="Arial" w:hAnsi="Arial"/>
            <w:sz w:val="18"/>
            <w:szCs w:val="18"/>
            <w:u w:val="single" w:color="auto"/>
            <w:color w:val="0000FF"/>
          </w:rPr>
          <w:t>Commission on February 22, 2021</w:t>
        </w:r>
      </w:hyperlink>
      <w:r>
        <w:rPr>
          <w:rFonts w:ascii="Arial" w:cs="Arial" w:eastAsia="Arial" w:hAnsi="Arial"/>
          <w:sz w:val="18"/>
          <w:szCs w:val="18"/>
          <w:color w:val="000000"/>
        </w:rPr>
        <w:t>.</w:t>
      </w:r>
    </w:p>
    <w:p>
      <w:pPr>
        <w:spacing w:after="0" w:line="215" w:lineRule="exact"/>
        <w:rPr>
          <w:rFonts w:ascii="Arial" w:cs="Arial" w:eastAsia="Arial" w:hAnsi="Arial"/>
          <w:sz w:val="18"/>
          <w:szCs w:val="18"/>
          <w:color w:val="0000FF"/>
        </w:rPr>
      </w:pPr>
    </w:p>
    <w:p>
      <w:pPr>
        <w:jc w:val="both"/>
        <w:ind w:firstLine="648"/>
        <w:spacing w:after="0" w:line="252"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Post-Effective Amendment and prior to the filing of a post-effective amendment to this Post-Effective Amendment which indicates that all securities offered hereby have been sold or which deregisters all securities then remaining unsold, shall be deemed to be incorporated by reference into this Post-Effective Amendment and to be a part hereof from the date of filing such documents. Any statement contained in a document incorporated or deemed to be incorporated by reference herein shall be deemed to be modified or superseded for purposes of this Post-Effective Amendment to the extent that a statement contained in any subsequently filed document which also is deemed to be incorporated by reference herein modifies or supersedes such statement.</w:t>
      </w:r>
    </w:p>
    <w:p>
      <w:pPr>
        <w:spacing w:after="0" w:line="231"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97" w:lineRule="exact"/>
        <w:rPr>
          <w:rFonts w:ascii="Arial" w:cs="Arial" w:eastAsia="Arial" w:hAnsi="Arial"/>
          <w:sz w:val="18"/>
          <w:szCs w:val="18"/>
          <w:color w:val="0000FF"/>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97" w:lineRule="exact"/>
        <w:rPr>
          <w:rFonts w:ascii="Arial" w:cs="Arial" w:eastAsia="Arial" w:hAnsi="Arial"/>
          <w:sz w:val="18"/>
          <w:szCs w:val="18"/>
          <w:color w:val="0000FF"/>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70" w:lineRule="exact"/>
        <w:rPr>
          <w:rFonts w:ascii="Arial" w:cs="Arial" w:eastAsia="Arial" w:hAnsi="Arial"/>
          <w:sz w:val="18"/>
          <w:szCs w:val="18"/>
          <w:color w:val="0000FF"/>
        </w:rPr>
      </w:pPr>
    </w:p>
    <w:p>
      <w:pPr>
        <w:jc w:val="both"/>
        <w:ind w:firstLine="648"/>
        <w:spacing w:after="0" w:line="294" w:lineRule="auto"/>
        <w:rPr>
          <w:sz w:val="20"/>
          <w:szCs w:val="20"/>
          <w:color w:val="auto"/>
        </w:rPr>
      </w:pPr>
      <w:r>
        <w:rPr>
          <w:rFonts w:ascii="Arial" w:cs="Arial" w:eastAsia="Arial" w:hAnsi="Arial"/>
          <w:sz w:val="16"/>
          <w:szCs w:val="16"/>
          <w:color w:val="auto"/>
        </w:rPr>
        <w:t>Section 145 of the Delaware General Corporation Law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161" w:lineRule="exact"/>
        <w:rPr>
          <w:rFonts w:ascii="Arial" w:cs="Arial" w:eastAsia="Arial" w:hAnsi="Arial"/>
          <w:sz w:val="18"/>
          <w:szCs w:val="18"/>
          <w:color w:val="0000FF"/>
        </w:rPr>
      </w:pPr>
    </w:p>
    <w:p>
      <w:pPr>
        <w:jc w:val="both"/>
        <w:ind w:firstLine="648"/>
        <w:spacing w:after="0" w:line="243" w:lineRule="auto"/>
        <w:rPr>
          <w:sz w:val="20"/>
          <w:szCs w:val="20"/>
          <w:color w:val="auto"/>
        </w:rPr>
      </w:pPr>
      <w:r>
        <w:rPr>
          <w:rFonts w:ascii="Arial" w:cs="Arial" w:eastAsia="Arial" w:hAnsi="Arial"/>
          <w:sz w:val="18"/>
          <w:szCs w:val="18"/>
          <w:color w:val="auto"/>
        </w:rPr>
        <w:t>The Registrant’s restated certificate of incorporation contains provisions that eliminate the personal liability of the Registrant’s directors to the Registrant or the Registrant’s stockholders for monetary damages for breach of fiduciary duty to the fullest extent permitted by the DGCL. Consequently, the Registrant’s directors are not personally liable to the Registrant or the Registrant’s stockholders for monetary damages for any breach of fiduciary duties as directors, except liability for:</w:t>
      </w:r>
    </w:p>
    <w:p>
      <w:pPr>
        <w:spacing w:after="0" w:line="215" w:lineRule="exact"/>
        <w:rPr>
          <w:rFonts w:ascii="Arial" w:cs="Arial" w:eastAsia="Arial" w:hAnsi="Arial"/>
          <w:sz w:val="18"/>
          <w:szCs w:val="18"/>
          <w:color w:val="0000FF"/>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the Registrant’s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ectPr>
          <w:pgSz w:w="11900" w:h="16838" w:orient="portrait"/>
          <w:cols w:equalWidth="0" w:num="1">
            <w:col w:w="11240"/>
          </w:cols>
          <w:pgMar w:left="320" w:top="891" w:right="339" w:bottom="1440" w:gutter="0" w:footer="0" w:header="0"/>
        </w:sectPr>
      </w:pPr>
    </w:p>
    <w:bookmarkStart w:id="4" w:name="page5"/>
    <w:bookmarkEnd w:id="4"/>
    <w:p>
      <w:pPr>
        <w:jc w:val="both"/>
        <w:ind w:firstLine="648"/>
        <w:spacing w:after="0" w:line="259" w:lineRule="auto"/>
        <w:rPr>
          <w:sz w:val="20"/>
          <w:szCs w:val="20"/>
          <w:color w:val="auto"/>
        </w:rPr>
      </w:pPr>
      <w:r>
        <w:rPr>
          <w:rFonts w:ascii="Arial" w:cs="Arial" w:eastAsia="Arial" w:hAnsi="Arial"/>
          <w:sz w:val="17"/>
          <w:szCs w:val="17"/>
          <w:color w:val="auto"/>
        </w:rPr>
        <w:t>The Registrant’s restated certificate of incorporation and the Registrant’s amended and restated bylaws require the Registrant to indemnify its directors and officers to the maximum extent not prohibited by the DGCL and allow it to indemnify other employees and agents as authorized by its Board of Directors or by the action of a committee of the Board of Directors or designated officers established by or designated in resolutions approved by its Board of Directors. Subject to certain limitations, the Registrant’s amended and restated bylaws also require it to advance expenses incurred by its directors and officers for the defense of any action for which indemnification is required or permitted.</w:t>
      </w:r>
    </w:p>
    <w:p>
      <w:pPr>
        <w:spacing w:after="0" w:line="2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Registrant has entered, and intends to continue to enter, into separate indemnification agreements with its directors, officers and certain other employees, in addition to the indemnification provided for in its restated certificate of incorporation and amended and restated bylaws. These agreements, among other things, require the Registrant to indemnify its directors, officers and certain other employees for certain expenses, including attorneys’ fees, judgments, penalties, fines and settlement amounts actually incurred by these individuals in any action or proceeding arising out of their service to the Registrant or any of its subsidiaries or any other company or enterprise to which these individuals provide services at the Registrant’s request. Subject to certain limitations, the Registrant’s indemnification agreements also require it to advance expenses incurred by its directors, officers and certain other employees for the defense of any action for which indemnification is required or permitted.</w:t>
      </w:r>
    </w:p>
    <w:p>
      <w:pPr>
        <w:spacing w:after="0" w:line="21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Registrant currently carries liability insurance for its directors and officers. The indemnification provisions in the Registrant’s restated certificate of incorporation, amended and restated bylaws and the indemnification agreements entered into between the Registrant and each of its directors and officers is sufficiently broad to permit indemnification of the Registrant’s directors and officers for liabilities arising under the Securities Act.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undertakings set out in response to Item 9 of this Post-Effective Amendment.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00" w:type="dxa"/>
            <w:vAlign w:val="bottom"/>
            <w:gridSpan w:val="2"/>
          </w:tcPr>
          <w:p>
            <w:pPr>
              <w:ind w:left="300"/>
              <w:spacing w:after="0"/>
              <w:rPr>
                <w:sz w:val="20"/>
                <w:szCs w:val="20"/>
                <w:color w:val="auto"/>
              </w:rPr>
            </w:pPr>
            <w:r>
              <w:rPr>
                <w:rFonts w:ascii="Arial" w:cs="Arial" w:eastAsia="Arial" w:hAnsi="Arial"/>
                <w:sz w:val="18"/>
                <w:szCs w:val="18"/>
                <w:color w:val="auto"/>
                <w:w w:val="92"/>
              </w:rPr>
              <w:t>Incorporated by Reference</w:t>
            </w: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2"/>
              </w:rPr>
              <w:t>Filed</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80"/>
              <w:spacing w:after="0"/>
              <w:rPr>
                <w:sz w:val="20"/>
                <w:szCs w:val="20"/>
                <w:color w:val="auto"/>
              </w:rPr>
            </w:pPr>
            <w:r>
              <w:rPr>
                <w:rFonts w:ascii="Arial" w:cs="Arial" w:eastAsia="Arial" w:hAnsi="Arial"/>
                <w:sz w:val="18"/>
                <w:szCs w:val="18"/>
                <w:color w:val="auto"/>
              </w:rPr>
              <w:t>Exhibit No.</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60" w:type="dxa"/>
            <w:vAlign w:val="bottom"/>
            <w:gridSpan w:val="13"/>
          </w:tcPr>
          <w:p>
            <w:pPr>
              <w:ind w:left="120"/>
              <w:spacing w:after="0"/>
              <w:rPr>
                <w:sz w:val="20"/>
                <w:szCs w:val="20"/>
                <w:color w:val="auto"/>
              </w:rPr>
            </w:pPr>
            <w:r>
              <w:rPr>
                <w:rFonts w:ascii="Arial" w:cs="Arial" w:eastAsia="Arial" w:hAnsi="Arial"/>
                <w:sz w:val="18"/>
                <w:szCs w:val="18"/>
                <w:color w:val="auto"/>
              </w:rPr>
              <w:t>Description</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Form</w:t>
            </w:r>
          </w:p>
        </w:tc>
        <w:tc>
          <w:tcPr>
            <w:tcW w:w="1120" w:type="dxa"/>
            <w:vAlign w:val="bottom"/>
          </w:tcPr>
          <w:p>
            <w:pPr>
              <w:ind w:left="240"/>
              <w:spacing w:after="0"/>
              <w:rPr>
                <w:sz w:val="20"/>
                <w:szCs w:val="20"/>
                <w:color w:val="auto"/>
              </w:rPr>
            </w:pPr>
            <w:r>
              <w:rPr>
                <w:rFonts w:ascii="Arial" w:cs="Arial" w:eastAsia="Arial" w:hAnsi="Arial"/>
                <w:sz w:val="18"/>
                <w:szCs w:val="18"/>
                <w:color w:val="auto"/>
              </w:rPr>
              <w:t>File No.</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1080" w:type="dxa"/>
            <w:vAlign w:val="bottom"/>
          </w:tcPr>
          <w:p>
            <w:pPr>
              <w:ind w:left="120"/>
              <w:spacing w:after="0"/>
              <w:rPr>
                <w:sz w:val="20"/>
                <w:szCs w:val="20"/>
                <w:color w:val="auto"/>
              </w:rPr>
            </w:pPr>
            <w:r>
              <w:rPr>
                <w:rFonts w:ascii="Arial" w:cs="Arial" w:eastAsia="Arial" w:hAnsi="Arial"/>
                <w:sz w:val="18"/>
                <w:szCs w:val="18"/>
                <w:color w:val="auto"/>
              </w:rPr>
              <w:t>Filing Date</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Herewith</w:t>
            </w: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3900" w:type="dxa"/>
            <w:vAlign w:val="bottom"/>
            <w:tcBorders>
              <w:bottom w:val="single" w:sz="8" w:color="0000FF"/>
            </w:tcBorders>
            <w:gridSpan w:val="7"/>
          </w:tcPr>
          <w:p>
            <w:pPr>
              <w:spacing w:after="0"/>
              <w:rPr>
                <w:rFonts w:ascii="Arial" w:cs="Arial" w:eastAsia="Arial" w:hAnsi="Arial"/>
                <w:sz w:val="18"/>
                <w:szCs w:val="18"/>
                <w:color w:val="0000FF"/>
                <w:w w:val="91"/>
              </w:rPr>
            </w:pPr>
            <w:hyperlink r:id="rId11">
              <w:r>
                <w:rPr>
                  <w:rFonts w:ascii="Arial" w:cs="Arial" w:eastAsia="Arial" w:hAnsi="Arial"/>
                  <w:sz w:val="18"/>
                  <w:szCs w:val="18"/>
                  <w:color w:val="0000FF"/>
                  <w:w w:val="91"/>
                </w:rPr>
                <w:t>Restated Certificate of Incorporation of the Registrant</w:t>
              </w:r>
            </w:hyperlink>
          </w:p>
        </w:tc>
        <w:tc>
          <w:tcPr>
            <w:tcW w:w="1120" w:type="dxa"/>
            <w:vAlign w:val="bottom"/>
            <w:gridSpan w:val="8"/>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20"/>
              <w:spacing w:after="0"/>
              <w:rPr>
                <w:sz w:val="20"/>
                <w:szCs w:val="20"/>
                <w:color w:val="auto"/>
              </w:rPr>
            </w:pPr>
            <w:r>
              <w:rPr>
                <w:rFonts w:ascii="Arial" w:cs="Arial" w:eastAsia="Arial" w:hAnsi="Arial"/>
                <w:sz w:val="18"/>
                <w:szCs w:val="18"/>
                <w:color w:val="auto"/>
              </w:rPr>
              <w:t>4.2</w:t>
            </w:r>
          </w:p>
        </w:tc>
        <w:tc>
          <w:tcPr>
            <w:tcW w:w="5020" w:type="dxa"/>
            <w:vAlign w:val="bottom"/>
            <w:gridSpan w:val="15"/>
          </w:tcPr>
          <w:p>
            <w:pPr>
              <w:spacing w:after="0"/>
              <w:rPr>
                <w:rFonts w:ascii="Arial" w:cs="Arial" w:eastAsia="Arial" w:hAnsi="Arial"/>
                <w:sz w:val="18"/>
                <w:szCs w:val="18"/>
                <w:color w:val="0000FF"/>
              </w:rPr>
            </w:pPr>
            <w:hyperlink r:id="rId12">
              <w:r>
                <w:rPr>
                  <w:rFonts w:ascii="Arial" w:cs="Arial" w:eastAsia="Arial" w:hAnsi="Arial"/>
                  <w:sz w:val="18"/>
                  <w:szCs w:val="18"/>
                  <w:color w:val="0000FF"/>
                </w:rPr>
                <w:t>Amended and Restated Bylaws of the Registrant</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2/10/2023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4.3</w:t>
            </w:r>
          </w:p>
        </w:tc>
        <w:tc>
          <w:tcPr>
            <w:tcW w:w="3500" w:type="dxa"/>
            <w:vAlign w:val="bottom"/>
            <w:tcBorders>
              <w:top w:val="single" w:sz="8" w:color="0000FF"/>
            </w:tcBorders>
            <w:gridSpan w:val="6"/>
          </w:tcPr>
          <w:p>
            <w:pPr>
              <w:spacing w:after="0"/>
              <w:rPr>
                <w:rFonts w:ascii="Arial" w:cs="Arial" w:eastAsia="Arial" w:hAnsi="Arial"/>
                <w:sz w:val="18"/>
                <w:szCs w:val="18"/>
                <w:color w:val="0000FF"/>
              </w:rPr>
            </w:pPr>
            <w:hyperlink r:id="rId13">
              <w:r>
                <w:rPr>
                  <w:rFonts w:ascii="Arial" w:cs="Arial" w:eastAsia="Arial" w:hAnsi="Arial"/>
                  <w:sz w:val="18"/>
                  <w:szCs w:val="18"/>
                  <w:color w:val="0000FF"/>
                </w:rPr>
                <w:t>Form of Common Stock Certificate</w:t>
              </w:r>
            </w:hyperlink>
          </w:p>
        </w:tc>
        <w:tc>
          <w:tcPr>
            <w:tcW w:w="1520" w:type="dxa"/>
            <w:vAlign w:val="bottom"/>
            <w:gridSpan w:val="9"/>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333-191282</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10/15/2013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00" w:type="dxa"/>
            <w:vAlign w:val="bottom"/>
          </w:tcPr>
          <w:p>
            <w:pPr>
              <w:ind w:left="20"/>
              <w:spacing w:after="0"/>
              <w:rPr>
                <w:sz w:val="20"/>
                <w:szCs w:val="20"/>
                <w:color w:val="auto"/>
              </w:rPr>
            </w:pPr>
            <w:r>
              <w:rPr>
                <w:rFonts w:ascii="Arial" w:cs="Arial" w:eastAsia="Arial" w:hAnsi="Arial"/>
                <w:sz w:val="18"/>
                <w:szCs w:val="18"/>
                <w:color w:val="auto"/>
              </w:rPr>
              <w:t>5.1</w:t>
            </w:r>
          </w:p>
        </w:tc>
        <w:tc>
          <w:tcPr>
            <w:tcW w:w="25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Opinion of Fenwick &amp; West LLP</w:t>
            </w:r>
          </w:p>
        </w:tc>
        <w:tc>
          <w:tcPr>
            <w:tcW w:w="2460" w:type="dxa"/>
            <w:vAlign w:val="bottom"/>
            <w:gridSpan w:val="11"/>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70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23.2</w:t>
            </w:r>
          </w:p>
        </w:tc>
        <w:tc>
          <w:tcPr>
            <w:tcW w:w="5020" w:type="dxa"/>
            <w:vAlign w:val="bottom"/>
            <w:gridSpan w:val="15"/>
          </w:tcPr>
          <w:p>
            <w:pPr>
              <w:spacing w:after="0"/>
              <w:rPr>
                <w:sz w:val="20"/>
                <w:szCs w:val="20"/>
                <w:color w:val="auto"/>
              </w:rPr>
            </w:pPr>
            <w:r>
              <w:rPr>
                <w:rFonts w:ascii="Arial" w:cs="Arial" w:eastAsia="Arial" w:hAnsi="Arial"/>
                <w:sz w:val="18"/>
                <w:szCs w:val="18"/>
                <w:color w:val="0000FF"/>
              </w:rPr>
              <w:t>Consent of Fenwick &amp; West LLP (included in Exhibit 5.1)</w:t>
            </w: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24.1</w:t>
            </w:r>
          </w:p>
        </w:tc>
        <w:tc>
          <w:tcPr>
            <w:tcW w:w="42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w w:val="94"/>
              </w:rPr>
              <w:t>Power of Attorney (contained on signature page hereto)</w:t>
            </w:r>
          </w:p>
        </w:tc>
        <w:tc>
          <w:tcPr>
            <w:tcW w:w="820" w:type="dxa"/>
            <w:vAlign w:val="bottom"/>
            <w:gridSpan w:val="5"/>
          </w:tcPr>
          <w:p>
            <w:pPr>
              <w:spacing w:after="0"/>
              <w:rPr>
                <w:sz w:val="21"/>
                <w:szCs w:val="21"/>
                <w:color w:val="auto"/>
              </w:rPr>
            </w:pP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99.1</w:t>
            </w:r>
          </w:p>
        </w:tc>
        <w:tc>
          <w:tcPr>
            <w:tcW w:w="4380" w:type="dxa"/>
            <w:vAlign w:val="bottom"/>
            <w:tcBorders>
              <w:bottom w:val="single" w:sz="8" w:color="0000FF"/>
            </w:tcBorders>
            <w:gridSpan w:val="12"/>
          </w:tcPr>
          <w:p>
            <w:pPr>
              <w:spacing w:after="0"/>
              <w:rPr>
                <w:rFonts w:ascii="Arial" w:cs="Arial" w:eastAsia="Arial" w:hAnsi="Arial"/>
                <w:sz w:val="18"/>
                <w:szCs w:val="18"/>
                <w:color w:val="0000FF"/>
                <w:w w:val="89"/>
              </w:rPr>
            </w:pPr>
            <w:hyperlink r:id="rId14">
              <w:r>
                <w:rPr>
                  <w:rFonts w:ascii="Arial" w:cs="Arial" w:eastAsia="Arial" w:hAnsi="Arial"/>
                  <w:sz w:val="18"/>
                  <w:szCs w:val="18"/>
                  <w:color w:val="0000FF"/>
                  <w:w w:val="89"/>
                </w:rPr>
                <w:t>2008 Stock Option Plan and forms of agreements thereunder</w:t>
              </w:r>
            </w:hyperlink>
          </w:p>
        </w:tc>
        <w:tc>
          <w:tcPr>
            <w:tcW w:w="640" w:type="dxa"/>
            <w:vAlign w:val="bottom"/>
            <w:gridSpan w:val="3"/>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333-191282</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9/20/2013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99.2</w:t>
            </w:r>
          </w:p>
        </w:tc>
        <w:tc>
          <w:tcPr>
            <w:tcW w:w="2840" w:type="dxa"/>
            <w:vAlign w:val="bottom"/>
            <w:tcBorders>
              <w:bottom w:val="single" w:sz="8" w:color="0000FF"/>
            </w:tcBorders>
            <w:gridSpan w:val="5"/>
          </w:tcPr>
          <w:p>
            <w:pPr>
              <w:spacing w:after="0"/>
              <w:rPr>
                <w:rFonts w:ascii="Arial" w:cs="Arial" w:eastAsia="Arial" w:hAnsi="Arial"/>
                <w:sz w:val="18"/>
                <w:szCs w:val="18"/>
                <w:color w:val="0000FF"/>
                <w:w w:val="88"/>
              </w:rPr>
            </w:pPr>
            <w:hyperlink r:id="rId15">
              <w:r>
                <w:rPr>
                  <w:rFonts w:ascii="Arial" w:cs="Arial" w:eastAsia="Arial" w:hAnsi="Arial"/>
                  <w:sz w:val="18"/>
                  <w:szCs w:val="18"/>
                  <w:color w:val="0000FF"/>
                  <w:w w:val="88"/>
                </w:rPr>
                <w:t>2013 Stock Incentive Plan, as amended</w:t>
              </w:r>
            </w:hyperlink>
          </w:p>
        </w:tc>
        <w:tc>
          <w:tcPr>
            <w:tcW w:w="2180" w:type="dxa"/>
            <w:vAlign w:val="bottom"/>
            <w:gridSpan w:val="10"/>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99.3</w:t>
            </w:r>
          </w:p>
        </w:tc>
        <w:tc>
          <w:tcPr>
            <w:tcW w:w="5020" w:type="dxa"/>
            <w:vAlign w:val="bottom"/>
            <w:gridSpan w:val="15"/>
          </w:tcPr>
          <w:p>
            <w:pPr>
              <w:spacing w:after="0"/>
              <w:rPr>
                <w:rFonts w:ascii="Arial" w:cs="Arial" w:eastAsia="Arial" w:hAnsi="Arial"/>
                <w:sz w:val="18"/>
                <w:szCs w:val="18"/>
                <w:color w:val="0000FF"/>
                <w:w w:val="94"/>
              </w:rPr>
            </w:pPr>
            <w:hyperlink r:id="rId16">
              <w:r>
                <w:rPr>
                  <w:rFonts w:ascii="Arial" w:cs="Arial" w:eastAsia="Arial" w:hAnsi="Arial"/>
                  <w:sz w:val="18"/>
                  <w:szCs w:val="18"/>
                  <w:color w:val="0000FF"/>
                  <w:w w:val="94"/>
                </w:rPr>
                <w:t>Form of stock option award agreement under 2013 Stock Incentive</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11/2/2020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8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Plan</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99.4</w:t>
            </w:r>
          </w:p>
        </w:tc>
        <w:tc>
          <w:tcPr>
            <w:tcW w:w="5020" w:type="dxa"/>
            <w:vAlign w:val="bottom"/>
            <w:gridSpan w:val="15"/>
          </w:tcPr>
          <w:p>
            <w:pPr>
              <w:spacing w:after="0"/>
              <w:rPr>
                <w:rFonts w:ascii="Arial" w:cs="Arial" w:eastAsia="Arial" w:hAnsi="Arial"/>
                <w:sz w:val="18"/>
                <w:szCs w:val="18"/>
                <w:color w:val="0000FF"/>
                <w:w w:val="97"/>
              </w:rPr>
            </w:pPr>
            <w:hyperlink r:id="rId17">
              <w:r>
                <w:rPr>
                  <w:rFonts w:ascii="Arial" w:cs="Arial" w:eastAsia="Arial" w:hAnsi="Arial"/>
                  <w:sz w:val="18"/>
                  <w:szCs w:val="18"/>
                  <w:color w:val="0000FF"/>
                  <w:w w:val="97"/>
                </w:rPr>
                <w:t>Form of stock unit award agreement under 2013 Stock Incentive</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11/2/2020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6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Plan</w:t>
              </w:r>
            </w:hyperlink>
          </w:p>
        </w:tc>
        <w:tc>
          <w:tcPr>
            <w:tcW w:w="3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99.5</w:t>
            </w:r>
          </w:p>
        </w:tc>
        <w:tc>
          <w:tcPr>
            <w:tcW w:w="5020" w:type="dxa"/>
            <w:vAlign w:val="bottom"/>
            <w:gridSpan w:val="15"/>
          </w:tcPr>
          <w:p>
            <w:pPr>
              <w:spacing w:after="0"/>
              <w:rPr>
                <w:rFonts w:ascii="Arial" w:cs="Arial" w:eastAsia="Arial" w:hAnsi="Arial"/>
                <w:sz w:val="18"/>
                <w:szCs w:val="18"/>
                <w:color w:val="0000FF"/>
              </w:rPr>
            </w:pPr>
            <w:hyperlink r:id="rId18">
              <w:r>
                <w:rPr>
                  <w:rFonts w:ascii="Arial" w:cs="Arial" w:eastAsia="Arial" w:hAnsi="Arial"/>
                  <w:sz w:val="18"/>
                  <w:szCs w:val="18"/>
                  <w:color w:val="0000FF"/>
                </w:rPr>
                <w:t>2023 Equity Incentive Plan</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6"/>
              </w:rPr>
              <w:t>DEF 14-A</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04/27/2023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99.6</w:t>
            </w:r>
          </w:p>
        </w:tc>
        <w:tc>
          <w:tcPr>
            <w:tcW w:w="5020" w:type="dxa"/>
            <w:vAlign w:val="bottom"/>
            <w:gridSpan w:val="15"/>
          </w:tcPr>
          <w:p>
            <w:pPr>
              <w:spacing w:after="0"/>
              <w:rPr>
                <w:sz w:val="20"/>
                <w:szCs w:val="20"/>
                <w:color w:val="auto"/>
              </w:rPr>
            </w:pPr>
            <w:r>
              <w:rPr>
                <w:rFonts w:ascii="Arial" w:cs="Arial" w:eastAsia="Arial" w:hAnsi="Arial"/>
                <w:sz w:val="18"/>
                <w:szCs w:val="18"/>
                <w:color w:val="0000FF"/>
              </w:rPr>
              <w:t>Form of agreements under the 2023 Equity Incentive Plan</w:t>
            </w: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24" w:right="339" w:bottom="1440" w:gutter="0" w:footer="0" w:header="0"/>
        </w:sectPr>
      </w:pPr>
    </w:p>
    <w:bookmarkStart w:id="5" w:name="page6"/>
    <w:bookmarkEnd w:id="5"/>
    <w:p>
      <w:pPr>
        <w:spacing w:after="0" w:line="180"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undersigned Registrant hereby undertakes:</w:t>
      </w:r>
    </w:p>
    <w:p>
      <w:pPr>
        <w:spacing w:after="0" w:line="212" w:lineRule="exact"/>
        <w:rPr>
          <w:sz w:val="20"/>
          <w:szCs w:val="20"/>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Post-Effective Amendment:</w:t>
      </w:r>
    </w:p>
    <w:p>
      <w:pPr>
        <w:spacing w:after="0" w:line="2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12" w:lineRule="exact"/>
        <w:rPr>
          <w:sz w:val="20"/>
          <w:szCs w:val="20"/>
          <w:color w:val="auto"/>
        </w:rPr>
      </w:pPr>
    </w:p>
    <w:p>
      <w:pPr>
        <w:jc w:val="both"/>
        <w:ind w:firstLine="656"/>
        <w:spacing w:after="0" w:line="276" w:lineRule="auto"/>
        <w:tabs>
          <w:tab w:leader="none" w:pos="923"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1" w:lineRule="exact"/>
        <w:rPr>
          <w:rFonts w:ascii="Arial" w:cs="Arial" w:eastAsia="Arial" w:hAnsi="Arial"/>
          <w:sz w:val="16"/>
          <w:szCs w:val="16"/>
          <w:color w:val="auto"/>
        </w:rPr>
      </w:pPr>
    </w:p>
    <w:p>
      <w:pPr>
        <w:ind w:firstLine="656"/>
        <w:spacing w:after="0" w:line="261" w:lineRule="auto"/>
        <w:tabs>
          <w:tab w:leader="none" w:pos="9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Post-Effective Amendment.</w:t>
      </w:r>
    </w:p>
    <w:p>
      <w:pPr>
        <w:spacing w:after="0" w:line="182" w:lineRule="exact"/>
        <w:rPr>
          <w:sz w:val="20"/>
          <w:szCs w:val="20"/>
          <w:color w:val="auto"/>
        </w:rPr>
      </w:pPr>
    </w:p>
    <w:p>
      <w:pPr>
        <w:jc w:val="both"/>
        <w:ind w:firstLine="656"/>
        <w:spacing w:after="0" w:line="248" w:lineRule="auto"/>
        <w:tabs>
          <w:tab w:leader="none" w:pos="9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656"/>
        <w:spacing w:after="0" w:line="261" w:lineRule="auto"/>
        <w:tabs>
          <w:tab w:leader="none" w:pos="9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1" w:lineRule="exact"/>
        <w:rPr>
          <w:sz w:val="20"/>
          <w:szCs w:val="20"/>
          <w:color w:val="auto"/>
        </w:rPr>
      </w:pPr>
    </w:p>
    <w:p>
      <w:pPr>
        <w:jc w:val="both"/>
        <w:ind w:firstLine="656"/>
        <w:spacing w:after="0" w:line="241" w:lineRule="auto"/>
        <w:tabs>
          <w:tab w:leader="none" w:pos="92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Arial" w:cs="Arial" w:eastAsia="Arial" w:hAnsi="Arial"/>
          <w:sz w:val="18"/>
          <w:szCs w:val="18"/>
          <w:color w:val="auto"/>
        </w:rPr>
      </w:pPr>
    </w:p>
    <w:p>
      <w:pPr>
        <w:jc w:val="both"/>
        <w:ind w:firstLine="656"/>
        <w:spacing w:after="0" w:line="238" w:lineRule="auto"/>
        <w:tabs>
          <w:tab w:leader="none" w:pos="90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Pursuant to the requirements of the Securities Act, the Registrant certifies that it has reasonable grounds to believe that it meets all of the requirements for filing on Form S-8 and has duly caused this Post-Effective Amendment No. 1 to the Registration Statements on Form S-8 to be signed on its behalf by the undersigned, thereunto duly authorized in the City of South San Francisco, State of California, on the 8th day of June, 2023.</w:t>
      </w:r>
    </w:p>
    <w:p>
      <w:pPr>
        <w:spacing w:after="0" w:line="20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VERACYTE, INC.</w:t>
      </w:r>
    </w:p>
    <w:p>
      <w:pPr>
        <w:spacing w:after="0" w:line="63" w:lineRule="exact"/>
        <w:rPr>
          <w:sz w:val="20"/>
          <w:szCs w:val="20"/>
          <w:color w:val="auto"/>
        </w:rPr>
      </w:pPr>
    </w:p>
    <w:p>
      <w:pPr>
        <w:ind w:left="526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31750</wp:posOffset>
            </wp:positionV>
            <wp:extent cx="270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Marc Stapley</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Marc Stapley and Rebecca Chambers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Post-Effective Amendment No. 1 to the Registration Statements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Post-Effective Amendment No. 1 to the Registration Statements on Form S-8 has been signed by the following persons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2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5"/>
              </w:rPr>
              <w:t>/s/ MARC STAPLEY</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Executive Officer and 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41"/>
        </w:trPr>
        <w:tc>
          <w:tcPr>
            <w:tcW w:w="1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080" w:type="dxa"/>
            <w:vAlign w:val="bottom"/>
            <w:gridSpan w:val="3"/>
            <w:vMerge w:val="restart"/>
          </w:tcPr>
          <w:p>
            <w:pPr>
              <w:ind w:left="280"/>
              <w:spacing w:after="0"/>
              <w:rPr>
                <w:sz w:val="20"/>
                <w:szCs w:val="20"/>
                <w:color w:val="auto"/>
              </w:rPr>
            </w:pPr>
            <w:r>
              <w:rPr>
                <w:rFonts w:ascii="Arial" w:cs="Arial" w:eastAsia="Arial" w:hAnsi="Arial"/>
                <w:sz w:val="18"/>
                <w:szCs w:val="18"/>
                <w:color w:val="auto"/>
              </w:rPr>
              <w:t>(Principal Executive Officer)</w:t>
            </w: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Marc Stapley</w:t>
            </w:r>
          </w:p>
        </w:tc>
        <w:tc>
          <w:tcPr>
            <w:tcW w:w="50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4"/>
              </w:rPr>
              <w:t>/s/ REBECCA CHAMBERS</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Financial Officer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41"/>
        </w:trPr>
        <w:tc>
          <w:tcPr>
            <w:tcW w:w="1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080" w:type="dxa"/>
            <w:vAlign w:val="bottom"/>
            <w:gridSpan w:val="3"/>
            <w:vMerge w:val="restart"/>
          </w:tcPr>
          <w:p>
            <w:pPr>
              <w:ind w:left="280"/>
              <w:spacing w:after="0"/>
              <w:rPr>
                <w:sz w:val="20"/>
                <w:szCs w:val="20"/>
                <w:color w:val="auto"/>
              </w:rPr>
            </w:pPr>
            <w:r>
              <w:rPr>
                <w:rFonts w:ascii="Arial" w:cs="Arial" w:eastAsia="Arial" w:hAnsi="Arial"/>
                <w:sz w:val="18"/>
                <w:szCs w:val="18"/>
                <w:color w:val="auto"/>
              </w:rPr>
              <w:t>(Principal Financial Officer)</w:t>
            </w: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6"/>
              </w:rPr>
              <w:t>Rebecca Chambers</w:t>
            </w:r>
          </w:p>
        </w:tc>
        <w:tc>
          <w:tcPr>
            <w:tcW w:w="50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7"/>
              </w:rPr>
              <w:t>/s/ JONATHAN WYGANT</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Accounting Officer (Principal Accounting Officer)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8"/>
              </w:rPr>
              <w:t>Jonathan Wygant</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1"/>
              </w:rPr>
              <w:t>/s/ ROBERT S. EPSTEIN</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Chairperson, 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9"/>
              </w:rPr>
              <w:t>Robert S. Epstein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JOHN L. BISHOP</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43"/>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2"/>
              </w:rPr>
              <w:t>John L. Bishop</w:t>
            </w:r>
          </w:p>
        </w:tc>
        <w:tc>
          <w:tcPr>
            <w:tcW w:w="2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6"/>
              </w:rPr>
              <w:t>/s/ ELIAV BARR</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5"/>
              </w:rPr>
              <w:t>Eliav Barr, M.D.</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8"/>
              </w:rPr>
              <w:t>/s/ MUNA BHANJI</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3"/>
              </w:rPr>
              <w:t>Muna Bhanji</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9"/>
              </w:rPr>
              <w:t>/s/ KARIN EASTHAM</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1"/>
              </w:rPr>
              <w:t>Karin Eastham</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3"/>
              </w:rPr>
              <w:t>/s/ JENS HOLSTEIN</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8"/>
              </w:rPr>
              <w:t>Jens Holstein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2"/>
              </w:rPr>
              <w:t>/s/ EVAN JONES</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7"/>
              </w:rPr>
              <w:t>Evan Jones</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ind w:left="10100"/>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340350"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extLst>
                    </a:blip>
                    <a:srcRect/>
                    <a:stretch>
                      <a:fillRect/>
                    </a:stretch>
                  </pic:blipFill>
                  <pic:spPr bwMode="auto">
                    <a:xfrm>
                      <a:off x="0" y="0"/>
                      <a:ext cx="53403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June 8, 2023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Veracyte,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6000 Shoreline Court, Suite 300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South San Francisco, California 94080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 Post-Effective Amendment No. 1 to Registration Statements on Form S-8</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As counsel to Veracyte,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we have examined the Post-Effective Amendment No. 1 to Registration Statements No. 333-270147, 333-263116, 333-253363, 333-236630, 333-229848, 333-223292, 333-216388, 333-210185, 333-203097 and 333-191992 on Form S-8 (the “</w:t>
      </w:r>
      <w:r>
        <w:rPr>
          <w:rFonts w:ascii="Arial" w:cs="Arial" w:eastAsia="Arial" w:hAnsi="Arial"/>
          <w:sz w:val="19"/>
          <w:szCs w:val="19"/>
          <w:b w:val="1"/>
          <w:bCs w:val="1"/>
          <w:i w:val="1"/>
          <w:iCs w:val="1"/>
          <w:color w:val="auto"/>
        </w:rPr>
        <w:t>Post-Effective Amendment</w:t>
      </w:r>
      <w:r>
        <w:rPr>
          <w:rFonts w:ascii="Arial" w:cs="Arial" w:eastAsia="Arial" w:hAnsi="Arial"/>
          <w:sz w:val="19"/>
          <w:szCs w:val="19"/>
          <w:color w:val="auto"/>
        </w:rPr>
        <w:t>”) to be filed by the Company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or about June 8, 2023 in connection with the registration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of an aggregate number of shares of the Company’s Common Stock, $0.001 par value per share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equal to such shares of Common Stock not issued or subject to outstanding grants under the Company’s 2013 Stock Incentive Plan (the “</w:t>
      </w:r>
      <w:r>
        <w:rPr>
          <w:rFonts w:ascii="Arial" w:cs="Arial" w:eastAsia="Arial" w:hAnsi="Arial"/>
          <w:sz w:val="19"/>
          <w:szCs w:val="19"/>
          <w:b w:val="1"/>
          <w:bCs w:val="1"/>
          <w:i w:val="1"/>
          <w:iCs w:val="1"/>
          <w:color w:val="auto"/>
        </w:rPr>
        <w:t>Prior Plan</w:t>
      </w:r>
      <w:r>
        <w:rPr>
          <w:rFonts w:ascii="Arial" w:cs="Arial" w:eastAsia="Arial" w:hAnsi="Arial"/>
          <w:sz w:val="19"/>
          <w:szCs w:val="19"/>
          <w:color w:val="auto"/>
        </w:rPr>
        <w:t>”) on June 8, 2023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plus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Company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(such shares of Common Stock collectively,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reserved and subject to issuance by the Company upon the exercise or settlement of awards to be granted under the Company’s 2023 Equity Incentive Plan (the “</w:t>
      </w:r>
      <w:r>
        <w:rPr>
          <w:rFonts w:ascii="Arial" w:cs="Arial" w:eastAsia="Arial" w:hAnsi="Arial"/>
          <w:sz w:val="19"/>
          <w:szCs w:val="19"/>
          <w:b w:val="1"/>
          <w:bCs w:val="1"/>
          <w:i w:val="1"/>
          <w:iCs w:val="1"/>
          <w:color w:val="auto"/>
        </w:rPr>
        <w:t>2023 Plan</w:t>
      </w:r>
      <w:r>
        <w:rPr>
          <w:rFonts w:ascii="Arial" w:cs="Arial" w:eastAsia="Arial" w:hAnsi="Arial"/>
          <w:sz w:val="19"/>
          <w:szCs w:val="19"/>
          <w:color w:val="auto"/>
        </w:rPr>
        <w:t>”).</w:t>
      </w:r>
    </w:p>
    <w:p>
      <w:pPr>
        <w:spacing w:after="0" w:line="1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(the “</w:t>
      </w:r>
      <w:r>
        <w:rPr>
          <w:rFonts w:ascii="Arial" w:cs="Arial" w:eastAsia="Arial" w:hAnsi="Arial"/>
          <w:sz w:val="21"/>
          <w:szCs w:val="21"/>
          <w:b w:val="1"/>
          <w:bCs w:val="1"/>
          <w:i w:val="1"/>
          <w:iCs w:val="1"/>
          <w:color w:val="auto"/>
        </w:rPr>
        <w:t>Opinion Certificate</w:t>
      </w:r>
      <w:r>
        <w:rPr>
          <w:rFonts w:ascii="Arial" w:cs="Arial" w:eastAsia="Arial" w:hAnsi="Arial"/>
          <w:sz w:val="21"/>
          <w:szCs w:val="21"/>
          <w:color w:val="auto"/>
        </w:rPr>
        <w:t>”).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w:t>
      </w:r>
    </w:p>
    <w:p>
      <w:pPr>
        <w:spacing w:after="0" w:line="1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our examination of documents for purposes of this letter, we have assumed, and express no opinion as to, the genuineness and authenticity of all signatures on original</w:t>
      </w:r>
    </w:p>
    <w:p>
      <w:pPr>
        <w:sectPr>
          <w:pgSz w:w="11900" w:h="16838" w:orient="portrait"/>
          <w:cols w:equalWidth="0" w:num="1">
            <w:col w:w="11240"/>
          </w:cols>
          <w:pgMar w:left="320" w:top="115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June 8, 2023</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9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Arial" w:cs="Arial" w:eastAsia="Arial" w:hAnsi="Arial"/>
          <w:sz w:val="19"/>
          <w:szCs w:val="19"/>
          <w:b w:val="1"/>
          <w:bCs w:val="1"/>
          <w:i w:val="1"/>
          <w:iCs w:val="1"/>
          <w:color w:val="auto"/>
        </w:rPr>
        <w:t>EDGAR</w:t>
      </w:r>
      <w:r>
        <w:rPr>
          <w:rFonts w:ascii="Arial" w:cs="Arial" w:eastAsia="Arial" w:hAnsi="Arial"/>
          <w:sz w:val="19"/>
          <w:szCs w:val="19"/>
          <w:color w:val="auto"/>
        </w:rPr>
        <w:t>”), except for required EDGAR formatting changes, to physical copies submitted for our examination.</w:t>
      </w:r>
    </w:p>
    <w:p>
      <w:pPr>
        <w:spacing w:after="0" w:line="1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opinions in this letter are limited to the existing General Corporation Law of the State of Delaware now in effect. We express no opinion with respect to any other laws.</w:t>
      </w:r>
    </w:p>
    <w:p>
      <w:pPr>
        <w:spacing w:after="0" w:line="1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Based upon, and subject to, the foregoing, it is our opinion that the Shares, when issued and sold by the Company in accordance with the terms (including, without limitation, payment and authorization provisions) of the 2023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spacing w:after="0" w:line="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consent to the use of this opinion as an exhibit to the Post-Effective Amendment and further consent to all references to us, if any, in the Post-Effective Amendment, the prospectuses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3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This opinion is intended solely for your use in connection with the issuance and sale of the Shares subject to the Post-Effective Amendment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-17780</wp:posOffset>
            </wp:positionV>
            <wp:extent cx="1495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extLst>
                    </a:blip>
                    <a:srcRect/>
                    <a:stretch>
                      <a:fillRect/>
                    </a:stretch>
                  </pic:blipFill>
                  <pic:spPr bwMode="auto">
                    <a:xfrm>
                      <a:off x="0" y="0"/>
                      <a:ext cx="1495425" cy="8255"/>
                    </a:xfrm>
                    <a:prstGeom prst="rect">
                      <a:avLst/>
                    </a:prstGeom>
                    <a:noFill/>
                  </pic:spPr>
                </pic:pic>
              </a:graphicData>
            </a:graphic>
          </wp:anchor>
        </w:drawing>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FENWICK &amp; WEST LLP</w:t>
      </w:r>
    </w:p>
    <w:p>
      <w:pPr>
        <w:sectPr>
          <w:pgSz w:w="11900" w:h="16838" w:orient="portrait"/>
          <w:cols w:equalWidth="0" w:num="1">
            <w:col w:w="11240"/>
          </w:cols>
          <w:pgMar w:left="320" w:top="13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We consent to the incorporation by reference in the Post-Effective Amendment No. 1 to the Registration Statements (Form S-8) pertaining to the Veracyte, Inc. 2008 Stock Plan, Veracyte, Inc. 2013 Stock Incentive Plan and Veracyte, Inc. 2023 Equity Incentive Plan of our reports dated February 28, 2023, with respect to the consolidated financial statements of Veracyte, Inc. and the effectiveness of internal control over financial reporting of Veracyte, Inc. included in its Annual Report (Form 10-K) for the year ended December 31, 2022, filed with the Securities and Exchange Commission.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June 8, 2023</w:t>
      </w:r>
    </w:p>
    <w:p>
      <w:pPr>
        <w:sectPr>
          <w:pgSz w:w="11900" w:h="16838" w:orient="portrait"/>
          <w:cols w:equalWidth="0" w:num="1">
            <w:col w:w="11240"/>
          </w:cols>
          <w:pgMar w:left="320" w:top="1417" w:right="339" w:bottom="1440" w:gutter="0" w:footer="0" w:header="0"/>
        </w:sectPr>
      </w:pPr>
    </w:p>
    <w:bookmarkStart w:id="10" w:name="page11"/>
    <w:bookmarkEnd w:id="10"/>
    <w:p>
      <w:pPr>
        <w:ind w:left="10120"/>
        <w:spacing w:after="0"/>
        <w:rPr>
          <w:sz w:val="20"/>
          <w:szCs w:val="20"/>
          <w:color w:val="auto"/>
        </w:rPr>
      </w:pPr>
      <w:r>
        <w:rPr>
          <w:rFonts w:ascii="Arial" w:cs="Arial" w:eastAsia="Arial" w:hAnsi="Arial"/>
          <w:sz w:val="19"/>
          <w:szCs w:val="19"/>
          <w:b w:val="1"/>
          <w:bCs w:val="1"/>
          <w:color w:val="auto"/>
        </w:rPr>
        <w:t>Exhibit 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STOCK OPTION GRANT</w:t>
      </w:r>
    </w:p>
    <w:p>
      <w:pPr>
        <w:spacing w:after="0" w:line="26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Unless otherwise defined in this Notice of Global Stock Option Grant (this “</w:t>
      </w:r>
      <w:r>
        <w:rPr>
          <w:rFonts w:ascii="Arial" w:cs="Arial" w:eastAsia="Arial" w:hAnsi="Arial"/>
          <w:sz w:val="21"/>
          <w:szCs w:val="21"/>
          <w:b w:val="1"/>
          <w:bCs w:val="1"/>
          <w:i w:val="1"/>
          <w:iCs w:val="1"/>
          <w:color w:val="auto"/>
        </w:rPr>
        <w:t>Notice</w:t>
      </w:r>
      <w:r>
        <w:rPr>
          <w:rFonts w:ascii="Arial" w:cs="Arial" w:eastAsia="Arial" w:hAnsi="Arial"/>
          <w:sz w:val="21"/>
          <w:szCs w:val="21"/>
          <w:color w:val="auto"/>
        </w:rPr>
        <w:t>”), any capitalized terms used herein shall have the meaning ascribed to them in the Veracyte,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2023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individual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has been granted an option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to purchase shares of Common Stock of the Company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under the Plan, subject to the terms and conditions of the Plan, the attached Global Stock Option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thereto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and this Notice, which incorporates the Plan and the Agreement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 (in US Dollars)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179" w:lineRule="exact"/>
        <w:rPr>
          <w:sz w:val="20"/>
          <w:szCs w:val="20"/>
          <w:color w:val="auto"/>
        </w:rPr>
      </w:pPr>
    </w:p>
    <w:p>
      <w:pPr>
        <w:jc w:val="both"/>
        <w:ind w:left="1840" w:hanging="3887"/>
        <w:spacing w:after="0" w:line="232" w:lineRule="auto"/>
        <w:tabs>
          <w:tab w:leader="none" w:pos="182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Option expires earlier if Participant’s Service terminates earlier, as provided in the Agreement.</w:t>
      </w:r>
    </w:p>
    <w:p>
      <w:pPr>
        <w:spacing w:after="0" w:line="159" w:lineRule="exact"/>
        <w:rPr>
          <w:sz w:val="20"/>
          <w:szCs w:val="20"/>
          <w:color w:val="auto"/>
        </w:rPr>
      </w:pPr>
    </w:p>
    <w:p>
      <w:pPr>
        <w:jc w:val="both"/>
        <w:ind w:left="1880" w:hanging="3887"/>
        <w:spacing w:after="0" w:line="223" w:lineRule="auto"/>
        <w:tabs>
          <w:tab w:leader="none" w:pos="186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Subject to the limitations set forth in this Notice, the Agreement and the Plan, the Option will vest and may be exercised, in whole or in part, in accordance with the following schedule: [</w:t>
      </w:r>
      <w:r>
        <w:rPr>
          <w:rFonts w:ascii="Arial" w:cs="Arial" w:eastAsia="Arial" w:hAnsi="Arial"/>
          <w:sz w:val="22"/>
          <w:szCs w:val="22"/>
          <w:i w:val="1"/>
          <w:iCs w:val="1"/>
          <w:color w:val="auto"/>
        </w:rPr>
        <w:t>Veracyte to insert vesting schedule</w:t>
      </w:r>
      <w:r>
        <w:rPr>
          <w:rFonts w:ascii="Arial" w:cs="Arial" w:eastAsia="Arial" w:hAnsi="Arial"/>
          <w:sz w:val="22"/>
          <w:szCs w:val="22"/>
          <w:color w:val="auto"/>
        </w:rPr>
        <w:t>]</w:t>
      </w:r>
    </w:p>
    <w:p>
      <w:pPr>
        <w:spacing w:after="0" w:line="381" w:lineRule="exact"/>
        <w:rPr>
          <w:sz w:val="20"/>
          <w:szCs w:val="20"/>
          <w:color w:val="auto"/>
        </w:rPr>
      </w:pPr>
    </w:p>
    <w:p>
      <w:pPr>
        <w:jc w:val="both"/>
        <w:ind w:left="3900"/>
        <w:spacing w:after="0" w:line="223" w:lineRule="auto"/>
        <w:rPr>
          <w:sz w:val="20"/>
          <w:szCs w:val="20"/>
          <w:color w:val="auto"/>
        </w:rPr>
      </w:pPr>
      <w:r>
        <w:rPr>
          <w:rFonts w:ascii="Arial" w:cs="Arial" w:eastAsia="Arial" w:hAnsi="Arial"/>
          <w:sz w:val="22"/>
          <w:szCs w:val="22"/>
          <w:i w:val="1"/>
          <w:iCs w:val="1"/>
          <w:color w:val="auto"/>
        </w:rPr>
        <w:t xml:space="preserve">[Include, as applicable: </w:t>
      </w:r>
      <w:r>
        <w:rPr>
          <w:rFonts w:ascii="Arial" w:cs="Arial" w:eastAsia="Arial" w:hAnsi="Arial"/>
          <w:sz w:val="22"/>
          <w:szCs w:val="22"/>
          <w:color w:val="auto"/>
        </w:rPr>
        <w:t>Notwithstanding the foregoing and if applicable, this Option</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subject to Participant’s Change of Control and Severance Agreement to the extent in effect at the time of termination.]</w:t>
      </w:r>
    </w:p>
    <w:p>
      <w:pPr>
        <w:sectPr>
          <w:pgSz w:w="11900" w:h="16838" w:orient="portrait"/>
          <w:cols w:equalWidth="0" w:num="1">
            <w:col w:w="11240"/>
          </w:cols>
          <w:pgMar w:left="320" w:top="98" w:right="339" w:bottom="1440" w:gutter="0" w:footer="0" w:header="0"/>
        </w:sectPr>
      </w:pPr>
    </w:p>
    <w:bookmarkStart w:id="11" w:name="page12"/>
    <w:bookmarkEnd w:id="11"/>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Option,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Option is granted under and governed by the terms and conditions of this Notice, the Agreement and the Plan.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vesting of the Option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w:t>
      </w:r>
    </w:p>
    <w:p>
      <w:pPr>
        <w:spacing w:after="0" w:line="16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 is granted by the Company at its sole discretion, and does not entitle Participant to further grant(s) of Option(s) or any other award(s) under the Plan or any other plan or program maintained by the Company or any Parent, Subsidiary or Affiliate.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xml:space="preserve">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12" w:name="page13"/>
    <w:bookmarkEnd w:id="12"/>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AWARD AGREEMENT</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Unless otherwise defined in the Notice of Global Stock Option Grant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to which this Global Stock Option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 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5" w:lineRule="exact"/>
        <w:rPr>
          <w:sz w:val="20"/>
          <w:szCs w:val="20"/>
          <w:color w:val="auto"/>
        </w:rPr>
      </w:pPr>
    </w:p>
    <w:p>
      <w:pPr>
        <w:jc w:val="both"/>
        <w:ind w:firstLine="656"/>
        <w:spacing w:after="0" w:line="225" w:lineRule="auto"/>
        <w:tabs>
          <w:tab w:leader="none" w:pos="1039" w:val="left"/>
        </w:tabs>
        <w:numPr>
          <w:ilvl w:val="1"/>
          <w:numId w:val="7"/>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The Participant has been granted an Option to purchase Shares, subject to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color w:val="auto"/>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Arial" w:cs="Arial" w:eastAsia="Arial" w:hAnsi="Arial"/>
          <w:sz w:val="21"/>
          <w:szCs w:val="21"/>
          <w:b w:val="1"/>
          <w:bCs w:val="1"/>
          <w:i w:val="1"/>
          <w:iCs w:val="1"/>
          <w:color w:val="auto"/>
        </w:rPr>
        <w:t>NQSO</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010000"/>
        </w:rPr>
      </w:pPr>
    </w:p>
    <w:p>
      <w:pPr>
        <w:jc w:val="both"/>
        <w:ind w:firstLine="656"/>
        <w:spacing w:after="0" w:line="250" w:lineRule="auto"/>
        <w:tabs>
          <w:tab w:leader="none" w:pos="1064" w:val="left"/>
        </w:tabs>
        <w:numPr>
          <w:ilvl w:val="1"/>
          <w:numId w:val="7"/>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Term of Option; Vesting and Exercisability</w:t>
      </w:r>
      <w:r>
        <w:rPr>
          <w:rFonts w:ascii="Arial" w:cs="Arial" w:eastAsia="Arial" w:hAnsi="Arial"/>
          <w:sz w:val="19"/>
          <w:szCs w:val="19"/>
          <w:color w:val="auto"/>
        </w:rPr>
        <w:t>. The Option shall in any event expire on the Expiration Date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Notice, which date is no later than the close of business at Company headquarters the day immediately prior to the date ten</w:t>
      </w:r>
    </w:p>
    <w:p>
      <w:pPr>
        <w:jc w:val="both"/>
        <w:ind w:firstLine="8"/>
        <w:spacing w:after="0" w:line="212" w:lineRule="auto"/>
        <w:tabs>
          <w:tab w:leader="none" w:pos="426"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Subject to the applicable provisions of the Notice, this Agreement and the Plan, the Option shall vest, subject to Participant’s continuing Service, and may be exercised, in whole or in part, during its term in accordance with the Vesting Schedule as set forth in the Notice.</w:t>
      </w:r>
    </w:p>
    <w:p>
      <w:pPr>
        <w:spacing w:after="0" w:line="154" w:lineRule="exact"/>
        <w:rPr>
          <w:rFonts w:ascii="Arial" w:cs="Arial" w:eastAsia="Arial" w:hAnsi="Arial"/>
          <w:sz w:val="22"/>
          <w:szCs w:val="22"/>
          <w:color w:val="auto"/>
        </w:rPr>
      </w:pPr>
    </w:p>
    <w:p>
      <w:pPr>
        <w:jc w:val="both"/>
        <w:ind w:firstLine="656"/>
        <w:spacing w:after="0" w:line="220" w:lineRule="auto"/>
        <w:tabs>
          <w:tab w:leader="none" w:pos="1215" w:val="left"/>
        </w:tabs>
        <w:numPr>
          <w:ilvl w:val="1"/>
          <w:numId w:val="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Post-Termination Exercise Periods</w:t>
      </w:r>
      <w:r>
        <w:rPr>
          <w:rFonts w:ascii="Arial" w:cs="Arial" w:eastAsia="Arial" w:hAnsi="Arial"/>
          <w:sz w:val="22"/>
          <w:szCs w:val="22"/>
          <w:color w:val="auto"/>
        </w:rPr>
        <w:t>. In the event Participant’s Service terminates (the effective date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811" w:val="left"/>
        </w:tabs>
        <w:numPr>
          <w:ilvl w:val="2"/>
          <w:numId w:val="8"/>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Except as provided in the Notice or as otherwise provided by the Committee, and subject to the Plan, if Participant’s Service terminates for any reason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(solely to the extent that the Committee provides for an earlier expiration as permitted by Section 3(c))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terminates deemed to be the exercise of an NQSO), but in any event no later than the Expiration Date of the Option as set forth in the Notice.</w:t>
      </w:r>
    </w:p>
    <w:p>
      <w:pPr>
        <w:spacing w:after="0" w:line="153" w:lineRule="exact"/>
        <w:rPr>
          <w:rFonts w:ascii="Arial" w:cs="Arial" w:eastAsia="Arial" w:hAnsi="Arial"/>
          <w:sz w:val="19"/>
          <w:szCs w:val="19"/>
          <w:color w:val="010000"/>
        </w:rPr>
      </w:pPr>
    </w:p>
    <w:p>
      <w:pPr>
        <w:jc w:val="both"/>
        <w:ind w:firstLine="1304"/>
        <w:spacing w:after="0" w:line="214" w:lineRule="auto"/>
        <w:tabs>
          <w:tab w:leader="none" w:pos="1785" w:val="left"/>
        </w:tabs>
        <w:numPr>
          <w:ilvl w:val="2"/>
          <w:numId w:val="8"/>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xml:space="preserve">. Except as provided in the Notice or as provided otherwise by the Committee, and subject to the Plan, if Participant’s Service terminates because of Participant’s death (or Participant dies within three (3) months after Participant’s Service terminates </w:t>
      </w:r>
      <w:r>
        <w:rPr>
          <w:rFonts w:ascii="Arial" w:cs="Arial" w:eastAsia="Arial" w:hAnsi="Arial"/>
          <w:sz w:val="22"/>
          <w:szCs w:val="22"/>
          <w:u w:val="single" w:color="auto"/>
          <w:color w:val="auto"/>
        </w:rPr>
        <w:t>except</w:t>
      </w:r>
      <w:r>
        <w:rPr>
          <w:rFonts w:ascii="Arial" w:cs="Arial" w:eastAsia="Arial" w:hAnsi="Arial"/>
          <w:sz w:val="22"/>
          <w:szCs w:val="22"/>
          <w:color w:val="auto"/>
        </w:rPr>
        <w:t xml:space="preserve"> 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w:t>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months after the Termination Date, but in any event no later than the Expiration Date of the Option as set forth in the Notice.</w:t>
      </w:r>
    </w:p>
    <w:p>
      <w:pPr>
        <w:spacing w:after="0" w:line="214" w:lineRule="exact"/>
        <w:rPr>
          <w:sz w:val="20"/>
          <w:szCs w:val="20"/>
          <w:color w:val="auto"/>
        </w:rPr>
      </w:pPr>
    </w:p>
    <w:p>
      <w:pPr>
        <w:jc w:val="both"/>
        <w:ind w:firstLine="1304"/>
        <w:spacing w:after="0" w:line="220" w:lineRule="auto"/>
        <w:tabs>
          <w:tab w:leader="none" w:pos="1809"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terminates when the termination of Service is for a Disability that is not a “permanent and total disability” as defined in Section 22(e)(3) of the Code, or (b) twelve (12) months after the date Participant’s Service terminates when the termination of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is for a Disability that is a “permanent and total disability” as defined in Section 22(e)(3) of the Code, deemed to be exercise of an NQSO), but in any event no later than the Expiration Date of the Option as set forth in the Notice.</w:t>
      </w:r>
    </w:p>
    <w:p>
      <w:pPr>
        <w:spacing w:after="0" w:line="162" w:lineRule="exact"/>
        <w:rPr>
          <w:rFonts w:ascii="Arial" w:cs="Arial" w:eastAsia="Arial" w:hAnsi="Arial"/>
          <w:sz w:val="21"/>
          <w:szCs w:val="21"/>
          <w:color w:val="010000"/>
        </w:rPr>
      </w:pPr>
    </w:p>
    <w:p>
      <w:pPr>
        <w:jc w:val="both"/>
        <w:ind w:firstLine="1304"/>
        <w:spacing w:after="0" w:line="221" w:lineRule="auto"/>
        <w:tabs>
          <w:tab w:leader="none" w:pos="1826"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Cause</w:t>
      </w:r>
      <w:r>
        <w:rPr>
          <w:rFonts w:ascii="Arial" w:cs="Arial" w:eastAsia="Arial" w:hAnsi="Arial"/>
          <w:sz w:val="21"/>
          <w:szCs w:val="21"/>
          <w:color w:val="auto"/>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spacing w:after="0" w:line="165" w:lineRule="exact"/>
        <w:rPr>
          <w:rFonts w:ascii="Arial" w:cs="Arial" w:eastAsia="Arial" w:hAnsi="Arial"/>
          <w:sz w:val="21"/>
          <w:szCs w:val="21"/>
          <w:color w:val="010000"/>
        </w:rPr>
      </w:pPr>
    </w:p>
    <w:p>
      <w:pPr>
        <w:jc w:val="both"/>
        <w:ind w:firstLine="1304"/>
        <w:spacing w:after="0" w:line="219" w:lineRule="auto"/>
        <w:tabs>
          <w:tab w:leader="none" w:pos="1919"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Determination and Effect of Termination of Service</w:t>
      </w:r>
      <w:r>
        <w:rPr>
          <w:rFonts w:ascii="Arial" w:cs="Arial" w:eastAsia="Arial" w:hAnsi="Arial"/>
          <w:sz w:val="21"/>
          <w:szCs w:val="21"/>
          <w:color w:val="auto"/>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the Option shall terminate in its entirety.</w:t>
      </w:r>
    </w:p>
    <w:p>
      <w:pPr>
        <w:spacing w:after="0" w:line="153" w:lineRule="exact"/>
        <w:rPr>
          <w:rFonts w:ascii="Arial" w:cs="Arial" w:eastAsia="Arial" w:hAnsi="Arial"/>
          <w:sz w:val="21"/>
          <w:szCs w:val="21"/>
          <w:color w:val="010000"/>
        </w:rPr>
      </w:pPr>
    </w:p>
    <w:p>
      <w:pPr>
        <w:ind w:left="1040" w:hanging="384"/>
        <w:spacing w:after="0"/>
        <w:tabs>
          <w:tab w:leader="none" w:pos="1040" w:val="left"/>
        </w:tabs>
        <w:numPr>
          <w:ilvl w:val="0"/>
          <w:numId w:val="1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firstLine="1304"/>
        <w:spacing w:after="0" w:line="223" w:lineRule="auto"/>
        <w:tabs>
          <w:tab w:leader="none" w:pos="1810" w:val="left"/>
        </w:tabs>
        <w:numPr>
          <w:ilvl w:val="1"/>
          <w:numId w:val="10"/>
        </w:numPr>
        <w:rPr>
          <w:rFonts w:ascii="Arial" w:cs="Arial" w:eastAsia="Arial" w:hAnsi="Arial"/>
          <w:sz w:val="22"/>
          <w:szCs w:val="22"/>
          <w:color w:val="010000"/>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 the Option is exercisable during its term in accordance with the Vesting Schedule set forth in the Notice and the applicable provisions of this Agreement and the Plan. The Option may not be exercised for a fraction of 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4" w:name="page15"/>
    <w:bookmarkEnd w:id="14"/>
    <w:p>
      <w:pPr>
        <w:jc w:val="both"/>
        <w:ind w:left="-220" w:firstLine="1304"/>
        <w:spacing w:after="0" w:line="246" w:lineRule="auto"/>
        <w:tabs>
          <w:tab w:leader="none" w:pos="1709" w:val="left"/>
        </w:tabs>
        <w:numPr>
          <w:ilvl w:val="1"/>
          <w:numId w:val="11"/>
        </w:numPr>
        <w:rPr>
          <w:rFonts w:ascii="Arial" w:cs="Arial" w:eastAsia="Arial" w:hAnsi="Arial"/>
          <w:sz w:val="19"/>
          <w:szCs w:val="19"/>
          <w:color w:val="010000"/>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the Option, Participant must deliver (i) an exercise notice in a form specified by the Company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which shall state the election to exercise the Option, the number of Shares in respect of which the Option is being exercised (the “</w:t>
      </w:r>
      <w:r>
        <w:rPr>
          <w:rFonts w:ascii="Arial" w:cs="Arial" w:eastAsia="Arial" w:hAnsi="Arial"/>
          <w:sz w:val="19"/>
          <w:szCs w:val="19"/>
          <w:b w:val="1"/>
          <w:bCs w:val="1"/>
          <w:i w:val="1"/>
          <w:iCs w:val="1"/>
          <w:color w:val="auto"/>
        </w:rPr>
        <w:t>Exercised Shares</w:t>
      </w:r>
      <w:r>
        <w:rPr>
          <w:rFonts w:ascii="Arial" w:cs="Arial" w:eastAsia="Arial" w:hAnsi="Arial"/>
          <w:sz w:val="19"/>
          <w:szCs w:val="19"/>
          <w:color w:val="auto"/>
        </w:rPr>
        <w:t xml:space="preserve">”), and such other representations and agreements as may be required by the Company pursuant to the provisions of the Plan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spacing w:after="0" w:line="152" w:lineRule="exact"/>
        <w:rPr>
          <w:rFonts w:ascii="Arial" w:cs="Arial" w:eastAsia="Arial" w:hAnsi="Arial"/>
          <w:sz w:val="19"/>
          <w:szCs w:val="19"/>
          <w:color w:val="010000"/>
        </w:rPr>
      </w:pPr>
    </w:p>
    <w:p>
      <w:pPr>
        <w:jc w:val="both"/>
        <w:ind w:left="-220" w:firstLine="1304"/>
        <w:spacing w:after="0" w:line="216" w:lineRule="auto"/>
        <w:tabs>
          <w:tab w:leader="none" w:pos="1542" w:val="left"/>
        </w:tabs>
        <w:numPr>
          <w:ilvl w:val="1"/>
          <w:numId w:val="11"/>
        </w:numPr>
        <w:rPr>
          <w:rFonts w:ascii="Arial" w:cs="Arial" w:eastAsia="Arial" w:hAnsi="Arial"/>
          <w:sz w:val="22"/>
          <w:szCs w:val="22"/>
          <w:color w:val="010000"/>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spacing w:after="0" w:line="157" w:lineRule="exact"/>
        <w:rPr>
          <w:rFonts w:ascii="Arial" w:cs="Arial" w:eastAsia="Arial" w:hAnsi="Arial"/>
          <w:sz w:val="22"/>
          <w:szCs w:val="22"/>
          <w:color w:val="010000"/>
        </w:rPr>
      </w:pPr>
    </w:p>
    <w:p>
      <w:pPr>
        <w:jc w:val="both"/>
        <w:ind w:left="-220" w:firstLine="1304"/>
        <w:spacing w:after="0" w:line="216" w:lineRule="auto"/>
        <w:tabs>
          <w:tab w:leader="none" w:pos="1676" w:val="left"/>
        </w:tabs>
        <w:numPr>
          <w:ilvl w:val="1"/>
          <w:numId w:val="11"/>
        </w:numPr>
        <w:rPr>
          <w:rFonts w:ascii="Arial" w:cs="Arial" w:eastAsia="Arial" w:hAnsi="Arial"/>
          <w:sz w:val="22"/>
          <w:szCs w:val="22"/>
          <w:color w:val="010000"/>
        </w:rPr>
      </w:pPr>
      <w:r>
        <w:rPr>
          <w:rFonts w:ascii="Arial" w:cs="Arial" w:eastAsia="Arial" w:hAnsi="Arial"/>
          <w:sz w:val="22"/>
          <w:szCs w:val="22"/>
          <w:u w:val="single" w:color="auto"/>
          <w:color w:val="auto"/>
        </w:rPr>
        <w:t>Exercise by Person Other than Participant</w:t>
      </w:r>
      <w:r>
        <w:rPr>
          <w:rFonts w:ascii="Arial" w:cs="Arial" w:eastAsia="Arial" w:hAnsi="Arial"/>
          <w:sz w:val="22"/>
          <w:szCs w:val="22"/>
          <w:color w:val="auto"/>
        </w:rPr>
        <w:t xml:space="preserve">. Provided the Company is satisfied that the Option has been transferred to such person in compliance with this Agreement, including but not limited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exercise of the Option by a person other than Participant shall be subject to this Agreement, the Notice and the Plan, and must be undertaken in accordance with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no later than the Expiration Date of the Option as set forth in the Notice or such earlier date as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w:t>
      </w:r>
    </w:p>
    <w:p>
      <w:pPr>
        <w:spacing w:after="0" w:line="151" w:lineRule="exact"/>
        <w:rPr>
          <w:rFonts w:ascii="Arial" w:cs="Arial" w:eastAsia="Arial" w:hAnsi="Arial"/>
          <w:sz w:val="22"/>
          <w:szCs w:val="22"/>
          <w:color w:val="010000"/>
        </w:rPr>
      </w:pPr>
    </w:p>
    <w:p>
      <w:pPr>
        <w:ind w:left="-220" w:firstLine="656"/>
        <w:spacing w:after="0" w:line="235" w:lineRule="auto"/>
        <w:tabs>
          <w:tab w:leader="none" w:pos="880" w:val="left"/>
        </w:tabs>
        <w:numPr>
          <w:ilvl w:val="0"/>
          <w:numId w:val="1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aggregate Exercise Price shall be by any of the following,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at the election of Participant unless otherwise indicated:</w:t>
      </w:r>
    </w:p>
    <w:p>
      <w:pPr>
        <w:spacing w:after="0" w:line="158" w:lineRule="exact"/>
        <w:rPr>
          <w:rFonts w:ascii="Arial" w:cs="Arial" w:eastAsia="Arial" w:hAnsi="Arial"/>
          <w:sz w:val="22"/>
          <w:szCs w:val="22"/>
          <w:b w:val="1"/>
          <w:bCs w:val="1"/>
          <w:color w:val="010000"/>
        </w:rPr>
      </w:pPr>
    </w:p>
    <w:p>
      <w:pPr>
        <w:ind w:left="1540" w:hanging="456"/>
        <w:spacing w:after="0"/>
        <w:tabs>
          <w:tab w:leader="none" w:pos="154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cash;</w:t>
      </w:r>
    </w:p>
    <w:p>
      <w:pPr>
        <w:spacing w:after="0" w:line="179" w:lineRule="exact"/>
        <w:rPr>
          <w:rFonts w:ascii="Arial" w:cs="Arial" w:eastAsia="Arial" w:hAnsi="Arial"/>
          <w:sz w:val="22"/>
          <w:szCs w:val="22"/>
          <w:color w:val="010000"/>
        </w:rPr>
      </w:pPr>
    </w:p>
    <w:p>
      <w:pPr>
        <w:ind w:left="1560" w:hanging="476"/>
        <w:spacing w:after="0"/>
        <w:tabs>
          <w:tab w:leader="none" w:pos="156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personal check (representing readily available funds), wire transfer, or a cashier’s check;</w:t>
      </w:r>
    </w:p>
    <w:p>
      <w:pPr>
        <w:spacing w:after="0" w:line="179" w:lineRule="exact"/>
        <w:rPr>
          <w:rFonts w:ascii="Arial" w:cs="Arial" w:eastAsia="Arial" w:hAnsi="Arial"/>
          <w:sz w:val="22"/>
          <w:szCs w:val="22"/>
          <w:color w:val="010000"/>
        </w:rPr>
      </w:pPr>
    </w:p>
    <w:p>
      <w:pPr>
        <w:jc w:val="both"/>
        <w:ind w:left="-220" w:firstLine="1304"/>
        <w:spacing w:after="0" w:line="221" w:lineRule="auto"/>
        <w:tabs>
          <w:tab w:leader="none" w:pos="1626" w:val="left"/>
        </w:tabs>
        <w:numPr>
          <w:ilvl w:val="1"/>
          <w:numId w:val="12"/>
        </w:numPr>
        <w:rPr>
          <w:rFonts w:ascii="Arial" w:cs="Arial" w:eastAsia="Arial" w:hAnsi="Arial"/>
          <w:sz w:val="21"/>
          <w:szCs w:val="21"/>
          <w:color w:val="010000"/>
        </w:rPr>
      </w:pPr>
      <w:r>
        <w:rPr>
          <w:rFonts w:ascii="Arial" w:cs="Arial" w:eastAsia="Arial" w:hAnsi="Arial"/>
          <w:sz w:val="21"/>
          <w:szCs w:val="21"/>
          <w:u w:val="single" w:color="auto"/>
          <w:color w:val="auto"/>
        </w:rPr>
        <w:t>if authorized by the Committee</w:t>
      </w:r>
      <w:r>
        <w:rPr>
          <w:rFonts w:ascii="Arial" w:cs="Arial" w:eastAsia="Arial" w:hAnsi="Arial"/>
          <w:sz w:val="21"/>
          <w:szCs w:val="21"/>
          <w:color w:val="auto"/>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spacing w:after="0" w:line="165" w:lineRule="exact"/>
        <w:rPr>
          <w:rFonts w:ascii="Arial" w:cs="Arial" w:eastAsia="Arial" w:hAnsi="Arial"/>
          <w:sz w:val="21"/>
          <w:szCs w:val="21"/>
          <w:color w:val="010000"/>
        </w:rPr>
      </w:pPr>
    </w:p>
    <w:p>
      <w:pPr>
        <w:jc w:val="both"/>
        <w:ind w:left="-220" w:firstLine="1304"/>
        <w:spacing w:after="0" w:line="216" w:lineRule="auto"/>
        <w:tabs>
          <w:tab w:leader="none" w:pos="1582"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a “broker-assisted” or “same-day sale (i.e., through irrevocable directions (given by signing a special notice of exercise form provided by the Company) to a securities 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spacing w:after="0" w:line="157" w:lineRule="exact"/>
        <w:rPr>
          <w:rFonts w:ascii="Arial" w:cs="Arial" w:eastAsia="Arial" w:hAnsi="Arial"/>
          <w:sz w:val="22"/>
          <w:szCs w:val="22"/>
          <w:color w:val="010000"/>
        </w:rPr>
      </w:pPr>
    </w:p>
    <w:p>
      <w:pPr>
        <w:ind w:left="1540" w:hanging="456"/>
        <w:spacing w:after="0"/>
        <w:tabs>
          <w:tab w:leader="none" w:pos="154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other method of payment as is permitted by applicable law and authorized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20"/>
          </w:cols>
          <w:pgMar w:left="540" w:top="1401" w:right="339" w:bottom="1440" w:gutter="0" w:footer="0" w:header="0"/>
        </w:sectPr>
      </w:pPr>
    </w:p>
    <w:bookmarkStart w:id="15" w:name="page16"/>
    <w:bookmarkEnd w:id="15"/>
    <w:p>
      <w:pPr>
        <w:jc w:val="both"/>
        <w:spacing w:after="0" w:line="234" w:lineRule="auto"/>
        <w:rPr>
          <w:sz w:val="20"/>
          <w:szCs w:val="20"/>
          <w:color w:val="auto"/>
        </w:rPr>
      </w:pPr>
      <w:r>
        <w:rPr>
          <w:rFonts w:ascii="Arial" w:cs="Arial" w:eastAsia="Arial" w:hAnsi="Arial"/>
          <w:sz w:val="21"/>
          <w:szCs w:val="21"/>
          <w:color w:val="auto"/>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52" w:lineRule="exact"/>
        <w:rPr>
          <w:sz w:val="20"/>
          <w:szCs w:val="20"/>
          <w:color w:val="auto"/>
        </w:rPr>
      </w:pPr>
    </w:p>
    <w:p>
      <w:pPr>
        <w:jc w:val="both"/>
        <w:ind w:firstLine="656"/>
        <w:spacing w:after="0" w:line="241" w:lineRule="auto"/>
        <w:tabs>
          <w:tab w:leader="none" w:pos="1215" w:val="left"/>
        </w:tabs>
        <w:numPr>
          <w:ilvl w:val="1"/>
          <w:numId w:val="1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Limited Transferability of Option</w:t>
      </w:r>
      <w:r>
        <w:rPr>
          <w:rFonts w:ascii="Arial" w:cs="Arial" w:eastAsia="Arial" w:hAnsi="Arial"/>
          <w:sz w:val="19"/>
          <w:szCs w:val="19"/>
          <w:color w:val="auto"/>
        </w:rPr>
        <w:t>. Except as set forth in this section or unless otherwise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spacing w:after="0" w:line="151" w:lineRule="exact"/>
        <w:rPr>
          <w:rFonts w:ascii="Arial" w:cs="Arial" w:eastAsia="Arial" w:hAnsi="Arial"/>
          <w:sz w:val="19"/>
          <w:szCs w:val="19"/>
          <w:b w:val="1"/>
          <w:bCs w:val="1"/>
          <w:color w:val="010000"/>
        </w:rPr>
      </w:pPr>
    </w:p>
    <w:p>
      <w:pPr>
        <w:jc w:val="both"/>
        <w:ind w:firstLine="656"/>
        <w:spacing w:after="0" w:line="220" w:lineRule="auto"/>
        <w:tabs>
          <w:tab w:leader="none" w:pos="1170" w:val="left"/>
        </w:tabs>
        <w:numPr>
          <w:ilvl w:val="1"/>
          <w:numId w:val="1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Option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spacing w:after="0" w:line="158" w:lineRule="exact"/>
        <w:rPr>
          <w:rFonts w:ascii="Arial" w:cs="Arial" w:eastAsia="Arial" w:hAnsi="Arial"/>
          <w:sz w:val="22"/>
          <w:szCs w:val="22"/>
          <w:b w:val="1"/>
          <w:bCs w:val="1"/>
          <w:color w:val="010000"/>
        </w:rPr>
      </w:pPr>
    </w:p>
    <w:p>
      <w:pPr>
        <w:jc w:val="both"/>
        <w:ind w:firstLine="1304"/>
        <w:spacing w:after="0" w:line="238" w:lineRule="auto"/>
        <w:tabs>
          <w:tab w:leader="none" w:pos="1769" w:val="left"/>
        </w:tabs>
        <w:numPr>
          <w:ilvl w:val="2"/>
          <w:numId w:val="13"/>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Participant acknowledges that, to the extent permitted by applicable law, regardless of any action taken by the Company or a Parent, Subsidiary or Affiliate employing or retaining the Participant (as applicable, the “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i w:val="1"/>
          <w:iCs w:val="1"/>
          <w:color w:val="auto"/>
        </w:rPr>
        <w:t>PARTICIPANT SHOULD CONSULT A TAX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6" w:name="page17"/>
    <w:bookmarkEnd w:id="16"/>
    <w:p>
      <w:pPr>
        <w:jc w:val="both"/>
        <w:spacing w:after="0" w:line="223" w:lineRule="auto"/>
        <w:rPr>
          <w:sz w:val="20"/>
          <w:szCs w:val="20"/>
          <w:color w:val="auto"/>
        </w:rPr>
      </w:pPr>
      <w:r>
        <w:rPr>
          <w:rFonts w:ascii="Arial" w:cs="Arial" w:eastAsia="Arial" w:hAnsi="Arial"/>
          <w:sz w:val="22"/>
          <w:szCs w:val="22"/>
          <w:i w:val="1"/>
          <w:iCs w:val="1"/>
          <w:color w:val="auto"/>
        </w:rPr>
        <w:t>APPROPRIATELY QUALIFIED IN EACH OF THE JURISDICTIONS, INCLUDING THE COUNTRY OR COUNTRIES IN WHICH PARTICIPANT RESIDES OR IS SUBJECT TO TAXATION, BEFORE EXERCISING THE OPTION OR DISPOSING OF THE SHARES.</w:t>
      </w:r>
    </w:p>
    <w:p>
      <w:pPr>
        <w:spacing w:after="0" w:line="159" w:lineRule="exact"/>
        <w:rPr>
          <w:sz w:val="20"/>
          <w:szCs w:val="20"/>
          <w:color w:val="auto"/>
        </w:rPr>
      </w:pPr>
    </w:p>
    <w:p>
      <w:pPr>
        <w:jc w:val="both"/>
        <w:ind w:firstLine="1304"/>
        <w:spacing w:after="0" w:line="257" w:lineRule="auto"/>
        <w:tabs>
          <w:tab w:leader="none" w:pos="1794" w:val="left"/>
        </w:tabs>
        <w:numPr>
          <w:ilvl w:val="0"/>
          <w:numId w:val="14"/>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44" w:lineRule="exact"/>
        <w:rPr>
          <w:rFonts w:ascii="Arial" w:cs="Arial" w:eastAsia="Arial" w:hAnsi="Arial"/>
          <w:sz w:val="19"/>
          <w:szCs w:val="19"/>
          <w:color w:val="010000"/>
        </w:rPr>
      </w:pPr>
    </w:p>
    <w:p>
      <w:pPr>
        <w:ind w:left="2320" w:hanging="368"/>
        <w:spacing w:after="0"/>
        <w:tabs>
          <w:tab w:leader="none" w:pos="2320" w:val="left"/>
        </w:tabs>
        <w:numPr>
          <w:ilvl w:val="1"/>
          <w:numId w:val="14"/>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 the Employer;</w:t>
      </w:r>
    </w:p>
    <w:p>
      <w:pPr>
        <w:spacing w:after="0" w:line="161" w:lineRule="exact"/>
        <w:rPr>
          <w:rFonts w:ascii="Arial" w:cs="Arial" w:eastAsia="Arial" w:hAnsi="Arial"/>
          <w:sz w:val="19"/>
          <w:szCs w:val="19"/>
          <w:color w:val="auto"/>
        </w:rPr>
      </w:pPr>
    </w:p>
    <w:p>
      <w:pPr>
        <w:ind w:firstLine="1952"/>
        <w:spacing w:after="0" w:line="232" w:lineRule="auto"/>
        <w:tabs>
          <w:tab w:leader="none" w:pos="2393" w:val="left"/>
        </w:tabs>
        <w:numPr>
          <w:ilvl w:val="1"/>
          <w:numId w:val="14"/>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the Option,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53" w:val="left"/>
        </w:tabs>
        <w:numPr>
          <w:ilvl w:val="1"/>
          <w:numId w:val="14"/>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the Option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14"/>
        </w:numPr>
        <w:rPr>
          <w:rFonts w:ascii="Arial" w:cs="Arial" w:eastAsia="Arial" w:hAnsi="Arial"/>
          <w:sz w:val="19"/>
          <w:szCs w:val="19"/>
          <w:color w:val="auto"/>
        </w:rPr>
      </w:pPr>
      <w:r>
        <w:rPr>
          <w:rFonts w:ascii="Arial" w:cs="Arial" w:eastAsia="Arial" w:hAnsi="Arial"/>
          <w:sz w:val="19"/>
          <w:szCs w:val="19"/>
          <w:color w:val="auto"/>
        </w:rPr>
        <w:t>Participant’s payment of a cash amount (including by check representing readily available funds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wire transfer); or</w:t>
      </w:r>
    </w:p>
    <w:p>
      <w:pPr>
        <w:spacing w:after="0" w:line="161" w:lineRule="exact"/>
        <w:rPr>
          <w:rFonts w:ascii="Arial" w:cs="Arial" w:eastAsia="Arial" w:hAnsi="Arial"/>
          <w:sz w:val="19"/>
          <w:szCs w:val="19"/>
          <w:color w:val="auto"/>
        </w:rPr>
      </w:pPr>
    </w:p>
    <w:p>
      <w:pPr>
        <w:ind w:left="2320" w:hanging="368"/>
        <w:spacing w:after="0"/>
        <w:tabs>
          <w:tab w:leader="none" w:pos="2320" w:val="left"/>
        </w:tabs>
        <w:numPr>
          <w:ilvl w:val="1"/>
          <w:numId w:val="14"/>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7" w:name="page18"/>
    <w:bookmarkEnd w:id="17"/>
    <w:p>
      <w:pPr>
        <w:jc w:val="both"/>
        <w:ind w:firstLine="1304"/>
        <w:spacing w:after="0" w:line="249" w:lineRule="auto"/>
        <w:tabs>
          <w:tab w:leader="none" w:pos="1880" w:val="left"/>
        </w:tabs>
        <w:numPr>
          <w:ilvl w:val="1"/>
          <w:numId w:val="15"/>
        </w:numPr>
        <w:rPr>
          <w:rFonts w:ascii="Arial" w:cs="Arial" w:eastAsia="Arial" w:hAnsi="Arial"/>
          <w:sz w:val="19"/>
          <w:szCs w:val="19"/>
          <w:color w:val="010000"/>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spacing w:after="0" w:line="145" w:lineRule="exact"/>
        <w:rPr>
          <w:rFonts w:ascii="Arial" w:cs="Arial" w:eastAsia="Arial" w:hAnsi="Arial"/>
          <w:sz w:val="19"/>
          <w:szCs w:val="19"/>
          <w:color w:val="010000"/>
        </w:rPr>
      </w:pPr>
    </w:p>
    <w:p>
      <w:pPr>
        <w:jc w:val="both"/>
        <w:ind w:firstLine="656"/>
        <w:spacing w:after="0" w:line="217" w:lineRule="auto"/>
        <w:tabs>
          <w:tab w:leader="none" w:pos="1099" w:val="left"/>
        </w:tabs>
        <w:numPr>
          <w:ilvl w:val="0"/>
          <w:numId w:val="1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Option will be subject to any special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010000"/>
        </w:rPr>
      </w:pPr>
    </w:p>
    <w:p>
      <w:pPr>
        <w:jc w:val="both"/>
        <w:ind w:firstLine="656"/>
        <w:spacing w:after="0" w:line="242" w:lineRule="auto"/>
        <w:tabs>
          <w:tab w:leader="none" w:pos="1037" w:val="left"/>
        </w:tabs>
        <w:numPr>
          <w:ilvl w:val="0"/>
          <w:numId w:val="16"/>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Compliance with Laws and Regulations; Legends</w:t>
      </w:r>
      <w:r>
        <w:rPr>
          <w:rFonts w:ascii="Arial" w:cs="Arial" w:eastAsia="Arial" w:hAnsi="Arial"/>
          <w:sz w:val="19"/>
          <w:szCs w:val="19"/>
          <w:color w:val="auto"/>
        </w:rPr>
        <w:t>. The issuance of Shares and any restriction on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371" w:lineRule="exact"/>
        <w:rPr>
          <w:rFonts w:ascii="Arial" w:cs="Arial" w:eastAsia="Arial" w:hAnsi="Arial"/>
          <w:sz w:val="19"/>
          <w:szCs w:val="19"/>
          <w:b w:val="1"/>
          <w:bCs w:val="1"/>
          <w:color w:val="010000"/>
        </w:rPr>
      </w:pPr>
    </w:p>
    <w:p>
      <w:pPr>
        <w:ind w:firstLine="656"/>
        <w:spacing w:after="0" w:line="235" w:lineRule="auto"/>
        <w:tabs>
          <w:tab w:leader="none" w:pos="1440" w:val="left"/>
        </w:tabs>
        <w:numPr>
          <w:ilvl w:val="0"/>
          <w:numId w:val="1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Option, Participant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and agrees that:</w:t>
      </w:r>
    </w:p>
    <w:p>
      <w:pPr>
        <w:spacing w:after="0" w:line="158" w:lineRule="exact"/>
        <w:rPr>
          <w:rFonts w:ascii="Arial" w:cs="Arial" w:eastAsia="Arial" w:hAnsi="Arial"/>
          <w:sz w:val="22"/>
          <w:szCs w:val="22"/>
          <w:b w:val="1"/>
          <w:bCs w:val="1"/>
          <w:color w:val="010000"/>
        </w:rPr>
      </w:pPr>
    </w:p>
    <w:p>
      <w:pPr>
        <w:ind w:firstLine="1304"/>
        <w:spacing w:after="0" w:line="232" w:lineRule="auto"/>
        <w:tabs>
          <w:tab w:leader="none" w:pos="1888"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794"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grant of the Option is exceptional, voluntary and occasional and does not create any contractual or other right to receive future grants of Options or other equity awards, or benefits in lieu thereof, even if Options or other equity awards have been granted in the past;</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1"/>
          <w:numId w:val="16"/>
        </w:numPr>
        <w:rPr>
          <w:rFonts w:ascii="Arial" w:cs="Arial" w:eastAsia="Arial" w:hAnsi="Arial"/>
          <w:sz w:val="19"/>
          <w:szCs w:val="19"/>
          <w:color w:val="010000"/>
        </w:rPr>
      </w:pPr>
      <w:r>
        <w:rPr>
          <w:rFonts w:ascii="Arial" w:cs="Arial" w:eastAsia="Arial" w:hAnsi="Arial"/>
          <w:sz w:val="19"/>
          <w:szCs w:val="19"/>
          <w:color w:val="auto"/>
        </w:rPr>
        <w:t>all decisions with respect to future Option or other equity awards, if any, will be at the sole discretion of the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Company;</w:t>
      </w:r>
    </w:p>
    <w:p>
      <w:pPr>
        <w:spacing w:after="0" w:line="161" w:lineRule="exact"/>
        <w:rPr>
          <w:rFonts w:ascii="Arial" w:cs="Arial" w:eastAsia="Arial" w:hAnsi="Arial"/>
          <w:sz w:val="19"/>
          <w:szCs w:val="19"/>
          <w:color w:val="010000"/>
        </w:rPr>
      </w:pPr>
    </w:p>
    <w:p>
      <w:pPr>
        <w:ind w:firstLine="1304"/>
        <w:spacing w:after="0" w:line="232" w:lineRule="auto"/>
        <w:tabs>
          <w:tab w:leader="none" w:pos="1802"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Option grant and Participant’s participation in the Plan shall not create a right to employment or service or be interpreted as forming or amending an employment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8" w:name="page19"/>
    <w:bookmarkEnd w:id="18"/>
    <w:p>
      <w:pPr>
        <w:spacing w:after="0" w:line="298" w:lineRule="auto"/>
        <w:rPr>
          <w:sz w:val="20"/>
          <w:szCs w:val="20"/>
          <w:color w:val="auto"/>
        </w:rPr>
      </w:pPr>
      <w:r>
        <w:rPr>
          <w:rFonts w:ascii="Arial" w:cs="Arial" w:eastAsia="Arial" w:hAnsi="Arial"/>
          <w:sz w:val="19"/>
          <w:szCs w:val="19"/>
          <w:color w:val="auto"/>
        </w:rPr>
        <w:t>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05" w:lineRule="exact"/>
        <w:rPr>
          <w:sz w:val="20"/>
          <w:szCs w:val="20"/>
          <w:color w:val="auto"/>
        </w:rPr>
      </w:pPr>
    </w:p>
    <w:p>
      <w:pPr>
        <w:ind w:firstLine="1304"/>
        <w:spacing w:after="0" w:line="298" w:lineRule="auto"/>
        <w:tabs>
          <w:tab w:leader="none" w:pos="1982"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the Option is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010000"/>
        </w:rPr>
      </w:pPr>
    </w:p>
    <w:p>
      <w:pPr>
        <w:ind w:left="1740" w:hanging="436"/>
        <w:spacing w:after="0"/>
        <w:tabs>
          <w:tab w:leader="none" w:pos="174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010000"/>
        </w:rPr>
      </w:pPr>
    </w:p>
    <w:p>
      <w:pPr>
        <w:ind w:firstLine="1304"/>
        <w:spacing w:after="0" w:line="232" w:lineRule="auto"/>
        <w:tabs>
          <w:tab w:leader="none" w:pos="188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the Option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13" w:val="left"/>
        </w:tabs>
        <w:numPr>
          <w:ilvl w:val="0"/>
          <w:numId w:val="17"/>
        </w:numPr>
        <w:rPr>
          <w:rFonts w:ascii="Arial" w:cs="Arial" w:eastAsia="Arial" w:hAnsi="Arial"/>
          <w:sz w:val="21"/>
          <w:szCs w:val="21"/>
          <w:color w:val="010000"/>
        </w:rPr>
      </w:pPr>
      <w:r>
        <w:rPr>
          <w:rFonts w:ascii="Arial" w:cs="Arial" w:eastAsia="Arial" w:hAnsi="Arial"/>
          <w:sz w:val="21"/>
          <w:szCs w:val="21"/>
          <w:color w:val="auto"/>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788"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the future value of the Shares underlying the Option is unknown, indeterminable, and cannot be predicted</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010000"/>
        </w:rPr>
      </w:pPr>
    </w:p>
    <w:p>
      <w:pPr>
        <w:ind w:firstLine="1304"/>
        <w:spacing w:after="0" w:line="232" w:lineRule="auto"/>
        <w:tabs>
          <w:tab w:leader="none" w:pos="1746"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010000"/>
        </w:rPr>
      </w:pPr>
    </w:p>
    <w:p>
      <w:pPr>
        <w:jc w:val="both"/>
        <w:ind w:firstLine="1304"/>
        <w:spacing w:after="0" w:line="218" w:lineRule="auto"/>
        <w:tabs>
          <w:tab w:leader="none" w:pos="1848"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95"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52"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9" w:name="page20"/>
    <w:bookmarkEnd w:id="19"/>
    <w:p>
      <w:pPr>
        <w:ind w:left="920" w:hanging="484"/>
        <w:spacing w:after="0"/>
        <w:tabs>
          <w:tab w:leader="none" w:pos="920" w:val="left"/>
        </w:tabs>
        <w:numPr>
          <w:ilvl w:val="0"/>
          <w:numId w:val="1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52" w:lineRule="auto"/>
        <w:tabs>
          <w:tab w:leader="none" w:pos="1716"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010000"/>
        </w:rPr>
      </w:pPr>
    </w:p>
    <w:p>
      <w:pPr>
        <w:jc w:val="both"/>
        <w:ind w:left="-220" w:firstLine="1304"/>
        <w:spacing w:after="0" w:line="252" w:lineRule="auto"/>
        <w:tabs>
          <w:tab w:leader="none" w:pos="1825"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010000"/>
        </w:rPr>
      </w:pPr>
    </w:p>
    <w:p>
      <w:pPr>
        <w:jc w:val="both"/>
        <w:ind w:left="-220" w:firstLine="1304"/>
        <w:spacing w:after="0" w:line="246" w:lineRule="auto"/>
        <w:tabs>
          <w:tab w:leader="none" w:pos="1638"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52" w:lineRule="exact"/>
        <w:rPr>
          <w:rFonts w:ascii="Arial" w:cs="Arial" w:eastAsia="Arial" w:hAnsi="Arial"/>
          <w:sz w:val="19"/>
          <w:szCs w:val="19"/>
          <w:color w:val="010000"/>
        </w:rPr>
      </w:pPr>
    </w:p>
    <w:p>
      <w:pPr>
        <w:jc w:val="both"/>
        <w:ind w:left="-220" w:firstLine="1304"/>
        <w:spacing w:after="0" w:line="249" w:lineRule="auto"/>
        <w:tabs>
          <w:tab w:leader="none" w:pos="1658"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010000"/>
        </w:rPr>
      </w:pPr>
    </w:p>
    <w:p>
      <w:pPr>
        <w:jc w:val="both"/>
        <w:ind w:left="-220" w:firstLine="1304"/>
        <w:spacing w:after="0" w:line="247" w:lineRule="auto"/>
        <w:tabs>
          <w:tab w:leader="none" w:pos="1591"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010000"/>
        </w:rPr>
      </w:pPr>
    </w:p>
    <w:p>
      <w:pPr>
        <w:jc w:val="both"/>
        <w:ind w:left="-220" w:firstLine="1304"/>
        <w:spacing w:after="0" w:line="257" w:lineRule="auto"/>
        <w:tabs>
          <w:tab w:leader="none" w:pos="1585"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20"/>
          </w:cols>
          <w:pgMar w:left="540" w:top="1395" w:right="339" w:bottom="1440" w:gutter="0" w:footer="0" w:header="0"/>
        </w:sectPr>
      </w:pPr>
    </w:p>
    <w:bookmarkStart w:id="20" w:name="page21"/>
    <w:bookmarkEnd w:id="20"/>
    <w:p>
      <w:pPr>
        <w:spacing w:after="0" w:line="298" w:lineRule="auto"/>
        <w:rPr>
          <w:sz w:val="20"/>
          <w:szCs w:val="20"/>
          <w:color w:val="auto"/>
        </w:rPr>
      </w:pPr>
      <w:r>
        <w:rPr>
          <w:rFonts w:ascii="Arial" w:cs="Arial" w:eastAsia="Arial" w:hAnsi="Arial"/>
          <w:sz w:val="19"/>
          <w:szCs w:val="19"/>
          <w:b w:val="1"/>
          <w:bCs w:val="1"/>
          <w:i w:val="1"/>
          <w:iCs w:val="1"/>
          <w:color w:val="auto"/>
        </w:rPr>
        <w:t>Data would be compliance with the relevant laws or regulations. When the Company no longer needs Participant’s Personal Data for any of the above purposes, Participant understands the Company will remove it from its systems.</w:t>
      </w:r>
    </w:p>
    <w:p>
      <w:pPr>
        <w:spacing w:after="0" w:line="105" w:lineRule="exact"/>
        <w:rPr>
          <w:sz w:val="20"/>
          <w:szCs w:val="20"/>
          <w:color w:val="auto"/>
        </w:rPr>
      </w:pPr>
    </w:p>
    <w:p>
      <w:pPr>
        <w:jc w:val="both"/>
        <w:ind w:firstLine="1304"/>
        <w:spacing w:after="0" w:line="221" w:lineRule="auto"/>
        <w:tabs>
          <w:tab w:leader="none" w:pos="2032" w:val="left"/>
        </w:tabs>
        <w:numPr>
          <w:ilvl w:val="1"/>
          <w:numId w:val="19"/>
        </w:numPr>
        <w:rPr>
          <w:rFonts w:ascii="Arial" w:cs="Arial" w:eastAsia="Arial" w:hAnsi="Arial"/>
          <w:sz w:val="21"/>
          <w:szCs w:val="21"/>
          <w:color w:val="010000"/>
        </w:rPr>
      </w:pPr>
      <w:r>
        <w:rPr>
          <w:rFonts w:ascii="Arial" w:cs="Arial" w:eastAsia="Arial" w:hAnsi="Arial"/>
          <w:sz w:val="21"/>
          <w:szCs w:val="21"/>
          <w:b w:val="1"/>
          <w:bCs w:val="1"/>
          <w:i w:val="1"/>
          <w:iCs w:val="1"/>
          <w:u w:val="single" w:color="auto"/>
          <w:color w:val="auto"/>
        </w:rPr>
        <w:t>Voluntariness and Consequences of Denial/Withdrawal of Consent</w:t>
      </w:r>
      <w:r>
        <w:rPr>
          <w:rFonts w:ascii="Arial" w:cs="Arial" w:eastAsia="Arial" w:hAnsi="Arial"/>
          <w:sz w:val="21"/>
          <w:szCs w:val="21"/>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65" w:lineRule="exact"/>
        <w:rPr>
          <w:rFonts w:ascii="Arial" w:cs="Arial" w:eastAsia="Arial" w:hAnsi="Arial"/>
          <w:sz w:val="21"/>
          <w:szCs w:val="21"/>
          <w:color w:val="010000"/>
        </w:rPr>
      </w:pPr>
    </w:p>
    <w:p>
      <w:pPr>
        <w:jc w:val="both"/>
        <w:ind w:firstLine="1304"/>
        <w:spacing w:after="0" w:line="255" w:lineRule="auto"/>
        <w:tabs>
          <w:tab w:leader="none" w:pos="1766" w:val="left"/>
        </w:tabs>
        <w:numPr>
          <w:ilvl w:val="1"/>
          <w:numId w:val="19"/>
        </w:numPr>
        <w:rPr>
          <w:rFonts w:ascii="Arial" w:cs="Arial" w:eastAsia="Arial" w:hAnsi="Arial"/>
          <w:sz w:val="18"/>
          <w:szCs w:val="18"/>
          <w:color w:val="010000"/>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53" w:lineRule="exact"/>
        <w:rPr>
          <w:rFonts w:ascii="Arial" w:cs="Arial" w:eastAsia="Arial" w:hAnsi="Arial"/>
          <w:sz w:val="18"/>
          <w:szCs w:val="18"/>
          <w:color w:val="010000"/>
        </w:rPr>
      </w:pPr>
    </w:p>
    <w:p>
      <w:pPr>
        <w:jc w:val="both"/>
        <w:ind w:firstLine="1304"/>
        <w:spacing w:after="0" w:line="246" w:lineRule="auto"/>
        <w:tabs>
          <w:tab w:leader="none" w:pos="1719" w:val="left"/>
        </w:tabs>
        <w:numPr>
          <w:ilvl w:val="1"/>
          <w:numId w:val="19"/>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010000"/>
        </w:rPr>
      </w:pPr>
    </w:p>
    <w:p>
      <w:pPr>
        <w:jc w:val="both"/>
        <w:ind w:firstLine="656"/>
        <w:spacing w:after="0" w:line="230" w:lineRule="auto"/>
        <w:tabs>
          <w:tab w:leader="none" w:pos="1152" w:val="left"/>
        </w:tabs>
        <w:numPr>
          <w:ilvl w:val="0"/>
          <w:numId w:val="20"/>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Insider Trading Restrictions/Market Abuse Laws</w:t>
      </w:r>
      <w:r>
        <w:rPr>
          <w:rFonts w:ascii="Arial" w:cs="Arial" w:eastAsia="Arial" w:hAnsi="Arial"/>
          <w:sz w:val="21"/>
          <w:szCs w:val="21"/>
          <w:color w:val="auto"/>
        </w:rPr>
        <w:t>. By participating in the Plan, Participant agrees to comply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21" w:name="page22"/>
    <w:bookmarkEnd w:id="21"/>
    <w:p>
      <w:pPr>
        <w:jc w:val="both"/>
        <w:spacing w:after="0" w:line="241" w:lineRule="auto"/>
        <w:rPr>
          <w:sz w:val="20"/>
          <w:szCs w:val="20"/>
          <w:color w:val="auto"/>
        </w:rPr>
      </w:pPr>
      <w:r>
        <w:rPr>
          <w:rFonts w:ascii="Arial" w:cs="Arial" w:eastAsia="Arial" w:hAnsi="Arial"/>
          <w:sz w:val="19"/>
          <w:szCs w:val="19"/>
          <w:color w:val="auto"/>
        </w:rPr>
        <w:t>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w:t>
      </w:r>
    </w:p>
    <w:p>
      <w:pPr>
        <w:spacing w:after="0" w:line="1" w:lineRule="exact"/>
        <w:rPr>
          <w:sz w:val="20"/>
          <w:szCs w:val="20"/>
          <w:color w:val="auto"/>
        </w:rPr>
      </w:pPr>
    </w:p>
    <w:p>
      <w:pPr>
        <w:jc w:val="both"/>
        <w:ind w:firstLine="8"/>
        <w:spacing w:after="0" w:line="214" w:lineRule="auto"/>
        <w:tabs>
          <w:tab w:leader="none" w:pos="311" w:val="left"/>
        </w:tabs>
        <w:numPr>
          <w:ilvl w:val="0"/>
          <w:numId w:val="21"/>
        </w:numPr>
        <w:rPr>
          <w:rFonts w:ascii="Arial" w:cs="Arial" w:eastAsia="Arial" w:hAnsi="Arial"/>
          <w:sz w:val="22"/>
          <w:szCs w:val="22"/>
          <w:color w:val="auto"/>
        </w:rPr>
      </w:pPr>
      <w:r>
        <w:rPr>
          <w:rFonts w:ascii="Arial" w:cs="Arial" w:eastAsia="Arial" w:hAnsi="Arial"/>
          <w:sz w:val="22"/>
          <w:szCs w:val="22"/>
          <w:color w:val="auto"/>
        </w:rPr>
        <w:t>“tipping”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22"/>
          <w:szCs w:val="22"/>
          <w:color w:val="auto"/>
        </w:rPr>
      </w:pPr>
    </w:p>
    <w:p>
      <w:pPr>
        <w:jc w:val="both"/>
        <w:ind w:firstLine="656"/>
        <w:spacing w:after="0" w:line="245" w:lineRule="auto"/>
        <w:tabs>
          <w:tab w:leader="none" w:pos="1233" w:val="left"/>
        </w:tabs>
        <w:numPr>
          <w:ilvl w:val="1"/>
          <w:numId w:val="2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010000"/>
        </w:rPr>
      </w:pPr>
    </w:p>
    <w:p>
      <w:pPr>
        <w:ind w:firstLine="656"/>
        <w:spacing w:after="0" w:line="235" w:lineRule="auto"/>
        <w:tabs>
          <w:tab w:leader="none" w:pos="1198"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covered by the Option and the Exercise Price per Share may be adjusted pursuant to the Plan.</w:t>
      </w:r>
    </w:p>
    <w:p>
      <w:pPr>
        <w:spacing w:after="0" w:line="152" w:lineRule="exact"/>
        <w:rPr>
          <w:rFonts w:ascii="Arial" w:cs="Arial" w:eastAsia="Arial" w:hAnsi="Arial"/>
          <w:sz w:val="22"/>
          <w:szCs w:val="22"/>
          <w:b w:val="1"/>
          <w:bCs w:val="1"/>
          <w:color w:val="010000"/>
        </w:rPr>
      </w:pPr>
    </w:p>
    <w:p>
      <w:pPr>
        <w:jc w:val="both"/>
        <w:ind w:firstLine="656"/>
        <w:spacing w:after="0" w:line="225" w:lineRule="auto"/>
        <w:tabs>
          <w:tab w:leader="none" w:pos="1139"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010000"/>
        </w:rPr>
      </w:pPr>
    </w:p>
    <w:p>
      <w:pPr>
        <w:jc w:val="both"/>
        <w:ind w:firstLine="656"/>
        <w:spacing w:after="0" w:line="254" w:lineRule="auto"/>
        <w:tabs>
          <w:tab w:leader="none" w:pos="1158" w:val="left"/>
        </w:tabs>
        <w:numPr>
          <w:ilvl w:val="1"/>
          <w:numId w:val="2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including the Shares underlying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spacing w:after="0" w:line="139" w:lineRule="exact"/>
        <w:rPr>
          <w:rFonts w:ascii="Arial" w:cs="Arial" w:eastAsia="Arial" w:hAnsi="Arial"/>
          <w:sz w:val="19"/>
          <w:szCs w:val="19"/>
          <w:b w:val="1"/>
          <w:bCs w:val="1"/>
          <w:color w:val="010000"/>
        </w:rPr>
      </w:pPr>
    </w:p>
    <w:p>
      <w:pPr>
        <w:jc w:val="both"/>
        <w:ind w:firstLine="656"/>
        <w:spacing w:after="0" w:line="215" w:lineRule="auto"/>
        <w:tabs>
          <w:tab w:leader="none" w:pos="1148"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spacing w:after="0" w:line="152" w:lineRule="exact"/>
        <w:rPr>
          <w:rFonts w:ascii="Arial" w:cs="Arial" w:eastAsia="Arial" w:hAnsi="Arial"/>
          <w:sz w:val="22"/>
          <w:szCs w:val="22"/>
          <w:b w:val="1"/>
          <w:bCs w:val="1"/>
          <w:color w:val="010000"/>
        </w:rPr>
      </w:pPr>
    </w:p>
    <w:p>
      <w:pPr>
        <w:jc w:val="both"/>
        <w:ind w:firstLine="656"/>
        <w:spacing w:after="0" w:line="230" w:lineRule="auto"/>
        <w:tabs>
          <w:tab w:leader="none" w:pos="1150" w:val="left"/>
        </w:tabs>
        <w:numPr>
          <w:ilvl w:val="1"/>
          <w:numId w:val="21"/>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Consent to Electronic Delivery of All Plan Documents and Disclosures</w:t>
      </w:r>
      <w:r>
        <w:rPr>
          <w:rFonts w:ascii="Arial" w:cs="Arial" w:eastAsia="Arial" w:hAnsi="Arial"/>
          <w:sz w:val="21"/>
          <w:szCs w:val="21"/>
          <w:color w:val="auto"/>
        </w:rPr>
        <w:t>. By acceptance of the Notice (whether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22" w:name="page23"/>
    <w:bookmarkEnd w:id="22"/>
    <w:p>
      <w:pPr>
        <w:jc w:val="both"/>
        <w:spacing w:after="0" w:line="241" w:lineRule="auto"/>
        <w:rPr>
          <w:sz w:val="20"/>
          <w:szCs w:val="20"/>
          <w:color w:val="auto"/>
        </w:rPr>
      </w:pPr>
      <w:r>
        <w:rPr>
          <w:rFonts w:ascii="Arial" w:cs="Arial" w:eastAsia="Arial" w:hAnsi="Arial"/>
          <w:sz w:val="19"/>
          <w:szCs w:val="19"/>
          <w:color w:val="auto"/>
        </w:rPr>
        <w:t xml:space="preserve">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any change in Participant’s residence address indicated in the Notice or any electronic mail address provided</w:t>
      </w:r>
      <w:r>
        <w:rPr>
          <w:rFonts w:ascii="Arial" w:cs="Arial" w:eastAsia="Arial" w:hAnsi="Arial"/>
          <w:sz w:val="19"/>
          <w:szCs w:val="19"/>
          <w:color w:val="auto"/>
        </w:rPr>
        <w:t>.</w:t>
      </w:r>
    </w:p>
    <w:p>
      <w:pPr>
        <w:spacing w:after="0" w:line="152" w:lineRule="exact"/>
        <w:rPr>
          <w:sz w:val="20"/>
          <w:szCs w:val="20"/>
          <w:color w:val="auto"/>
        </w:rPr>
      </w:pPr>
    </w:p>
    <w:p>
      <w:pPr>
        <w:jc w:val="both"/>
        <w:ind w:firstLine="656"/>
        <w:spacing w:after="0" w:line="254" w:lineRule="auto"/>
        <w:tabs>
          <w:tab w:leader="none" w:pos="1288" w:val="left"/>
        </w:tabs>
        <w:numPr>
          <w:ilvl w:val="0"/>
          <w:numId w:val="2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139" w:lineRule="exact"/>
        <w:rPr>
          <w:rFonts w:ascii="Arial" w:cs="Arial" w:eastAsia="Arial" w:hAnsi="Arial"/>
          <w:sz w:val="19"/>
          <w:szCs w:val="19"/>
          <w:b w:val="1"/>
          <w:bCs w:val="1"/>
          <w:color w:val="010000"/>
        </w:rPr>
      </w:pPr>
    </w:p>
    <w:p>
      <w:pPr>
        <w:jc w:val="both"/>
        <w:ind w:firstLine="656"/>
        <w:spacing w:after="0" w:line="220" w:lineRule="auto"/>
        <w:tabs>
          <w:tab w:leader="none" w:pos="1148" w:val="left"/>
        </w:tabs>
        <w:numPr>
          <w:ilvl w:val="0"/>
          <w:numId w:val="2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010000"/>
        </w:rPr>
      </w:pPr>
    </w:p>
    <w:p>
      <w:pPr>
        <w:jc w:val="both"/>
        <w:ind w:firstLine="656"/>
        <w:spacing w:after="0" w:line="215" w:lineRule="auto"/>
        <w:tabs>
          <w:tab w:leader="none" w:pos="1238" w:val="left"/>
        </w:tabs>
        <w:numPr>
          <w:ilvl w:val="0"/>
          <w:numId w:val="2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Option is granted under and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spacing w:after="0" w:line="152" w:lineRule="exact"/>
        <w:rPr>
          <w:rFonts w:ascii="Arial" w:cs="Arial" w:eastAsia="Arial" w:hAnsi="Arial"/>
          <w:sz w:val="22"/>
          <w:szCs w:val="22"/>
          <w:b w:val="1"/>
          <w:bCs w:val="1"/>
          <w:color w:val="010000"/>
        </w:rPr>
      </w:pPr>
    </w:p>
    <w:p>
      <w:pPr>
        <w:jc w:val="both"/>
        <w:ind w:firstLine="656"/>
        <w:spacing w:after="0" w:line="254" w:lineRule="auto"/>
        <w:tabs>
          <w:tab w:leader="none" w:pos="1298" w:val="left"/>
        </w:tabs>
        <w:numPr>
          <w:ilvl w:val="0"/>
          <w:numId w:val="2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23" w:name="page24"/>
    <w:bookmarkEnd w:id="23"/>
    <w:p>
      <w:pPr>
        <w:jc w:val="both"/>
        <w:ind w:firstLine="656"/>
        <w:spacing w:after="0" w:line="220" w:lineRule="auto"/>
        <w:tabs>
          <w:tab w:leader="none" w:pos="1187" w:val="left"/>
        </w:tabs>
        <w:numPr>
          <w:ilvl w:val="0"/>
          <w:numId w:val="23"/>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010000"/>
        </w:rPr>
      </w:pPr>
    </w:p>
    <w:p>
      <w:pPr>
        <w:jc w:val="both"/>
        <w:ind w:firstLine="656"/>
        <w:spacing w:after="0" w:line="213" w:lineRule="auto"/>
        <w:tabs>
          <w:tab w:leader="none" w:pos="1225" w:val="left"/>
        </w:tabs>
        <w:numPr>
          <w:ilvl w:val="0"/>
          <w:numId w:val="2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OPTION,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Appendix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Award Agreement</w:t>
      </w:r>
    </w:p>
    <w:p>
      <w:pPr>
        <w:jc w:val="center"/>
        <w:spacing w:after="0" w:line="233"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ectPr>
          <w:pgSz w:w="11900" w:h="16838" w:orient="portrait"/>
          <w:cols w:equalWidth="0" w:num="1">
            <w:col w:w="11240"/>
          </w:cols>
          <w:pgMar w:left="320" w:top="1408"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Options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w:t>
      </w:r>
      <w:r>
        <w:rPr>
          <w:rFonts w:ascii="Arial" w:cs="Arial" w:eastAsia="Arial" w:hAnsi="Arial"/>
          <w:sz w:val="19"/>
          <w:szCs w:val="19"/>
          <w:b w:val="1"/>
          <w:bCs w:val="1"/>
          <w:i w:val="1"/>
          <w:iCs w:val="1"/>
          <w:color w:val="auto"/>
        </w:rPr>
        <w:t>AMF</w:t>
      </w:r>
      <w:r>
        <w:rPr>
          <w:rFonts w:ascii="Arial" w:cs="Arial" w:eastAsia="Arial" w:hAnsi="Arial"/>
          <w:sz w:val="19"/>
          <w:szCs w:val="19"/>
          <w:color w:val="auto"/>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i w:val="1"/>
          <w:iCs w:val="1"/>
          <w:color w:val="auto"/>
        </w:rPr>
        <w:t>En signant et renvoyant ce Contrat vous confirmez ainsi avoir lu et compris les documents relatifs au Plan qui vous ont été communiqués en langue anglaise. Vous en acceptez les termes en connaissance de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26" w:name="page27"/>
    <w:bookmarkEnd w:id="26"/>
    <w:p>
      <w:pPr>
        <w:jc w:val="both"/>
        <w:spacing w:after="0" w:line="212"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if different, from and against any liability for or obligation to pay any Tax Liability (a “</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being any liability for income tax, 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06" w:lineRule="auto"/>
        <w:rPr>
          <w:sz w:val="20"/>
          <w:szCs w:val="20"/>
          <w:color w:val="auto"/>
        </w:rPr>
      </w:pPr>
      <w:r>
        <w:rPr>
          <w:rFonts w:ascii="Arial" w:cs="Arial" w:eastAsia="Arial" w:hAnsi="Arial"/>
          <w:sz w:val="22"/>
          <w:szCs w:val="22"/>
          <w:color w:val="auto"/>
        </w:rPr>
        <w:t>data protection laws and regulations.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Nothing in the Notice of Stock Option Grant, Stock Option Agreement or Plan limits the obligations under the Privacy Protection Act, 5741-1981 (“</w:t>
      </w:r>
      <w:r>
        <w:rPr>
          <w:rFonts w:ascii="Arial" w:cs="Arial" w:eastAsia="Arial" w:hAnsi="Arial"/>
          <w:sz w:val="22"/>
          <w:szCs w:val="22"/>
          <w:b w:val="1"/>
          <w:bCs w:val="1"/>
          <w:i w:val="1"/>
          <w:iCs w:val="1"/>
          <w:color w:val="auto"/>
        </w:rPr>
        <w:t>PPA</w:t>
      </w:r>
      <w:r>
        <w:rPr>
          <w:rFonts w:ascii="Arial" w:cs="Arial" w:eastAsia="Arial" w:hAnsi="Arial"/>
          <w:sz w:val="22"/>
          <w:szCs w:val="22"/>
          <w:color w:val="auto"/>
        </w:rPr>
        <w:t>”) Chapter B.</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shall not be required to issue, allot or transfer Shares until the Participant has satisfied this obligation.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Arial" w:cs="Arial" w:eastAsia="Arial" w:hAnsi="Arial"/>
          <w:sz w:val="19"/>
          <w:szCs w:val="19"/>
          <w:b w:val="1"/>
          <w:bCs w:val="1"/>
          <w:i w:val="1"/>
          <w:iCs w:val="1"/>
          <w:color w:val="auto"/>
        </w:rPr>
        <w:t>Tax Date</w:t>
      </w:r>
      <w:r>
        <w:rPr>
          <w:rFonts w:ascii="Arial" w:cs="Arial" w:eastAsia="Arial" w:hAnsi="Arial"/>
          <w:sz w:val="19"/>
          <w:szCs w:val="19"/>
          <w:color w:val="auto"/>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Transfer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exercise of the Options, the Participant must declare the acquisition of such securities to the </w:t>
      </w:r>
      <w:r>
        <w:rPr>
          <w:rFonts w:ascii="Arial" w:cs="Arial" w:eastAsia="Arial" w:hAnsi="Arial"/>
          <w:sz w:val="22"/>
          <w:szCs w:val="22"/>
          <w:i w:val="1"/>
          <w:iCs w:val="1"/>
          <w:color w:val="auto"/>
        </w:rPr>
        <w:t>Spanish 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Arial" w:cs="Arial" w:eastAsia="Arial" w:hAnsi="Arial"/>
          <w:sz w:val="19"/>
          <w:szCs w:val="19"/>
          <w:i w:val="1"/>
          <w:iCs w:val="1"/>
          <w:color w:val="auto"/>
        </w:rPr>
        <w:t>Spanish Direccion General de Política Comercial y de Inversiones Extranjeras</w:t>
      </w:r>
      <w:r>
        <w:rPr>
          <w:rFonts w:ascii="Arial" w:cs="Arial" w:eastAsia="Arial" w:hAnsi="Arial"/>
          <w:sz w:val="19"/>
          <w:szCs w:val="19"/>
          <w:color w:val="auto"/>
        </w:rPr>
        <w:t xml:space="preserve">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28" w:name="page29"/>
    <w:bookmarkEnd w:id="28"/>
    <w:p>
      <w:pPr>
        <w:jc w:val="both"/>
        <w:spacing w:after="0" w:line="232" w:lineRule="auto"/>
        <w:rPr>
          <w:sz w:val="20"/>
          <w:szCs w:val="20"/>
          <w:color w:val="auto"/>
        </w:rPr>
      </w:pPr>
      <w:r>
        <w:rPr>
          <w:rFonts w:ascii="Arial" w:cs="Arial" w:eastAsia="Arial" w:hAnsi="Arial"/>
          <w:sz w:val="22"/>
          <w:szCs w:val="22"/>
          <w:color w:val="auto"/>
        </w:rPr>
        <w:t>development of the investment in non-resident entities by filing the corresponding D-8 form, within the first nine months of each calendar year.</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 sobre el</w:t>
      </w:r>
      <w:r>
        <w:rPr>
          <w:rFonts w:ascii="Arial" w:cs="Arial" w:eastAsia="Arial" w:hAnsi="Arial"/>
          <w:sz w:val="22"/>
          <w:szCs w:val="22"/>
          <w:color w:val="auto"/>
        </w:rPr>
        <w:t xml:space="preserve"> </w:t>
      </w:r>
      <w:r>
        <w:rPr>
          <w:rFonts w:ascii="Arial" w:cs="Arial" w:eastAsia="Arial" w:hAnsi="Arial"/>
          <w:sz w:val="22"/>
          <w:szCs w:val="22"/>
          <w:i w:val="1"/>
          <w:iCs w:val="1"/>
          <w:color w:val="auto"/>
        </w:rPr>
        <w:t>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jc w:val="both"/>
        <w:ind w:firstLine="8"/>
        <w:spacing w:after="0" w:line="217" w:lineRule="auto"/>
        <w:tabs>
          <w:tab w:leader="none" w:pos="316"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29" w:name="page30"/>
    <w:bookmarkEnd w:id="29"/>
    <w:p>
      <w:pPr>
        <w:spacing w:after="0" w:line="204"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At the discretion of the Company, the Options cannot be exercised until the Participant has entered into an election with the Company (or his/her employer) (as appropriate) in a form approved by the Company and Her Majesty’s Revenue &amp; Customs (a “</w:t>
      </w:r>
      <w:r>
        <w:rPr>
          <w:rFonts w:ascii="Arial" w:cs="Arial" w:eastAsia="Arial" w:hAnsi="Arial"/>
          <w:sz w:val="22"/>
          <w:szCs w:val="22"/>
          <w:b w:val="1"/>
          <w:bCs w:val="1"/>
          <w:i w:val="1"/>
          <w:iCs w:val="1"/>
          <w:color w:val="auto"/>
        </w:rPr>
        <w:t>Joint Election</w:t>
      </w:r>
      <w:r>
        <w:rPr>
          <w:rFonts w:ascii="Arial" w:cs="Arial" w:eastAsia="Arial" w:hAnsi="Arial"/>
          <w:sz w:val="22"/>
          <w:szCs w:val="22"/>
          <w:color w:val="auto"/>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w:t>
      </w:r>
      <w:r>
        <w:rPr>
          <w:rFonts w:ascii="Arial" w:cs="Arial" w:eastAsia="Arial" w:hAnsi="Arial"/>
          <w:sz w:val="22"/>
          <w:szCs w:val="22"/>
          <w:b w:val="1"/>
          <w:bCs w:val="1"/>
          <w:i w:val="1"/>
          <w:iCs w:val="1"/>
          <w:color w:val="auto"/>
        </w:rPr>
        <w:t>ITEPA</w:t>
      </w:r>
      <w:r>
        <w:rPr>
          <w:rFonts w:ascii="Arial" w:cs="Arial" w:eastAsia="Arial" w:hAnsi="Arial"/>
          <w:sz w:val="22"/>
          <w:szCs w:val="22"/>
          <w:color w:val="auto"/>
        </w:rPr>
        <w:t>”)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Arial" w:cs="Arial" w:eastAsia="Arial" w:hAnsi="Arial"/>
          <w:sz w:val="19"/>
          <w:szCs w:val="19"/>
          <w:b w:val="1"/>
          <w:bCs w:val="1"/>
          <w:i w:val="1"/>
          <w:iCs w:val="1"/>
          <w:color w:val="auto"/>
        </w:rPr>
        <w:t>UK Tax-Related Items</w:t>
      </w:r>
      <w:r>
        <w:rPr>
          <w:rFonts w:ascii="Arial" w:cs="Arial" w:eastAsia="Arial" w:hAnsi="Arial"/>
          <w:sz w:val="19"/>
          <w:szCs w:val="19"/>
          <w:color w:val="auto"/>
        </w:rPr>
        <w:t>”) that the Participant owes due to the exercise of the Options, or the release or assignment of the Options for consideration, or the receipt of any other benefit in connection with the Options (the “</w:t>
      </w:r>
      <w:r>
        <w:rPr>
          <w:rFonts w:ascii="Arial" w:cs="Arial" w:eastAsia="Arial" w:hAnsi="Arial"/>
          <w:sz w:val="19"/>
          <w:szCs w:val="19"/>
          <w:b w:val="1"/>
          <w:bCs w:val="1"/>
          <w:i w:val="1"/>
          <w:iCs w:val="1"/>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PERFORMANCE STOCK OPTION GRANT</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Unless otherwise defined in this Notice of Global Performance Stock Option Grant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0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individual named below (the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has been granted an option (the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to purchase shares of Common Stock of the Company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xml:space="preserve">”) under the Plan, subject to the terms and conditions of the Plan, the Global Performance Stock Option Award Agreement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 incorporate by reference any appendix thereto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xml:space="preserve">”)) and this Notice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w:t>
      </w:r>
      <w:r>
        <w:rPr>
          <w:rFonts w:ascii="Arial" w:cs="Arial" w:eastAsia="Arial" w:hAnsi="Arial"/>
          <w:sz w:val="22"/>
          <w:szCs w:val="22"/>
          <w:b w:val="1"/>
          <w:bCs w:val="1"/>
          <w:i w:val="1"/>
          <w:iCs w:val="1"/>
          <w:color w:val="auto"/>
        </w:rPr>
        <w:t>Vesting Appendix</w:t>
      </w:r>
      <w:r>
        <w:rPr>
          <w:rFonts w:ascii="Arial" w:cs="Arial" w:eastAsia="Arial" w:hAnsi="Arial"/>
          <w:sz w:val="22"/>
          <w:szCs w:val="22"/>
          <w:color w:val="auto"/>
        </w:rPr>
        <w:t>”)), which incorporates the Plan and the Agreement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 (in US Dollars)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179" w:lineRule="exact"/>
        <w:rPr>
          <w:sz w:val="20"/>
          <w:szCs w:val="20"/>
          <w:color w:val="auto"/>
        </w:rPr>
      </w:pPr>
    </w:p>
    <w:p>
      <w:pPr>
        <w:jc w:val="both"/>
        <w:ind w:left="1840" w:hanging="3887"/>
        <w:spacing w:after="0" w:line="232" w:lineRule="auto"/>
        <w:tabs>
          <w:tab w:leader="none" w:pos="182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Option expires earlier if Participant’s Service terminates earlier, as provided in the Agreement.</w:t>
      </w:r>
    </w:p>
    <w:p>
      <w:pPr>
        <w:spacing w:after="0" w:line="159" w:lineRule="exact"/>
        <w:rPr>
          <w:sz w:val="20"/>
          <w:szCs w:val="20"/>
          <w:color w:val="auto"/>
        </w:rPr>
      </w:pPr>
    </w:p>
    <w:p>
      <w:pPr>
        <w:jc w:val="both"/>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Subject to the limitations set forth in this Notice, the Agreement and the Plan, the Option will vest and may be exercised, in whole or in part, in accordance with the Vesting Appendix.</w:t>
      </w:r>
    </w:p>
    <w:p>
      <w:pPr>
        <w:spacing w:after="0" w:line="200" w:lineRule="exact"/>
        <w:rPr>
          <w:sz w:val="20"/>
          <w:szCs w:val="20"/>
          <w:color w:val="auto"/>
        </w:rPr>
      </w:pP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Option,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Option is granted under and governed by the terms and conditions of this Notice, the Agreement and the Plan.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vesting of the Option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w:t>
      </w:r>
    </w:p>
    <w:p>
      <w:pPr>
        <w:sectPr>
          <w:pgSz w:w="11900" w:h="16838" w:orient="portrait"/>
          <w:cols w:equalWidth="0" w:num="1">
            <w:col w:w="11240"/>
          </w:cols>
          <w:pgMar w:left="320" w:top="1382" w:right="339" w:bottom="1440" w:gutter="0" w:footer="0" w:header="0"/>
        </w:sectPr>
      </w:pPr>
    </w:p>
    <w:bookmarkStart w:id="31" w:name="page32"/>
    <w:bookmarkEnd w:id="31"/>
    <w:p>
      <w:pPr>
        <w:jc w:val="both"/>
        <w:spacing w:after="0" w:line="244" w:lineRule="auto"/>
        <w:rPr>
          <w:sz w:val="20"/>
          <w:szCs w:val="20"/>
          <w:color w:val="auto"/>
        </w:rPr>
      </w:pPr>
      <w:r>
        <w:rPr>
          <w:rFonts w:ascii="Arial" w:cs="Arial" w:eastAsia="Arial" w:hAnsi="Arial"/>
          <w:sz w:val="19"/>
          <w:szCs w:val="19"/>
          <w:color w:val="auto"/>
        </w:rPr>
        <w:t>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w:t>
      </w:r>
    </w:p>
    <w:p>
      <w:pPr>
        <w:spacing w:after="0" w:line="15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 is granted by the Company at its sole discretion, and does not entitle Participant to further grant(s) of Option(s) or any other award(s) under the Plan or any other plan or program maintained by the Company or any Parent, Subsidiary or Affiliate.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32" w:name="page33"/>
    <w:bookmarkEnd w:id="32"/>
    <w:p>
      <w:pPr>
        <w:ind w:left="394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Vesting Appendix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[Veracyte to insert applicable vesting and performance terms and conditions.]</w:t>
      </w:r>
    </w:p>
    <w:p>
      <w:pPr>
        <w:sectPr>
          <w:pgSz w:w="11900" w:h="16838" w:orient="portrait"/>
          <w:cols w:equalWidth="0" w:num="1">
            <w:col w:w="9019"/>
          </w:cols>
          <w:pgMar w:left="1440" w:top="1395"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EXHIBIT B</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STOCK OPTION AWARD AGREEMENT</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 xml:space="preserve">Unless otherwise defined in the Notice of Global Performance Stock Option Grant (the “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thereto (the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to which this Global Performance Stock Option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3" w:lineRule="exact"/>
        <w:rPr>
          <w:sz w:val="20"/>
          <w:szCs w:val="20"/>
          <w:color w:val="auto"/>
        </w:rPr>
      </w:pPr>
    </w:p>
    <w:p>
      <w:pPr>
        <w:jc w:val="both"/>
        <w:ind w:firstLine="656"/>
        <w:spacing w:after="0" w:line="225" w:lineRule="auto"/>
        <w:tabs>
          <w:tab w:leader="none" w:pos="1039" w:val="left"/>
        </w:tabs>
        <w:numPr>
          <w:ilvl w:val="1"/>
          <w:numId w:val="25"/>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The Participant has been granted an Option to purchase Shares, subject to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color w:val="auto"/>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Arial" w:cs="Arial" w:eastAsia="Arial" w:hAnsi="Arial"/>
          <w:sz w:val="21"/>
          <w:szCs w:val="21"/>
          <w:b w:val="1"/>
          <w:bCs w:val="1"/>
          <w:i w:val="1"/>
          <w:iCs w:val="1"/>
          <w:color w:val="auto"/>
        </w:rPr>
        <w:t>NQSO</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010000"/>
        </w:rPr>
      </w:pPr>
    </w:p>
    <w:p>
      <w:pPr>
        <w:jc w:val="both"/>
        <w:ind w:firstLine="656"/>
        <w:spacing w:after="0" w:line="250" w:lineRule="auto"/>
        <w:tabs>
          <w:tab w:leader="none" w:pos="1064" w:val="left"/>
        </w:tabs>
        <w:numPr>
          <w:ilvl w:val="1"/>
          <w:numId w:val="2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Term of Option; Vesting and Exercisability</w:t>
      </w:r>
      <w:r>
        <w:rPr>
          <w:rFonts w:ascii="Arial" w:cs="Arial" w:eastAsia="Arial" w:hAnsi="Arial"/>
          <w:sz w:val="19"/>
          <w:szCs w:val="19"/>
          <w:color w:val="auto"/>
        </w:rPr>
        <w:t>. The Option shall in any event expire on the Expiration Date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Notice, which date is no later than the close of business at Company headquarters the day immediately prior to the date ten</w:t>
      </w:r>
    </w:p>
    <w:p>
      <w:pPr>
        <w:jc w:val="both"/>
        <w:ind w:firstLine="8"/>
        <w:spacing w:after="0" w:line="211" w:lineRule="auto"/>
        <w:tabs>
          <w:tab w:leader="none" w:pos="426"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Subject to the applicable provisions of the Notice, this Agreement and the Plan, the Option shall vest, subject to both Participant’s continuing Service and satisfaction of any vesting and performance terms and conditions as set forth in the Vesting Appendix, and may be exercised, in whole or in part, during its term in accordance with the Vesting Schedule as set forth in the Notice.</w:t>
      </w:r>
    </w:p>
    <w:p>
      <w:pPr>
        <w:spacing w:after="0" w:line="153" w:lineRule="exact"/>
        <w:rPr>
          <w:rFonts w:ascii="Arial" w:cs="Arial" w:eastAsia="Arial" w:hAnsi="Arial"/>
          <w:sz w:val="22"/>
          <w:szCs w:val="22"/>
          <w:color w:val="auto"/>
        </w:rPr>
      </w:pPr>
    </w:p>
    <w:p>
      <w:pPr>
        <w:jc w:val="both"/>
        <w:ind w:firstLine="656"/>
        <w:spacing w:after="0" w:line="220" w:lineRule="auto"/>
        <w:tabs>
          <w:tab w:leader="none" w:pos="1215" w:val="left"/>
        </w:tabs>
        <w:numPr>
          <w:ilvl w:val="1"/>
          <w:numId w:val="2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Post-Termination Exercise Periods</w:t>
      </w:r>
      <w:r>
        <w:rPr>
          <w:rFonts w:ascii="Arial" w:cs="Arial" w:eastAsia="Arial" w:hAnsi="Arial"/>
          <w:sz w:val="22"/>
          <w:szCs w:val="22"/>
          <w:color w:val="auto"/>
        </w:rPr>
        <w:t>. In the event Participant’s Service terminates (the effective date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811" w:val="left"/>
        </w:tabs>
        <w:numPr>
          <w:ilvl w:val="2"/>
          <w:numId w:val="26"/>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Except as provided in the Notice or as otherwise provided by the Committee, and subject to the Plan, if Participant’s Service terminates for any reason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(solely to the extent that the Committee provides for an earlier expiration as permitted by Section 3(d)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terminates deemed to be the exercise of an NQSO), but in any event no later than the Expiration Date of the Option as set forth in the Notice.</w:t>
      </w:r>
    </w:p>
    <w:p>
      <w:pPr>
        <w:spacing w:after="0" w:line="153" w:lineRule="exact"/>
        <w:rPr>
          <w:rFonts w:ascii="Arial" w:cs="Arial" w:eastAsia="Arial" w:hAnsi="Arial"/>
          <w:sz w:val="19"/>
          <w:szCs w:val="19"/>
          <w:color w:val="010000"/>
        </w:rPr>
      </w:pPr>
    </w:p>
    <w:p>
      <w:pPr>
        <w:ind w:firstLine="1304"/>
        <w:spacing w:after="0" w:line="232" w:lineRule="auto"/>
        <w:tabs>
          <w:tab w:leader="none" w:pos="1785" w:val="left"/>
        </w:tabs>
        <w:numPr>
          <w:ilvl w:val="2"/>
          <w:numId w:val="26"/>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Except as provided in the Notice or as provided otherwise by the Committee, and subject to the Plan, if Participant’s Service terminates because of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34" w:name="page35"/>
    <w:bookmarkEnd w:id="34"/>
    <w:p>
      <w:pPr>
        <w:jc w:val="both"/>
        <w:spacing w:after="0" w:line="252" w:lineRule="auto"/>
        <w:rPr>
          <w:sz w:val="20"/>
          <w:szCs w:val="20"/>
          <w:color w:val="auto"/>
        </w:rPr>
      </w:pPr>
      <w:r>
        <w:rPr>
          <w:rFonts w:ascii="Arial" w:cs="Arial" w:eastAsia="Arial" w:hAnsi="Arial"/>
          <w:sz w:val="19"/>
          <w:szCs w:val="19"/>
          <w:color w:val="auto"/>
        </w:rPr>
        <w:t xml:space="preserve">death (or Participant dies within three (3) months after Participant’s Service terminates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 months after the Termination Date, but in any event no later than the Expiration Date of the Option as set forth in the Notice.</w:t>
      </w:r>
    </w:p>
    <w:p>
      <w:pPr>
        <w:spacing w:after="0" w:line="149" w:lineRule="exact"/>
        <w:rPr>
          <w:sz w:val="20"/>
          <w:szCs w:val="20"/>
          <w:color w:val="auto"/>
        </w:rPr>
      </w:pPr>
    </w:p>
    <w:p>
      <w:pPr>
        <w:jc w:val="both"/>
        <w:ind w:firstLine="1304"/>
        <w:spacing w:after="0" w:line="220" w:lineRule="auto"/>
        <w:tabs>
          <w:tab w:leader="none" w:pos="1809"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terminates when the termination of Service is for a Disability that is not a “permanent and total disability” as defined in Section 22(e)(3) of the Code, or (b) twelve (12) months after the date Participant’s Service terminates when the termination of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is for a Disability that is a “permanent and total disability” as defined in Section 22(e)(3) of the Code, deemed to be exercise of an NQSO), but in any event no later than the Expiration Date of the Option as set forth in the Notice.</w:t>
      </w:r>
    </w:p>
    <w:p>
      <w:pPr>
        <w:spacing w:after="0" w:line="162" w:lineRule="exact"/>
        <w:rPr>
          <w:rFonts w:ascii="Arial" w:cs="Arial" w:eastAsia="Arial" w:hAnsi="Arial"/>
          <w:sz w:val="21"/>
          <w:szCs w:val="21"/>
          <w:color w:val="010000"/>
        </w:rPr>
      </w:pPr>
    </w:p>
    <w:p>
      <w:pPr>
        <w:jc w:val="both"/>
        <w:ind w:firstLine="1304"/>
        <w:spacing w:after="0" w:line="221" w:lineRule="auto"/>
        <w:tabs>
          <w:tab w:leader="none" w:pos="1826"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Cause</w:t>
      </w:r>
      <w:r>
        <w:rPr>
          <w:rFonts w:ascii="Arial" w:cs="Arial" w:eastAsia="Arial" w:hAnsi="Arial"/>
          <w:sz w:val="21"/>
          <w:szCs w:val="21"/>
          <w:color w:val="auto"/>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spacing w:after="0" w:line="165" w:lineRule="exact"/>
        <w:rPr>
          <w:rFonts w:ascii="Arial" w:cs="Arial" w:eastAsia="Arial" w:hAnsi="Arial"/>
          <w:sz w:val="21"/>
          <w:szCs w:val="21"/>
          <w:color w:val="010000"/>
        </w:rPr>
      </w:pPr>
    </w:p>
    <w:p>
      <w:pPr>
        <w:jc w:val="both"/>
        <w:ind w:firstLine="1304"/>
        <w:spacing w:after="0" w:line="219" w:lineRule="auto"/>
        <w:tabs>
          <w:tab w:leader="none" w:pos="1919"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Determination and Effect of Termination of Service</w:t>
      </w:r>
      <w:r>
        <w:rPr>
          <w:rFonts w:ascii="Arial" w:cs="Arial" w:eastAsia="Arial" w:hAnsi="Arial"/>
          <w:sz w:val="21"/>
          <w:szCs w:val="21"/>
          <w:color w:val="auto"/>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the Option shall terminate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35" w:name="page36"/>
    <w:bookmarkEnd w:id="35"/>
    <w:p>
      <w:pPr>
        <w:ind w:left="820" w:hanging="384"/>
        <w:spacing w:after="0"/>
        <w:tabs>
          <w:tab w:leader="none" w:pos="820" w:val="left"/>
        </w:tabs>
        <w:numPr>
          <w:ilvl w:val="0"/>
          <w:numId w:val="2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23" w:lineRule="auto"/>
        <w:tabs>
          <w:tab w:leader="none" w:pos="1590"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 the Option is exercisable during its term in accordance with the Vesting Schedule set forth in the Notice and the applicable provisions of this Agreement and the Plan. The Option may not be exercised for a fraction of a Share.</w:t>
      </w:r>
    </w:p>
    <w:p>
      <w:pPr>
        <w:spacing w:after="0" w:line="158" w:lineRule="exact"/>
        <w:rPr>
          <w:rFonts w:ascii="Arial" w:cs="Arial" w:eastAsia="Arial" w:hAnsi="Arial"/>
          <w:sz w:val="22"/>
          <w:szCs w:val="22"/>
          <w:color w:val="010000"/>
        </w:rPr>
      </w:pPr>
    </w:p>
    <w:p>
      <w:pPr>
        <w:jc w:val="both"/>
        <w:ind w:left="-220" w:firstLine="1304"/>
        <w:spacing w:after="0" w:line="246" w:lineRule="auto"/>
        <w:tabs>
          <w:tab w:leader="none" w:pos="1709" w:val="left"/>
        </w:tabs>
        <w:numPr>
          <w:ilvl w:val="1"/>
          <w:numId w:val="28"/>
        </w:numPr>
        <w:rPr>
          <w:rFonts w:ascii="Arial" w:cs="Arial" w:eastAsia="Arial" w:hAnsi="Arial"/>
          <w:sz w:val="19"/>
          <w:szCs w:val="19"/>
          <w:color w:val="010000"/>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the Option, Participant must deliver (i) an exercise notice in a form specified by the Company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which shall state the election to exercise the Option, the number of Shares in respect of which the Option is being exercised (the “</w:t>
      </w:r>
      <w:r>
        <w:rPr>
          <w:rFonts w:ascii="Arial" w:cs="Arial" w:eastAsia="Arial" w:hAnsi="Arial"/>
          <w:sz w:val="19"/>
          <w:szCs w:val="19"/>
          <w:b w:val="1"/>
          <w:bCs w:val="1"/>
          <w:i w:val="1"/>
          <w:iCs w:val="1"/>
          <w:color w:val="auto"/>
        </w:rPr>
        <w:t>Exercised Shares</w:t>
      </w:r>
      <w:r>
        <w:rPr>
          <w:rFonts w:ascii="Arial" w:cs="Arial" w:eastAsia="Arial" w:hAnsi="Arial"/>
          <w:sz w:val="19"/>
          <w:szCs w:val="19"/>
          <w:color w:val="auto"/>
        </w:rPr>
        <w:t xml:space="preserve">”), and such other representations and agreements as may be required by the Company pursuant to the provisions of the Plan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spacing w:after="0" w:line="152" w:lineRule="exact"/>
        <w:rPr>
          <w:rFonts w:ascii="Arial" w:cs="Arial" w:eastAsia="Arial" w:hAnsi="Arial"/>
          <w:sz w:val="19"/>
          <w:szCs w:val="19"/>
          <w:color w:val="010000"/>
        </w:rPr>
      </w:pPr>
    </w:p>
    <w:p>
      <w:pPr>
        <w:jc w:val="both"/>
        <w:ind w:left="-220" w:firstLine="1304"/>
        <w:spacing w:after="0" w:line="216" w:lineRule="auto"/>
        <w:tabs>
          <w:tab w:leader="none" w:pos="1542"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spacing w:after="0" w:line="157" w:lineRule="exact"/>
        <w:rPr>
          <w:rFonts w:ascii="Arial" w:cs="Arial" w:eastAsia="Arial" w:hAnsi="Arial"/>
          <w:sz w:val="22"/>
          <w:szCs w:val="22"/>
          <w:color w:val="010000"/>
        </w:rPr>
      </w:pPr>
    </w:p>
    <w:p>
      <w:pPr>
        <w:jc w:val="both"/>
        <w:ind w:left="-220" w:firstLine="1304"/>
        <w:spacing w:after="0" w:line="216" w:lineRule="auto"/>
        <w:tabs>
          <w:tab w:leader="none" w:pos="1676"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Exercise by Person Other than Participant</w:t>
      </w:r>
      <w:r>
        <w:rPr>
          <w:rFonts w:ascii="Arial" w:cs="Arial" w:eastAsia="Arial" w:hAnsi="Arial"/>
          <w:sz w:val="22"/>
          <w:szCs w:val="22"/>
          <w:color w:val="auto"/>
        </w:rPr>
        <w:t xml:space="preserve">. Provided the Company is satisfied that the Option has been transferred to such person in compliance with this Agreement, including but not limited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exercise of the Option by a person other than Participant shall be subject to this Agreement, the Notice and the Plan, and must be undertaken in accordance with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no later than the Expiration Date of the Option as set forth in the Notice or such earlier date as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w:t>
      </w:r>
    </w:p>
    <w:p>
      <w:pPr>
        <w:spacing w:after="0" w:line="151" w:lineRule="exact"/>
        <w:rPr>
          <w:rFonts w:ascii="Arial" w:cs="Arial" w:eastAsia="Arial" w:hAnsi="Arial"/>
          <w:sz w:val="22"/>
          <w:szCs w:val="22"/>
          <w:color w:val="010000"/>
        </w:rPr>
      </w:pPr>
    </w:p>
    <w:p>
      <w:pPr>
        <w:ind w:left="-220" w:firstLine="656"/>
        <w:spacing w:after="0" w:line="235" w:lineRule="auto"/>
        <w:tabs>
          <w:tab w:leader="none" w:pos="883" w:val="left"/>
        </w:tabs>
        <w:numPr>
          <w:ilvl w:val="0"/>
          <w:numId w:val="2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aggregate Exercise Price shall be by any of the following,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at the election of Participant unless otherwise indicated:</w:t>
      </w:r>
    </w:p>
    <w:p>
      <w:pPr>
        <w:spacing w:after="0" w:line="158" w:lineRule="exact"/>
        <w:rPr>
          <w:rFonts w:ascii="Arial" w:cs="Arial" w:eastAsia="Arial" w:hAnsi="Arial"/>
          <w:sz w:val="22"/>
          <w:szCs w:val="22"/>
          <w:b w:val="1"/>
          <w:bCs w:val="1"/>
          <w:color w:val="010000"/>
        </w:rPr>
      </w:pPr>
    </w:p>
    <w:p>
      <w:pPr>
        <w:ind w:left="1540" w:hanging="456"/>
        <w:spacing w:after="0"/>
        <w:tabs>
          <w:tab w:leader="none" w:pos="1540"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cash;</w:t>
      </w:r>
    </w:p>
    <w:p>
      <w:pPr>
        <w:spacing w:after="0" w:line="179" w:lineRule="exact"/>
        <w:rPr>
          <w:rFonts w:ascii="Arial" w:cs="Arial" w:eastAsia="Arial" w:hAnsi="Arial"/>
          <w:sz w:val="22"/>
          <w:szCs w:val="22"/>
          <w:color w:val="010000"/>
        </w:rPr>
      </w:pPr>
    </w:p>
    <w:p>
      <w:pPr>
        <w:ind w:left="1560" w:hanging="476"/>
        <w:spacing w:after="0"/>
        <w:tabs>
          <w:tab w:leader="none" w:pos="1560"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personal check (representing readily available funds), wire transfer, or a cashier’s check;</w:t>
      </w:r>
    </w:p>
    <w:p>
      <w:pPr>
        <w:spacing w:after="0" w:line="179" w:lineRule="exact"/>
        <w:rPr>
          <w:rFonts w:ascii="Arial" w:cs="Arial" w:eastAsia="Arial" w:hAnsi="Arial"/>
          <w:sz w:val="22"/>
          <w:szCs w:val="22"/>
          <w:color w:val="010000"/>
        </w:rPr>
      </w:pPr>
    </w:p>
    <w:p>
      <w:pPr>
        <w:jc w:val="both"/>
        <w:ind w:left="-220" w:firstLine="1304"/>
        <w:spacing w:after="0" w:line="221" w:lineRule="auto"/>
        <w:tabs>
          <w:tab w:leader="none" w:pos="1626" w:val="left"/>
        </w:tabs>
        <w:numPr>
          <w:ilvl w:val="1"/>
          <w:numId w:val="28"/>
        </w:numPr>
        <w:rPr>
          <w:rFonts w:ascii="Arial" w:cs="Arial" w:eastAsia="Arial" w:hAnsi="Arial"/>
          <w:sz w:val="21"/>
          <w:szCs w:val="21"/>
          <w:color w:val="010000"/>
        </w:rPr>
      </w:pPr>
      <w:r>
        <w:rPr>
          <w:rFonts w:ascii="Arial" w:cs="Arial" w:eastAsia="Arial" w:hAnsi="Arial"/>
          <w:sz w:val="21"/>
          <w:szCs w:val="21"/>
          <w:u w:val="single" w:color="auto"/>
          <w:color w:val="auto"/>
        </w:rPr>
        <w:t>if authorized by the Committee</w:t>
      </w:r>
      <w:r>
        <w:rPr>
          <w:rFonts w:ascii="Arial" w:cs="Arial" w:eastAsia="Arial" w:hAnsi="Arial"/>
          <w:sz w:val="21"/>
          <w:szCs w:val="21"/>
          <w:color w:val="auto"/>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spacing w:after="0" w:line="165" w:lineRule="exact"/>
        <w:rPr>
          <w:rFonts w:ascii="Arial" w:cs="Arial" w:eastAsia="Arial" w:hAnsi="Arial"/>
          <w:sz w:val="21"/>
          <w:szCs w:val="21"/>
          <w:color w:val="010000"/>
        </w:rPr>
      </w:pPr>
    </w:p>
    <w:p>
      <w:pPr>
        <w:ind w:left="-220" w:firstLine="1304"/>
        <w:spacing w:after="0" w:line="232" w:lineRule="auto"/>
        <w:tabs>
          <w:tab w:leader="none" w:pos="1582"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a “broker-assisted” or “same-day sale (i.e., through irrevocable directions (given by signing a special notice of exercise form provided by the Company) to 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540" w:top="1395" w:right="339" w:bottom="1440" w:gutter="0" w:footer="0" w:header="0"/>
        </w:sectPr>
      </w:pPr>
    </w:p>
    <w:bookmarkStart w:id="36" w:name="page37"/>
    <w:bookmarkEnd w:id="36"/>
    <w:p>
      <w:pPr>
        <w:jc w:val="both"/>
        <w:spacing w:after="0" w:line="223" w:lineRule="auto"/>
        <w:rPr>
          <w:sz w:val="20"/>
          <w:szCs w:val="20"/>
          <w:color w:val="auto"/>
        </w:rPr>
      </w:pPr>
      <w:r>
        <w:rPr>
          <w:rFonts w:ascii="Arial" w:cs="Arial" w:eastAsia="Arial" w:hAnsi="Arial"/>
          <w:sz w:val="22"/>
          <w:szCs w:val="22"/>
          <w:color w:val="auto"/>
        </w:rPr>
        <w:t>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spacing w:after="0" w:line="159" w:lineRule="exact"/>
        <w:rPr>
          <w:sz w:val="20"/>
          <w:szCs w:val="20"/>
          <w:color w:val="auto"/>
        </w:rPr>
      </w:pPr>
    </w:p>
    <w:p>
      <w:pPr>
        <w:ind w:left="1760" w:hanging="456"/>
        <w:spacing w:after="0"/>
        <w:tabs>
          <w:tab w:leader="none" w:pos="1760"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other method of payment as is permitted by applicable law and authorized by the Committee;</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52" w:lineRule="exact"/>
        <w:rPr>
          <w:sz w:val="20"/>
          <w:szCs w:val="20"/>
          <w:color w:val="auto"/>
        </w:rPr>
      </w:pPr>
    </w:p>
    <w:p>
      <w:pPr>
        <w:jc w:val="both"/>
        <w:ind w:firstLine="656"/>
        <w:spacing w:after="0" w:line="241" w:lineRule="auto"/>
        <w:tabs>
          <w:tab w:leader="none" w:pos="1215" w:val="left"/>
        </w:tabs>
        <w:numPr>
          <w:ilvl w:val="1"/>
          <w:numId w:val="3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Limited Transferability of Option</w:t>
      </w:r>
      <w:r>
        <w:rPr>
          <w:rFonts w:ascii="Arial" w:cs="Arial" w:eastAsia="Arial" w:hAnsi="Arial"/>
          <w:sz w:val="19"/>
          <w:szCs w:val="19"/>
          <w:color w:val="auto"/>
        </w:rPr>
        <w:t>. Except as set forth in this section or unless otherwise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spacing w:after="0" w:line="151" w:lineRule="exact"/>
        <w:rPr>
          <w:rFonts w:ascii="Arial" w:cs="Arial" w:eastAsia="Arial" w:hAnsi="Arial"/>
          <w:sz w:val="19"/>
          <w:szCs w:val="19"/>
          <w:b w:val="1"/>
          <w:bCs w:val="1"/>
          <w:color w:val="010000"/>
        </w:rPr>
      </w:pPr>
    </w:p>
    <w:p>
      <w:pPr>
        <w:jc w:val="both"/>
        <w:ind w:firstLine="656"/>
        <w:spacing w:after="0" w:line="220" w:lineRule="auto"/>
        <w:tabs>
          <w:tab w:leader="none" w:pos="1170" w:val="left"/>
        </w:tabs>
        <w:numPr>
          <w:ilvl w:val="1"/>
          <w:numId w:val="3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Option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769" w:val="left"/>
        </w:tabs>
        <w:numPr>
          <w:ilvl w:val="2"/>
          <w:numId w:val="30"/>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Participant acknowledges that, to the extent permitted by applicable law, regardless of any action taken by the Company or a Parent, Subsidiary or Affiliate employing or retaining the Participant (as applicable, the “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37" w:name="page38"/>
    <w:bookmarkEnd w:id="37"/>
    <w:p>
      <w:pPr>
        <w:jc w:val="both"/>
        <w:spacing w:after="0" w:line="211" w:lineRule="auto"/>
        <w:rPr>
          <w:sz w:val="20"/>
          <w:szCs w:val="20"/>
          <w:color w:val="auto"/>
        </w:rPr>
      </w:pPr>
      <w:r>
        <w:rPr>
          <w:rFonts w:ascii="Arial" w:cs="Arial" w:eastAsia="Arial" w:hAnsi="Arial"/>
          <w:sz w:val="22"/>
          <w:szCs w:val="22"/>
          <w:color w:val="auto"/>
        </w:rPr>
        <w:t xml:space="preserve">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Arial" w:cs="Arial" w:eastAsia="Arial" w:hAnsi="Arial"/>
          <w:sz w:val="22"/>
          <w:szCs w:val="22"/>
          <w:i w:val="1"/>
          <w:iCs w:val="1"/>
          <w:color w:val="auto"/>
        </w:rPr>
        <w:t>PARTICIPANT SHOULD CONSULT A TAX ADVISER</w:t>
      </w:r>
      <w:r>
        <w:rPr>
          <w:rFonts w:ascii="Arial" w:cs="Arial" w:eastAsia="Arial" w:hAnsi="Arial"/>
          <w:sz w:val="22"/>
          <w:szCs w:val="22"/>
          <w:color w:val="auto"/>
        </w:rPr>
        <w:t xml:space="preserve"> </w:t>
      </w:r>
      <w:r>
        <w:rPr>
          <w:rFonts w:ascii="Arial" w:cs="Arial" w:eastAsia="Arial" w:hAnsi="Arial"/>
          <w:sz w:val="22"/>
          <w:szCs w:val="22"/>
          <w:i w:val="1"/>
          <w:iCs w:val="1"/>
          <w:color w:val="auto"/>
        </w:rPr>
        <w:t>APPROPRIATELY QUALIFIED IN EACH OF THE JURISDICTIONS, INCLUDING THE COUNTRY OR COUNTRIES IN WHICH PARTICIPANT RESIDES OR IS SUBJECT TO TAXATION, BEFORE EXERCISING THE OPTION OR DISPOSING OF THE SHARES.</w:t>
      </w:r>
    </w:p>
    <w:p>
      <w:pPr>
        <w:spacing w:after="0" w:line="158" w:lineRule="exact"/>
        <w:rPr>
          <w:sz w:val="20"/>
          <w:szCs w:val="20"/>
          <w:color w:val="auto"/>
        </w:rPr>
      </w:pPr>
    </w:p>
    <w:p>
      <w:pPr>
        <w:jc w:val="both"/>
        <w:ind w:firstLine="1304"/>
        <w:spacing w:after="0" w:line="257" w:lineRule="auto"/>
        <w:tabs>
          <w:tab w:leader="none" w:pos="1794" w:val="left"/>
        </w:tabs>
        <w:numPr>
          <w:ilvl w:val="0"/>
          <w:numId w:val="31"/>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44" w:lineRule="exact"/>
        <w:rPr>
          <w:rFonts w:ascii="Arial" w:cs="Arial" w:eastAsia="Arial" w:hAnsi="Arial"/>
          <w:sz w:val="19"/>
          <w:szCs w:val="19"/>
          <w:color w:val="010000"/>
        </w:rPr>
      </w:pPr>
    </w:p>
    <w:p>
      <w:pPr>
        <w:ind w:left="2320" w:hanging="368"/>
        <w:spacing w:after="0"/>
        <w:tabs>
          <w:tab w:leader="none" w:pos="23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 the Employer;</w:t>
      </w:r>
    </w:p>
    <w:p>
      <w:pPr>
        <w:spacing w:after="0" w:line="161" w:lineRule="exact"/>
        <w:rPr>
          <w:rFonts w:ascii="Arial" w:cs="Arial" w:eastAsia="Arial" w:hAnsi="Arial"/>
          <w:sz w:val="19"/>
          <w:szCs w:val="19"/>
          <w:color w:val="auto"/>
        </w:rPr>
      </w:pPr>
    </w:p>
    <w:p>
      <w:pPr>
        <w:ind w:firstLine="1952"/>
        <w:spacing w:after="0" w:line="232" w:lineRule="auto"/>
        <w:tabs>
          <w:tab w:leader="none" w:pos="2393" w:val="left"/>
        </w:tabs>
        <w:numPr>
          <w:ilvl w:val="1"/>
          <w:numId w:val="31"/>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the Option,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53" w:val="left"/>
        </w:tabs>
        <w:numPr>
          <w:ilvl w:val="1"/>
          <w:numId w:val="31"/>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the Option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Participant’s payment of a cash amount (including by check representing readily available funds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wire transfer); or</w:t>
      </w:r>
    </w:p>
    <w:p>
      <w:pPr>
        <w:spacing w:after="0" w:line="161" w:lineRule="exact"/>
        <w:rPr>
          <w:rFonts w:ascii="Arial" w:cs="Arial" w:eastAsia="Arial" w:hAnsi="Arial"/>
          <w:sz w:val="19"/>
          <w:szCs w:val="19"/>
          <w:color w:val="auto"/>
        </w:rPr>
      </w:pPr>
    </w:p>
    <w:p>
      <w:pPr>
        <w:ind w:left="2320" w:hanging="368"/>
        <w:spacing w:after="0"/>
        <w:tabs>
          <w:tab w:leader="none" w:pos="232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38" w:name="page39"/>
    <w:bookmarkEnd w:id="38"/>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44" w:lineRule="exact"/>
        <w:rPr>
          <w:sz w:val="20"/>
          <w:szCs w:val="20"/>
          <w:color w:val="auto"/>
        </w:rPr>
      </w:pPr>
    </w:p>
    <w:p>
      <w:pPr>
        <w:jc w:val="both"/>
        <w:ind w:firstLine="1304"/>
        <w:spacing w:after="0" w:line="249" w:lineRule="auto"/>
        <w:tabs>
          <w:tab w:leader="none" w:pos="1880" w:val="left"/>
        </w:tabs>
        <w:numPr>
          <w:ilvl w:val="1"/>
          <w:numId w:val="32"/>
        </w:numPr>
        <w:rPr>
          <w:rFonts w:ascii="Arial" w:cs="Arial" w:eastAsia="Arial" w:hAnsi="Arial"/>
          <w:sz w:val="19"/>
          <w:szCs w:val="19"/>
          <w:color w:val="010000"/>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spacing w:after="0" w:line="145" w:lineRule="exact"/>
        <w:rPr>
          <w:rFonts w:ascii="Arial" w:cs="Arial" w:eastAsia="Arial" w:hAnsi="Arial"/>
          <w:sz w:val="19"/>
          <w:szCs w:val="19"/>
          <w:color w:val="010000"/>
        </w:rPr>
      </w:pPr>
    </w:p>
    <w:p>
      <w:pPr>
        <w:jc w:val="both"/>
        <w:ind w:firstLine="656"/>
        <w:spacing w:after="0" w:line="217" w:lineRule="auto"/>
        <w:tabs>
          <w:tab w:leader="none" w:pos="1043" w:val="left"/>
        </w:tabs>
        <w:numPr>
          <w:ilvl w:val="0"/>
          <w:numId w:val="3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Option will be subject to (a) the Vesting Appendix</w:t>
      </w:r>
      <w:r>
        <w:rPr>
          <w:rFonts w:ascii="Arial" w:cs="Arial" w:eastAsia="Arial" w:hAnsi="Arial"/>
          <w:sz w:val="22"/>
          <w:szCs w:val="22"/>
          <w:b w:val="1"/>
          <w:bCs w:val="1"/>
          <w:color w:val="auto"/>
        </w:rPr>
        <w:t xml:space="preserve"> </w:t>
      </w:r>
      <w:r>
        <w:rPr>
          <w:rFonts w:ascii="Arial" w:cs="Arial" w:eastAsia="Arial" w:hAnsi="Arial"/>
          <w:sz w:val="22"/>
          <w:szCs w:val="22"/>
          <w:color w:val="auto"/>
        </w:rPr>
        <w:t>and (b) 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010000"/>
        </w:rPr>
      </w:pPr>
    </w:p>
    <w:p>
      <w:pPr>
        <w:jc w:val="both"/>
        <w:ind w:firstLine="656"/>
        <w:spacing w:after="0" w:line="242" w:lineRule="auto"/>
        <w:tabs>
          <w:tab w:leader="none" w:pos="1037" w:val="left"/>
        </w:tabs>
        <w:numPr>
          <w:ilvl w:val="0"/>
          <w:numId w:val="3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Compliance with Laws and Regulations; Legends</w:t>
      </w:r>
      <w:r>
        <w:rPr>
          <w:rFonts w:ascii="Arial" w:cs="Arial" w:eastAsia="Arial" w:hAnsi="Arial"/>
          <w:sz w:val="19"/>
          <w:szCs w:val="19"/>
          <w:color w:val="auto"/>
        </w:rPr>
        <w:t>. The issuance of Shares and any restriction on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371" w:lineRule="exact"/>
        <w:rPr>
          <w:rFonts w:ascii="Arial" w:cs="Arial" w:eastAsia="Arial" w:hAnsi="Arial"/>
          <w:sz w:val="19"/>
          <w:szCs w:val="19"/>
          <w:b w:val="1"/>
          <w:bCs w:val="1"/>
          <w:color w:val="010000"/>
        </w:rPr>
      </w:pPr>
    </w:p>
    <w:p>
      <w:pPr>
        <w:ind w:firstLine="656"/>
        <w:spacing w:after="0" w:line="235" w:lineRule="auto"/>
        <w:tabs>
          <w:tab w:leader="none" w:pos="1440" w:val="left"/>
        </w:tabs>
        <w:numPr>
          <w:ilvl w:val="0"/>
          <w:numId w:val="3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Option, Participant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and agrees that:</w:t>
      </w:r>
    </w:p>
    <w:p>
      <w:pPr>
        <w:spacing w:after="0" w:line="158" w:lineRule="exact"/>
        <w:rPr>
          <w:rFonts w:ascii="Arial" w:cs="Arial" w:eastAsia="Arial" w:hAnsi="Arial"/>
          <w:sz w:val="22"/>
          <w:szCs w:val="22"/>
          <w:b w:val="1"/>
          <w:bCs w:val="1"/>
          <w:color w:val="010000"/>
        </w:rPr>
      </w:pPr>
    </w:p>
    <w:p>
      <w:pPr>
        <w:ind w:firstLine="1304"/>
        <w:spacing w:after="0" w:line="232" w:lineRule="auto"/>
        <w:tabs>
          <w:tab w:leader="none" w:pos="1888"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ind w:firstLine="1304"/>
        <w:spacing w:after="0" w:line="232" w:lineRule="auto"/>
        <w:tabs>
          <w:tab w:leader="none" w:pos="1794"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grant of the Option is exceptional, voluntary and occasional and does not create any contractual or other right to receive future grants of Options or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awards, or benefits in lieu thereof, even if Options or other equity awards have been granted in the past;</w:t>
      </w:r>
    </w:p>
    <w:p>
      <w:pPr>
        <w:spacing w:after="0" w:line="179" w:lineRule="exact"/>
        <w:rPr>
          <w:sz w:val="20"/>
          <w:szCs w:val="20"/>
          <w:color w:val="auto"/>
        </w:rPr>
      </w:pPr>
    </w:p>
    <w:p>
      <w:pPr>
        <w:ind w:left="1800" w:hanging="496"/>
        <w:spacing w:after="0"/>
        <w:tabs>
          <w:tab w:leader="none" w:pos="1800"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all decisions with respect to future Option or other equity awards, if any, will be at the sole discretion of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61" w:lineRule="exact"/>
        <w:rPr>
          <w:sz w:val="20"/>
          <w:szCs w:val="20"/>
          <w:color w:val="auto"/>
        </w:rPr>
      </w:pPr>
    </w:p>
    <w:p>
      <w:pPr>
        <w:jc w:val="both"/>
        <w:ind w:firstLine="1304"/>
        <w:spacing w:after="0" w:line="218" w:lineRule="auto"/>
        <w:tabs>
          <w:tab w:leader="none" w:pos="1802"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Option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010000"/>
        </w:rPr>
      </w:pPr>
    </w:p>
    <w:p>
      <w:pPr>
        <w:ind w:firstLine="1304"/>
        <w:spacing w:after="0" w:line="298" w:lineRule="auto"/>
        <w:tabs>
          <w:tab w:leader="none" w:pos="1982"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Option is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010000"/>
        </w:rPr>
      </w:pPr>
    </w:p>
    <w:p>
      <w:pPr>
        <w:ind w:left="1740" w:hanging="436"/>
        <w:spacing w:after="0"/>
        <w:tabs>
          <w:tab w:leader="none" w:pos="174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010000"/>
        </w:rPr>
      </w:pPr>
    </w:p>
    <w:p>
      <w:pPr>
        <w:ind w:firstLine="1304"/>
        <w:spacing w:after="0" w:line="232" w:lineRule="auto"/>
        <w:tabs>
          <w:tab w:leader="none" w:pos="188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Option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13" w:val="left"/>
        </w:tabs>
        <w:numPr>
          <w:ilvl w:val="0"/>
          <w:numId w:val="35"/>
        </w:numPr>
        <w:rPr>
          <w:rFonts w:ascii="Arial" w:cs="Arial" w:eastAsia="Arial" w:hAnsi="Arial"/>
          <w:sz w:val="21"/>
          <w:szCs w:val="21"/>
          <w:color w:val="010000"/>
        </w:rPr>
      </w:pPr>
      <w:r>
        <w:rPr>
          <w:rFonts w:ascii="Arial" w:cs="Arial" w:eastAsia="Arial" w:hAnsi="Arial"/>
          <w:sz w:val="21"/>
          <w:szCs w:val="21"/>
          <w:color w:val="auto"/>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788"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future value of the Shares underlying the Option is unknown, indeterminable, and cannot be predicted</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010000"/>
        </w:rPr>
      </w:pPr>
    </w:p>
    <w:p>
      <w:pPr>
        <w:ind w:firstLine="1304"/>
        <w:spacing w:after="0" w:line="232" w:lineRule="auto"/>
        <w:tabs>
          <w:tab w:leader="none" w:pos="1746"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010000"/>
        </w:rPr>
      </w:pPr>
    </w:p>
    <w:p>
      <w:pPr>
        <w:jc w:val="both"/>
        <w:ind w:firstLine="1304"/>
        <w:spacing w:after="0" w:line="218" w:lineRule="auto"/>
        <w:tabs>
          <w:tab w:leader="none" w:pos="1848"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95"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40" w:name="page41"/>
    <w:bookmarkEnd w:id="40"/>
    <w:p>
      <w:pPr>
        <w:jc w:val="both"/>
        <w:ind w:left="-220" w:firstLine="1304"/>
        <w:spacing w:after="0" w:line="218" w:lineRule="auto"/>
        <w:tabs>
          <w:tab w:leader="none" w:pos="1632"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54" w:lineRule="exact"/>
        <w:rPr>
          <w:rFonts w:ascii="Arial" w:cs="Arial" w:eastAsia="Arial" w:hAnsi="Arial"/>
          <w:sz w:val="22"/>
          <w:szCs w:val="22"/>
          <w:color w:val="010000"/>
        </w:rPr>
      </w:pPr>
    </w:p>
    <w:p>
      <w:pPr>
        <w:ind w:left="920" w:hanging="484"/>
        <w:spacing w:after="0"/>
        <w:tabs>
          <w:tab w:leader="none" w:pos="920" w:val="left"/>
        </w:tabs>
        <w:numPr>
          <w:ilvl w:val="0"/>
          <w:numId w:val="37"/>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52" w:lineRule="auto"/>
        <w:tabs>
          <w:tab w:leader="none" w:pos="1716"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010000"/>
        </w:rPr>
      </w:pPr>
    </w:p>
    <w:p>
      <w:pPr>
        <w:jc w:val="both"/>
        <w:ind w:left="-220" w:firstLine="1304"/>
        <w:spacing w:after="0" w:line="252" w:lineRule="auto"/>
        <w:tabs>
          <w:tab w:leader="none" w:pos="1825"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010000"/>
        </w:rPr>
      </w:pPr>
    </w:p>
    <w:p>
      <w:pPr>
        <w:jc w:val="both"/>
        <w:ind w:left="-220" w:firstLine="1304"/>
        <w:spacing w:after="0" w:line="246" w:lineRule="auto"/>
        <w:tabs>
          <w:tab w:leader="none" w:pos="1638"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52" w:lineRule="exact"/>
        <w:rPr>
          <w:rFonts w:ascii="Arial" w:cs="Arial" w:eastAsia="Arial" w:hAnsi="Arial"/>
          <w:sz w:val="19"/>
          <w:szCs w:val="19"/>
          <w:color w:val="010000"/>
        </w:rPr>
      </w:pPr>
    </w:p>
    <w:p>
      <w:pPr>
        <w:jc w:val="both"/>
        <w:ind w:left="-220" w:firstLine="1304"/>
        <w:spacing w:after="0" w:line="249" w:lineRule="auto"/>
        <w:tabs>
          <w:tab w:leader="none" w:pos="1658"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010000"/>
        </w:rPr>
      </w:pPr>
    </w:p>
    <w:p>
      <w:pPr>
        <w:jc w:val="both"/>
        <w:ind w:left="-220" w:firstLine="1304"/>
        <w:spacing w:after="0" w:line="247" w:lineRule="auto"/>
        <w:tabs>
          <w:tab w:leader="none" w:pos="1591"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20"/>
          </w:cols>
          <w:pgMar w:left="540" w:top="1401" w:right="339" w:bottom="1440" w:gutter="0" w:footer="0" w:header="0"/>
        </w:sectPr>
      </w:pPr>
    </w:p>
    <w:bookmarkStart w:id="41" w:name="page42"/>
    <w:bookmarkEnd w:id="41"/>
    <w:p>
      <w:pPr>
        <w:jc w:val="both"/>
        <w:ind w:left="-220" w:firstLine="1304"/>
        <w:spacing w:after="0" w:line="249" w:lineRule="auto"/>
        <w:tabs>
          <w:tab w:leader="none" w:pos="1585" w:val="left"/>
        </w:tabs>
        <w:numPr>
          <w:ilvl w:val="0"/>
          <w:numId w:val="3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010000"/>
        </w:rPr>
      </w:pPr>
    </w:p>
    <w:p>
      <w:pPr>
        <w:jc w:val="both"/>
        <w:ind w:left="-220" w:firstLine="1304"/>
        <w:spacing w:after="0" w:line="221" w:lineRule="auto"/>
        <w:tabs>
          <w:tab w:leader="none" w:pos="1812" w:val="left"/>
        </w:tabs>
        <w:numPr>
          <w:ilvl w:val="0"/>
          <w:numId w:val="38"/>
        </w:numPr>
        <w:rPr>
          <w:rFonts w:ascii="Arial" w:cs="Arial" w:eastAsia="Arial" w:hAnsi="Arial"/>
          <w:sz w:val="21"/>
          <w:szCs w:val="21"/>
          <w:color w:val="010000"/>
        </w:rPr>
      </w:pPr>
      <w:r>
        <w:rPr>
          <w:rFonts w:ascii="Arial" w:cs="Arial" w:eastAsia="Arial" w:hAnsi="Arial"/>
          <w:sz w:val="21"/>
          <w:szCs w:val="21"/>
          <w:b w:val="1"/>
          <w:bCs w:val="1"/>
          <w:i w:val="1"/>
          <w:iCs w:val="1"/>
          <w:u w:val="single" w:color="auto"/>
          <w:color w:val="auto"/>
        </w:rPr>
        <w:t>Voluntariness and Consequences of Denial/Withdrawal of Consent</w:t>
      </w:r>
      <w:r>
        <w:rPr>
          <w:rFonts w:ascii="Arial" w:cs="Arial" w:eastAsia="Arial" w:hAnsi="Arial"/>
          <w:sz w:val="21"/>
          <w:szCs w:val="21"/>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65" w:lineRule="exact"/>
        <w:rPr>
          <w:rFonts w:ascii="Arial" w:cs="Arial" w:eastAsia="Arial" w:hAnsi="Arial"/>
          <w:sz w:val="21"/>
          <w:szCs w:val="21"/>
          <w:color w:val="010000"/>
        </w:rPr>
      </w:pPr>
    </w:p>
    <w:p>
      <w:pPr>
        <w:jc w:val="both"/>
        <w:ind w:left="-220" w:firstLine="1304"/>
        <w:spacing w:after="0" w:line="255" w:lineRule="auto"/>
        <w:tabs>
          <w:tab w:leader="none" w:pos="1546" w:val="left"/>
        </w:tabs>
        <w:numPr>
          <w:ilvl w:val="0"/>
          <w:numId w:val="38"/>
        </w:numPr>
        <w:rPr>
          <w:rFonts w:ascii="Arial" w:cs="Arial" w:eastAsia="Arial" w:hAnsi="Arial"/>
          <w:sz w:val="18"/>
          <w:szCs w:val="18"/>
          <w:color w:val="010000"/>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53" w:lineRule="exact"/>
        <w:rPr>
          <w:rFonts w:ascii="Arial" w:cs="Arial" w:eastAsia="Arial" w:hAnsi="Arial"/>
          <w:sz w:val="18"/>
          <w:szCs w:val="18"/>
          <w:color w:val="010000"/>
        </w:rPr>
      </w:pPr>
    </w:p>
    <w:p>
      <w:pPr>
        <w:jc w:val="both"/>
        <w:ind w:left="-220" w:firstLine="1304"/>
        <w:spacing w:after="0" w:line="246" w:lineRule="auto"/>
        <w:tabs>
          <w:tab w:leader="none" w:pos="1499" w:val="left"/>
        </w:tabs>
        <w:numPr>
          <w:ilvl w:val="0"/>
          <w:numId w:val="3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540" w:top="1401" w:right="339" w:bottom="1440" w:gutter="0" w:footer="0" w:header="0"/>
        </w:sectPr>
      </w:pPr>
    </w:p>
    <w:bookmarkStart w:id="42" w:name="page43"/>
    <w:bookmarkEnd w:id="42"/>
    <w:p>
      <w:pPr>
        <w:jc w:val="both"/>
        <w:ind w:left="-220" w:firstLine="656"/>
        <w:spacing w:after="0" w:line="243" w:lineRule="auto"/>
        <w:tabs>
          <w:tab w:leader="none" w:pos="932"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010000"/>
        </w:rPr>
      </w:pPr>
    </w:p>
    <w:p>
      <w:pPr>
        <w:jc w:val="both"/>
        <w:ind w:left="-220" w:firstLine="656"/>
        <w:spacing w:after="0" w:line="245" w:lineRule="auto"/>
        <w:tabs>
          <w:tab w:leader="none" w:pos="1013"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010000"/>
        </w:rPr>
      </w:pPr>
    </w:p>
    <w:p>
      <w:pPr>
        <w:ind w:left="-220" w:firstLine="656"/>
        <w:spacing w:after="0" w:line="235" w:lineRule="auto"/>
        <w:tabs>
          <w:tab w:leader="none" w:pos="978"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covered by the Option and the Exercise Price per Share may be adjusted pursuant to the Plan.</w:t>
      </w:r>
    </w:p>
    <w:p>
      <w:pPr>
        <w:spacing w:after="0" w:line="152" w:lineRule="exact"/>
        <w:rPr>
          <w:rFonts w:ascii="Arial" w:cs="Arial" w:eastAsia="Arial" w:hAnsi="Arial"/>
          <w:sz w:val="22"/>
          <w:szCs w:val="22"/>
          <w:b w:val="1"/>
          <w:bCs w:val="1"/>
          <w:color w:val="010000"/>
        </w:rPr>
      </w:pPr>
    </w:p>
    <w:p>
      <w:pPr>
        <w:jc w:val="both"/>
        <w:ind w:left="-220" w:firstLine="656"/>
        <w:spacing w:after="0" w:line="225" w:lineRule="auto"/>
        <w:tabs>
          <w:tab w:leader="none" w:pos="919"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010000"/>
        </w:rPr>
      </w:pPr>
    </w:p>
    <w:p>
      <w:pPr>
        <w:jc w:val="both"/>
        <w:ind w:left="-220" w:firstLine="656"/>
        <w:spacing w:after="0" w:line="254" w:lineRule="auto"/>
        <w:tabs>
          <w:tab w:leader="none" w:pos="938"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including the Shares underlying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spacing w:after="0" w:line="139" w:lineRule="exact"/>
        <w:rPr>
          <w:rFonts w:ascii="Arial" w:cs="Arial" w:eastAsia="Arial" w:hAnsi="Arial"/>
          <w:sz w:val="19"/>
          <w:szCs w:val="19"/>
          <w:b w:val="1"/>
          <w:bCs w:val="1"/>
          <w:color w:val="010000"/>
        </w:rPr>
      </w:pPr>
    </w:p>
    <w:p>
      <w:pPr>
        <w:jc w:val="both"/>
        <w:ind w:left="-220" w:firstLine="656"/>
        <w:spacing w:after="0" w:line="215" w:lineRule="auto"/>
        <w:tabs>
          <w:tab w:leader="none" w:pos="928"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20"/>
          </w:cols>
          <w:pgMar w:left="540" w:top="1395" w:right="339" w:bottom="1440" w:gutter="0" w:footer="0" w:header="0"/>
        </w:sectPr>
      </w:pPr>
    </w:p>
    <w:bookmarkStart w:id="43" w:name="page44"/>
    <w:bookmarkEnd w:id="43"/>
    <w:p>
      <w:pPr>
        <w:jc w:val="both"/>
        <w:ind w:left="-8" w:firstLine="656"/>
        <w:spacing w:after="0" w:line="238" w:lineRule="auto"/>
        <w:tabs>
          <w:tab w:leader="none" w:pos="1142" w:val="left"/>
        </w:tabs>
        <w:numPr>
          <w:ilvl w:val="1"/>
          <w:numId w:val="4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w:t>
      </w:r>
    </w:p>
    <w:p>
      <w:pPr>
        <w:spacing w:after="0" w:line="11" w:lineRule="exact"/>
        <w:rPr>
          <w:rFonts w:ascii="Arial" w:cs="Arial" w:eastAsia="Arial" w:hAnsi="Arial"/>
          <w:sz w:val="19"/>
          <w:szCs w:val="19"/>
          <w:b w:val="1"/>
          <w:bCs w:val="1"/>
          <w:color w:val="010000"/>
        </w:rPr>
      </w:pPr>
    </w:p>
    <w:p>
      <w:pPr>
        <w:ind w:left="-8" w:firstLine="8"/>
        <w:spacing w:after="0" w:line="224" w:lineRule="auto"/>
        <w:tabs>
          <w:tab w:leader="none" w:pos="537"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243-6300. </w:t>
      </w:r>
      <w:r>
        <w:rPr>
          <w:rFonts w:ascii="Arial" w:cs="Arial" w:eastAsia="Arial" w:hAnsi="Arial"/>
          <w:sz w:val="22"/>
          <w:szCs w:val="22"/>
          <w:u w:val="single" w:color="auto"/>
          <w:color w:val="auto"/>
        </w:rPr>
        <w:t>Participant agrees to notify the Company upon any change in Participant’s residence address indicated in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Notice or any electronic mail address provided</w:t>
      </w:r>
      <w:r>
        <w:rPr>
          <w:rFonts w:ascii="Arial" w:cs="Arial" w:eastAsia="Arial" w:hAnsi="Arial"/>
          <w:sz w:val="22"/>
          <w:szCs w:val="22"/>
          <w:color w:val="auto"/>
        </w:rPr>
        <w:t>.</w:t>
      </w:r>
    </w:p>
    <w:p>
      <w:pPr>
        <w:spacing w:after="0" w:line="151" w:lineRule="exact"/>
        <w:rPr>
          <w:rFonts w:ascii="Arial" w:cs="Arial" w:eastAsia="Arial" w:hAnsi="Arial"/>
          <w:sz w:val="22"/>
          <w:szCs w:val="22"/>
          <w:color w:val="auto"/>
        </w:rPr>
      </w:pPr>
    </w:p>
    <w:p>
      <w:pPr>
        <w:jc w:val="both"/>
        <w:ind w:left="-8" w:firstLine="656"/>
        <w:spacing w:after="0" w:line="254" w:lineRule="auto"/>
        <w:tabs>
          <w:tab w:leader="none" w:pos="1280" w:val="left"/>
        </w:tabs>
        <w:numPr>
          <w:ilvl w:val="1"/>
          <w:numId w:val="4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139" w:lineRule="exact"/>
        <w:rPr>
          <w:rFonts w:ascii="Arial" w:cs="Arial" w:eastAsia="Arial" w:hAnsi="Arial"/>
          <w:sz w:val="19"/>
          <w:szCs w:val="19"/>
          <w:b w:val="1"/>
          <w:bCs w:val="1"/>
          <w:color w:val="010000"/>
        </w:rPr>
      </w:pPr>
    </w:p>
    <w:p>
      <w:pPr>
        <w:jc w:val="both"/>
        <w:ind w:left="-8" w:firstLine="656"/>
        <w:spacing w:after="0" w:line="220" w:lineRule="auto"/>
        <w:tabs>
          <w:tab w:leader="none" w:pos="114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010000"/>
        </w:rPr>
      </w:pPr>
    </w:p>
    <w:p>
      <w:pPr>
        <w:jc w:val="both"/>
        <w:ind w:left="-8" w:firstLine="656"/>
        <w:spacing w:after="0" w:line="215" w:lineRule="auto"/>
        <w:tabs>
          <w:tab w:leader="none" w:pos="123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Option is granted under and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spacing w:after="0" w:line="152" w:lineRule="exact"/>
        <w:rPr>
          <w:rFonts w:ascii="Arial" w:cs="Arial" w:eastAsia="Arial" w:hAnsi="Arial"/>
          <w:sz w:val="22"/>
          <w:szCs w:val="22"/>
          <w:b w:val="1"/>
          <w:bCs w:val="1"/>
          <w:color w:val="010000"/>
        </w:rPr>
      </w:pPr>
    </w:p>
    <w:p>
      <w:pPr>
        <w:ind w:left="-8" w:firstLine="656"/>
        <w:spacing w:after="0" w:line="235" w:lineRule="auto"/>
        <w:tabs>
          <w:tab w:leader="none" w:pos="129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one or more provisions of the Notice or this Agreement are held to be unenforceable under</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 then such provision will be enforced to the 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2"/>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32"/>
          </w:cols>
          <w:pgMar w:left="328" w:top="1395" w:right="339" w:bottom="1440" w:gutter="0" w:footer="0" w:header="0"/>
        </w:sectPr>
      </w:pPr>
    </w:p>
    <w:bookmarkStart w:id="44" w:name="page45"/>
    <w:bookmarkEnd w:id="44"/>
    <w:p>
      <w:pPr>
        <w:jc w:val="both"/>
        <w:spacing w:after="0" w:line="218" w:lineRule="auto"/>
        <w:rPr>
          <w:sz w:val="20"/>
          <w:szCs w:val="20"/>
          <w:color w:val="auto"/>
        </w:rPr>
      </w:pPr>
      <w:r>
        <w:rPr>
          <w:rFonts w:ascii="Arial" w:cs="Arial" w:eastAsia="Arial" w:hAnsi="Arial"/>
          <w:sz w:val="22"/>
          <w:szCs w:val="22"/>
          <w:color w:val="auto"/>
        </w:rPr>
        <w:t>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55" w:lineRule="exact"/>
        <w:rPr>
          <w:sz w:val="20"/>
          <w:szCs w:val="20"/>
          <w:color w:val="auto"/>
        </w:rPr>
      </w:pPr>
    </w:p>
    <w:p>
      <w:pPr>
        <w:jc w:val="both"/>
        <w:ind w:firstLine="656"/>
        <w:spacing w:after="0" w:line="220" w:lineRule="auto"/>
        <w:tabs>
          <w:tab w:leader="none" w:pos="1187" w:val="left"/>
        </w:tabs>
        <w:numPr>
          <w:ilvl w:val="0"/>
          <w:numId w:val="42"/>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010000"/>
        </w:rPr>
      </w:pPr>
    </w:p>
    <w:p>
      <w:pPr>
        <w:jc w:val="both"/>
        <w:ind w:firstLine="656"/>
        <w:spacing w:after="0" w:line="213" w:lineRule="auto"/>
        <w:tabs>
          <w:tab w:leader="none" w:pos="1225" w:val="left"/>
        </w:tabs>
        <w:numPr>
          <w:ilvl w:val="0"/>
          <w:numId w:val="4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OPTION,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Appendix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Stock Option Award Agreement</w:t>
      </w:r>
    </w:p>
    <w:p>
      <w:pPr>
        <w:jc w:val="center"/>
        <w:spacing w:after="0" w:line="233"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Options are not intended to be French tax-qualified awards.</w:t>
      </w:r>
    </w:p>
    <w:p>
      <w:pPr>
        <w:sectPr>
          <w:pgSz w:w="11900" w:h="16838" w:orient="portrait"/>
          <w:cols w:equalWidth="0" w:num="1">
            <w:col w:w="11240"/>
          </w:cols>
          <w:pgMar w:left="320" w:top="1408" w:right="339" w:bottom="1440" w:gutter="0" w:footer="0" w:header="0"/>
        </w:sectPr>
      </w:pPr>
    </w:p>
    <w:bookmarkStart w:id="46" w:name="page47"/>
    <w:bookmarkEnd w:id="46"/>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w:t>
      </w:r>
      <w:r>
        <w:rPr>
          <w:rFonts w:ascii="Arial" w:cs="Arial" w:eastAsia="Arial" w:hAnsi="Arial"/>
          <w:sz w:val="19"/>
          <w:szCs w:val="19"/>
          <w:b w:val="1"/>
          <w:bCs w:val="1"/>
          <w:i w:val="1"/>
          <w:iCs w:val="1"/>
          <w:color w:val="auto"/>
        </w:rPr>
        <w:t>AMF</w:t>
      </w:r>
      <w:r>
        <w:rPr>
          <w:rFonts w:ascii="Arial" w:cs="Arial" w:eastAsia="Arial" w:hAnsi="Arial"/>
          <w:sz w:val="19"/>
          <w:szCs w:val="19"/>
          <w:color w:val="auto"/>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i w:val="1"/>
          <w:iCs w:val="1"/>
          <w:color w:val="auto"/>
        </w:rPr>
        <w:t>En signant et renvoyant ce Contrat vous confirmez ainsi avoir lu et compris les documents relatifs au Plan qui vous ont été communiqués en langue anglaise. Vous en acceptez les termes en connaissance de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if different, from and against any liability for or obligation to pay any Tax Liability (a “</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being any liability for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9"/>
          <w:szCs w:val="19"/>
          <w:color w:val="auto"/>
        </w:rPr>
        <w:t>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06" w:lineRule="auto"/>
        <w:rPr>
          <w:sz w:val="20"/>
          <w:szCs w:val="20"/>
          <w:color w:val="auto"/>
        </w:rPr>
      </w:pPr>
      <w:r>
        <w:rPr>
          <w:rFonts w:ascii="Arial" w:cs="Arial" w:eastAsia="Arial" w:hAnsi="Arial"/>
          <w:sz w:val="22"/>
          <w:szCs w:val="22"/>
          <w:color w:val="auto"/>
        </w:rPr>
        <w:t>data protection laws and regulations.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Nothing in the Notice of Stock Option Grant, Stock Option Agreement or Plan limits the obligations under the Privacy Protection Act, 5741-1981 (“</w:t>
      </w:r>
      <w:r>
        <w:rPr>
          <w:rFonts w:ascii="Arial" w:cs="Arial" w:eastAsia="Arial" w:hAnsi="Arial"/>
          <w:sz w:val="22"/>
          <w:szCs w:val="22"/>
          <w:b w:val="1"/>
          <w:bCs w:val="1"/>
          <w:i w:val="1"/>
          <w:iCs w:val="1"/>
          <w:color w:val="auto"/>
        </w:rPr>
        <w:t>PPA</w:t>
      </w:r>
      <w:r>
        <w:rPr>
          <w:rFonts w:ascii="Arial" w:cs="Arial" w:eastAsia="Arial" w:hAnsi="Arial"/>
          <w:sz w:val="22"/>
          <w:szCs w:val="22"/>
          <w:color w:val="auto"/>
        </w:rPr>
        <w:t>”) Chapter B.</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48" w:name="page49"/>
    <w:bookmarkEnd w:id="48"/>
    <w:p>
      <w:pPr>
        <w:jc w:val="both"/>
        <w:spacing w:after="0"/>
        <w:rPr>
          <w:sz w:val="20"/>
          <w:szCs w:val="20"/>
          <w:color w:val="auto"/>
        </w:rPr>
      </w:pPr>
      <w:r>
        <w:rPr>
          <w:rFonts w:ascii="Arial" w:cs="Arial" w:eastAsia="Arial" w:hAnsi="Arial"/>
          <w:sz w:val="19"/>
          <w:szCs w:val="19"/>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Arial" w:cs="Arial" w:eastAsia="Arial" w:hAnsi="Arial"/>
          <w:sz w:val="19"/>
          <w:szCs w:val="19"/>
          <w:b w:val="1"/>
          <w:bCs w:val="1"/>
          <w:i w:val="1"/>
          <w:iCs w:val="1"/>
          <w:color w:val="auto"/>
        </w:rPr>
        <w:t>Tax Date</w:t>
      </w:r>
      <w:r>
        <w:rPr>
          <w:rFonts w:ascii="Arial" w:cs="Arial" w:eastAsia="Arial" w:hAnsi="Arial"/>
          <w:sz w:val="19"/>
          <w:szCs w:val="19"/>
          <w:color w:val="auto"/>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Transfer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exercise of the Options, the Participant must declare the acquisition of such securities to the </w:t>
      </w:r>
      <w:r>
        <w:rPr>
          <w:rFonts w:ascii="Arial" w:cs="Arial" w:eastAsia="Arial" w:hAnsi="Arial"/>
          <w:sz w:val="22"/>
          <w:szCs w:val="22"/>
          <w:i w:val="1"/>
          <w:iCs w:val="1"/>
          <w:color w:val="auto"/>
        </w:rPr>
        <w:t>Spanish 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Arial" w:cs="Arial" w:eastAsia="Arial" w:hAnsi="Arial"/>
          <w:sz w:val="19"/>
          <w:szCs w:val="19"/>
          <w:i w:val="1"/>
          <w:iCs w:val="1"/>
          <w:color w:val="auto"/>
        </w:rPr>
        <w:t>Spanish 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49" w:name="page50"/>
    <w:bookmarkEnd w:id="49"/>
    <w:p>
      <w:pPr>
        <w:jc w:val="both"/>
        <w:spacing w:after="0" w:line="216"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 sobre el</w:t>
      </w:r>
      <w:r>
        <w:rPr>
          <w:rFonts w:ascii="Arial" w:cs="Arial" w:eastAsia="Arial" w:hAnsi="Arial"/>
          <w:sz w:val="22"/>
          <w:szCs w:val="22"/>
          <w:color w:val="auto"/>
        </w:rPr>
        <w:t xml:space="preserve"> </w:t>
      </w:r>
      <w:r>
        <w:rPr>
          <w:rFonts w:ascii="Arial" w:cs="Arial" w:eastAsia="Arial" w:hAnsi="Arial"/>
          <w:sz w:val="22"/>
          <w:szCs w:val="22"/>
          <w:i w:val="1"/>
          <w:iCs w:val="1"/>
          <w:color w:val="auto"/>
        </w:rPr>
        <w:t>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jc w:val="both"/>
        <w:ind w:firstLine="8"/>
        <w:spacing w:after="0" w:line="217" w:lineRule="auto"/>
        <w:tabs>
          <w:tab w:leader="none" w:pos="31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At the discretion of the Company, the Options cannot be exercised until the Participant has entered into an election with the Company (or his/her employer) (as appropriate) in a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50" w:name="page51"/>
    <w:bookmarkEnd w:id="50"/>
    <w:p>
      <w:pPr>
        <w:jc w:val="both"/>
        <w:spacing w:after="0" w:line="268" w:lineRule="auto"/>
        <w:rPr>
          <w:sz w:val="20"/>
          <w:szCs w:val="20"/>
          <w:color w:val="auto"/>
        </w:rPr>
      </w:pPr>
      <w:r>
        <w:rPr>
          <w:rFonts w:ascii="Arial" w:cs="Arial" w:eastAsia="Arial" w:hAnsi="Arial"/>
          <w:sz w:val="19"/>
          <w:szCs w:val="19"/>
          <w:color w:val="auto"/>
        </w:rPr>
        <w:t>approved by the Company and Her Majesty’s Revenue &amp; Customs (a “</w:t>
      </w:r>
      <w:r>
        <w:rPr>
          <w:rFonts w:ascii="Arial" w:cs="Arial" w:eastAsia="Arial" w:hAnsi="Arial"/>
          <w:sz w:val="19"/>
          <w:szCs w:val="19"/>
          <w:b w:val="1"/>
          <w:bCs w:val="1"/>
          <w:i w:val="1"/>
          <w:iCs w:val="1"/>
          <w:color w:val="auto"/>
        </w:rPr>
        <w:t>Joint Election</w:t>
      </w:r>
      <w:r>
        <w:rPr>
          <w:rFonts w:ascii="Arial" w:cs="Arial" w:eastAsia="Arial" w:hAnsi="Arial"/>
          <w:sz w:val="19"/>
          <w:szCs w:val="19"/>
          <w:color w:val="auto"/>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w:t>
      </w:r>
      <w:r>
        <w:rPr>
          <w:rFonts w:ascii="Arial" w:cs="Arial" w:eastAsia="Arial" w:hAnsi="Arial"/>
          <w:sz w:val="22"/>
          <w:szCs w:val="22"/>
          <w:b w:val="1"/>
          <w:bCs w:val="1"/>
          <w:i w:val="1"/>
          <w:iCs w:val="1"/>
          <w:color w:val="auto"/>
        </w:rPr>
        <w:t>ITEPA</w:t>
      </w:r>
      <w:r>
        <w:rPr>
          <w:rFonts w:ascii="Arial" w:cs="Arial" w:eastAsia="Arial" w:hAnsi="Arial"/>
          <w:sz w:val="22"/>
          <w:szCs w:val="22"/>
          <w:color w:val="auto"/>
        </w:rPr>
        <w:t>”)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Arial" w:cs="Arial" w:eastAsia="Arial" w:hAnsi="Arial"/>
          <w:sz w:val="19"/>
          <w:szCs w:val="19"/>
          <w:b w:val="1"/>
          <w:bCs w:val="1"/>
          <w:i w:val="1"/>
          <w:iCs w:val="1"/>
          <w:color w:val="auto"/>
        </w:rPr>
        <w:t>UK Tax-Related Items</w:t>
      </w:r>
      <w:r>
        <w:rPr>
          <w:rFonts w:ascii="Arial" w:cs="Arial" w:eastAsia="Arial" w:hAnsi="Arial"/>
          <w:sz w:val="19"/>
          <w:szCs w:val="19"/>
          <w:color w:val="auto"/>
        </w:rPr>
        <w:t>”) that the Participant owes due to the exercise of the Options, or the release or assignment of the Options for consideration, or the receipt of any other benefit in connection with the Options (the “</w:t>
      </w:r>
      <w:r>
        <w:rPr>
          <w:rFonts w:ascii="Arial" w:cs="Arial" w:eastAsia="Arial" w:hAnsi="Arial"/>
          <w:sz w:val="19"/>
          <w:szCs w:val="19"/>
          <w:b w:val="1"/>
          <w:bCs w:val="1"/>
          <w:i w:val="1"/>
          <w:iCs w:val="1"/>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0" w:lineRule="exact"/>
        <w:rPr>
          <w:sz w:val="20"/>
          <w:szCs w:val="20"/>
          <w:color w:val="auto"/>
        </w:rPr>
      </w:pPr>
    </w:p>
    <w:p>
      <w:pPr>
        <w:jc w:val="center"/>
        <w:spacing w:after="0" w:line="236" w:lineRule="auto"/>
        <w:rPr>
          <w:sz w:val="20"/>
          <w:szCs w:val="20"/>
          <w:color w:val="auto"/>
        </w:rPr>
      </w:pPr>
      <w:r>
        <w:rPr>
          <w:rFonts w:ascii="Arial" w:cs="Arial" w:eastAsia="Arial" w:hAnsi="Arial"/>
          <w:sz w:val="21"/>
          <w:szCs w:val="21"/>
          <w:b w:val="1"/>
          <w:bCs w:val="1"/>
          <w:u w:val="single" w:color="auto"/>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RESTRICTED STOCK UNIT AWARD</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Unless otherwise defined in this Notice of Global Restricted Stock Unit Award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individual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has been granted an award of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for shares of Common Stock of the Company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xml:space="preserve"> ”) under the Plan, subject to the terms and conditions of the Plan, the attached Global Restricted Stock Unit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thereto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and this Notice, which incorporates the Plan and the Agreement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w:t>
      </w:r>
      <w:r>
        <w:rPr>
          <w:rFonts w:ascii="Arial" w:cs="Arial" w:eastAsia="Arial" w:hAnsi="Arial"/>
          <w:sz w:val="22"/>
          <w:szCs w:val="22"/>
          <w:color w:val="auto"/>
        </w:rPr>
        <w:t>:</w:t>
      </w:r>
    </w:p>
    <w:p>
      <w:pPr>
        <w:spacing w:after="0" w:line="179" w:lineRule="exact"/>
        <w:rPr>
          <w:sz w:val="20"/>
          <w:szCs w:val="20"/>
          <w:color w:val="auto"/>
        </w:rPr>
      </w:pPr>
    </w:p>
    <w:p>
      <w:pPr>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RSUs expire earlier if Participant’s Service terminates earlier, as provided in the Agreement.</w:t>
      </w:r>
    </w:p>
    <w:p>
      <w:pPr>
        <w:spacing w:after="0" w:line="146"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Subject to the limitations set forth in this Notice, the Agreement and the Plan, the RSUs will vest in</w:t>
      </w:r>
    </w:p>
    <w:p>
      <w:pPr>
        <w:ind w:left="3900"/>
        <w:spacing w:after="0"/>
        <w:rPr>
          <w:sz w:val="20"/>
          <w:szCs w:val="20"/>
          <w:color w:val="auto"/>
        </w:rPr>
      </w:pPr>
      <w:r>
        <w:rPr>
          <w:rFonts w:ascii="Arial" w:cs="Arial" w:eastAsia="Arial" w:hAnsi="Arial"/>
          <w:sz w:val="21"/>
          <w:szCs w:val="21"/>
          <w:color w:val="auto"/>
        </w:rPr>
        <w:t>accordance with the following schedule,: [</w:t>
      </w:r>
      <w:r>
        <w:rPr>
          <w:rFonts w:ascii="Arial" w:cs="Arial" w:eastAsia="Arial" w:hAnsi="Arial"/>
          <w:sz w:val="21"/>
          <w:szCs w:val="21"/>
          <w:i w:val="1"/>
          <w:iCs w:val="1"/>
          <w:color w:val="auto"/>
        </w:rPr>
        <w:t>Veracyte to insert vesting schedule</w:t>
      </w:r>
      <w:r>
        <w:rPr>
          <w:rFonts w:ascii="Arial" w:cs="Arial" w:eastAsia="Arial" w:hAnsi="Arial"/>
          <w:sz w:val="21"/>
          <w:szCs w:val="21"/>
          <w:color w:val="auto"/>
        </w:rPr>
        <w:t>]</w:t>
      </w:r>
    </w:p>
    <w:p>
      <w:pPr>
        <w:spacing w:after="0" w:line="200" w:lineRule="exact"/>
        <w:rPr>
          <w:sz w:val="20"/>
          <w:szCs w:val="20"/>
          <w:color w:val="auto"/>
        </w:rPr>
      </w:pPr>
    </w:p>
    <w:p>
      <w:pPr>
        <w:spacing w:after="0" w:line="216" w:lineRule="exact"/>
        <w:rPr>
          <w:sz w:val="20"/>
          <w:szCs w:val="20"/>
          <w:color w:val="auto"/>
        </w:rPr>
      </w:pPr>
    </w:p>
    <w:p>
      <w:pPr>
        <w:jc w:val="both"/>
        <w:ind w:left="3900"/>
        <w:spacing w:after="0" w:line="223" w:lineRule="auto"/>
        <w:rPr>
          <w:sz w:val="20"/>
          <w:szCs w:val="20"/>
          <w:color w:val="auto"/>
        </w:rPr>
      </w:pPr>
      <w:r>
        <w:rPr>
          <w:rFonts w:ascii="Arial" w:cs="Arial" w:eastAsia="Arial" w:hAnsi="Arial"/>
          <w:sz w:val="22"/>
          <w:szCs w:val="22"/>
          <w:i w:val="1"/>
          <w:iCs w:val="1"/>
          <w:color w:val="auto"/>
        </w:rPr>
        <w:t xml:space="preserve">[Include, as applicable: </w:t>
      </w:r>
      <w:r>
        <w:rPr>
          <w:rFonts w:ascii="Arial" w:cs="Arial" w:eastAsia="Arial" w:hAnsi="Arial"/>
          <w:sz w:val="22"/>
          <w:szCs w:val="22"/>
          <w:color w:val="auto"/>
        </w:rPr>
        <w:t>Notwithstanding the foregoing and if applicable, this RSU</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subject to Participant’s Change of Control and Severance Agreement to the extent in effect at the time of termination.]</w:t>
      </w:r>
    </w:p>
    <w:p>
      <w:pPr>
        <w:sectPr>
          <w:pgSz w:w="11900" w:h="16838" w:orient="portrait"/>
          <w:cols w:equalWidth="0" w:num="1">
            <w:col w:w="11240"/>
          </w:cols>
          <w:pgMar w:left="320" w:top="1382" w:right="339" w:bottom="1440" w:gutter="0" w:footer="0" w:header="0"/>
        </w:sectPr>
      </w:pPr>
    </w:p>
    <w:bookmarkStart w:id="52" w:name="page53"/>
    <w:bookmarkEnd w:id="52"/>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RSUs,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RSUs are granted under and governed by the terms and conditions of this Notice, the Agreement and the Plan.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vesting of the RSUs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RSUs are granted by the Company at its sole discretion, and do not entitle Participant to further grant(s) of RSUs or any other award(s) under the Plan or any other plan or program maintained by the Company or any Parent, Subsidiary or Affiliate.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53" w:name="page54"/>
    <w:bookmarkEnd w:id="53"/>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RESTRICTED STOCK UNIT AWARD AGREEMENT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Unless otherwise defined in the Notice of Global Restricted Stock Unit Award (the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to which this Global Restricted Stock Unit Award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is attached or this Agreement,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38" w:lineRule="exact"/>
        <w:rPr>
          <w:sz w:val="20"/>
          <w:szCs w:val="20"/>
          <w:color w:val="auto"/>
        </w:rPr>
      </w:pPr>
    </w:p>
    <w:p>
      <w:pPr>
        <w:ind w:firstLine="8"/>
        <w:spacing w:after="0" w:line="235" w:lineRule="auto"/>
        <w:tabs>
          <w:tab w:leader="none" w:pos="496"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Participant has been granted RSUs subject to the terms, restrictions and conditions of the Notice,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w:t>
      </w:r>
    </w:p>
    <w:p>
      <w:pPr>
        <w:spacing w:after="0" w:line="152" w:lineRule="exact"/>
        <w:rPr>
          <w:rFonts w:ascii="Arial" w:cs="Arial" w:eastAsia="Arial" w:hAnsi="Arial"/>
          <w:sz w:val="22"/>
          <w:szCs w:val="22"/>
          <w:b w:val="1"/>
          <w:bCs w:val="1"/>
          <w:color w:val="auto"/>
        </w:rPr>
      </w:pPr>
    </w:p>
    <w:p>
      <w:pPr>
        <w:jc w:val="both"/>
        <w:ind w:firstLine="8"/>
        <w:spacing w:after="0" w:line="220" w:lineRule="auto"/>
        <w:tabs>
          <w:tab w:leader="none" w:pos="384"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The RSUs shall be settled on or as soon as administratively practicable following each applicable date of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spacing w:after="0" w:line="152" w:lineRule="exact"/>
        <w:rPr>
          <w:rFonts w:ascii="Arial" w:cs="Arial" w:eastAsia="Arial" w:hAnsi="Arial"/>
          <w:sz w:val="22"/>
          <w:szCs w:val="22"/>
          <w:b w:val="1"/>
          <w:bCs w:val="1"/>
          <w:color w:val="auto"/>
        </w:rPr>
      </w:pPr>
    </w:p>
    <w:p>
      <w:pPr>
        <w:ind w:firstLine="8"/>
        <w:spacing w:after="0" w:line="253" w:lineRule="auto"/>
        <w:tabs>
          <w:tab w:leader="none" w:pos="389"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in settlement of vested RSUs, Participant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no ownership of the Shares allocated to the RSUs and shall have no right to dividends or to vote such Shares.</w:t>
      </w:r>
    </w:p>
    <w:p>
      <w:pPr>
        <w:spacing w:after="0" w:line="138" w:lineRule="exact"/>
        <w:rPr>
          <w:rFonts w:ascii="Arial" w:cs="Arial" w:eastAsia="Arial" w:hAnsi="Arial"/>
          <w:sz w:val="21"/>
          <w:szCs w:val="21"/>
          <w:b w:val="1"/>
          <w:bCs w:val="1"/>
          <w:color w:val="auto"/>
        </w:rPr>
      </w:pPr>
    </w:p>
    <w:p>
      <w:pPr>
        <w:ind w:left="380" w:hanging="372"/>
        <w:spacing w:after="0"/>
        <w:tabs>
          <w:tab w:leader="none" w:pos="3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color w:val="auto"/>
        </w:rPr>
        <w:t>. Dividends, if any (whether in cash or Shares), shall not be credited to Participant.</w:t>
      </w:r>
    </w:p>
    <w:p>
      <w:pPr>
        <w:spacing w:after="0" w:line="179" w:lineRule="exact"/>
        <w:rPr>
          <w:rFonts w:ascii="Arial" w:cs="Arial" w:eastAsia="Arial" w:hAnsi="Arial"/>
          <w:sz w:val="22"/>
          <w:szCs w:val="22"/>
          <w:b w:val="1"/>
          <w:bCs w:val="1"/>
          <w:color w:val="auto"/>
        </w:rPr>
      </w:pPr>
    </w:p>
    <w:p>
      <w:pPr>
        <w:jc w:val="both"/>
        <w:ind w:firstLine="8"/>
        <w:spacing w:after="0" w:line="225" w:lineRule="auto"/>
        <w:tabs>
          <w:tab w:leader="none" w:pos="497"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RSUs</w:t>
      </w:r>
      <w:r>
        <w:rPr>
          <w:rFonts w:ascii="Arial" w:cs="Arial" w:eastAsia="Arial" w:hAnsi="Arial"/>
          <w:sz w:val="22"/>
          <w:szCs w:val="22"/>
          <w:color w:val="auto"/>
        </w:rPr>
        <w:t>. Except as permitted by the Committee on a case-by-case basis, RSUs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pledged, hypothecated, transferred or otherwise disposed of in any manner other than by will or by the laws of descent or distribution or court order.</w:t>
      </w:r>
    </w:p>
    <w:p>
      <w:pPr>
        <w:spacing w:after="0" w:line="152" w:lineRule="exact"/>
        <w:rPr>
          <w:rFonts w:ascii="Arial" w:cs="Arial" w:eastAsia="Arial" w:hAnsi="Arial"/>
          <w:sz w:val="22"/>
          <w:szCs w:val="22"/>
          <w:b w:val="1"/>
          <w:bCs w:val="1"/>
          <w:color w:val="auto"/>
        </w:rPr>
      </w:pPr>
    </w:p>
    <w:p>
      <w:pPr>
        <w:jc w:val="both"/>
        <w:ind w:firstLine="8"/>
        <w:spacing w:after="0" w:line="242" w:lineRule="auto"/>
        <w:tabs>
          <w:tab w:leader="none" w:pos="453"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and Effect of Termination of Service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Notice or as otherwise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if Participant’s Service terminates for any reason (the effective date of such termination,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spacing w:after="0" w:line="380" w:lineRule="exact"/>
        <w:rPr>
          <w:rFonts w:ascii="Arial" w:cs="Arial" w:eastAsia="Arial" w:hAnsi="Arial"/>
          <w:sz w:val="19"/>
          <w:szCs w:val="19"/>
          <w:b w:val="1"/>
          <w:bCs w:val="1"/>
          <w:color w:val="auto"/>
        </w:rPr>
      </w:pPr>
    </w:p>
    <w:p>
      <w:pPr>
        <w:jc w:val="both"/>
        <w:ind w:firstLine="8"/>
        <w:spacing w:after="0" w:line="271" w:lineRule="auto"/>
        <w:tabs>
          <w:tab w:leader="none" w:pos="409"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 Consequences</w:t>
      </w:r>
      <w:r>
        <w:rPr>
          <w:rFonts w:ascii="Arial" w:cs="Arial" w:eastAsia="Arial" w:hAnsi="Arial"/>
          <w:sz w:val="19"/>
          <w:szCs w:val="19"/>
          <w:color w:val="auto"/>
        </w:rPr>
        <w:t>. Participant acknowledges that there may be tax consequences related to the RSUs and/or disposition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Shares, if any, received in connection therewith, and Participant should consult a tax adviser regarding Participant’s tax obligations prior to such settlement of the RSUs or disposition of the Shares in the jurisdiction where Participant is subject to tax.</w:t>
      </w:r>
    </w:p>
    <w:p>
      <w:pPr>
        <w:sectPr>
          <w:pgSz w:w="11900" w:h="16838" w:orient="portrait"/>
          <w:cols w:equalWidth="0" w:num="1">
            <w:col w:w="11240"/>
          </w:cols>
          <w:pgMar w:left="320" w:top="1440" w:right="339" w:bottom="1440" w:gutter="0" w:footer="0" w:header="0"/>
        </w:sectPr>
      </w:pPr>
    </w:p>
    <w:bookmarkStart w:id="54" w:name="page55"/>
    <w:bookmarkEnd w:id="54"/>
    <w:p>
      <w:pPr>
        <w:jc w:val="both"/>
        <w:ind w:firstLine="656"/>
        <w:spacing w:after="0" w:line="238" w:lineRule="auto"/>
        <w:tabs>
          <w:tab w:leader="none" w:pos="1129"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to the extent permitted by applicable law, regardless of any action taken by the Company or a Parent, Subsidiary or Affiliate employing or retaining the Participant (as applicable,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auto"/>
        </w:rPr>
      </w:pPr>
    </w:p>
    <w:p>
      <w:pPr>
        <w:spacing w:after="0" w:line="278" w:lineRule="auto"/>
        <w:rPr>
          <w:rFonts w:ascii="Arial" w:cs="Arial" w:eastAsia="Arial" w:hAnsi="Arial"/>
          <w:sz w:val="19"/>
          <w:szCs w:val="19"/>
          <w:color w:val="auto"/>
        </w:rPr>
      </w:pPr>
      <w:r>
        <w:rPr>
          <w:rFonts w:ascii="Arial" w:cs="Arial" w:eastAsia="Arial" w:hAnsi="Arial"/>
          <w:sz w:val="19"/>
          <w:szCs w:val="19"/>
          <w:i w:val="1"/>
          <w:iCs w:val="1"/>
          <w:color w:val="auto"/>
        </w:rPr>
        <w:t>PARTICIPANT SHOULD CONSULT A TAX ADVISER APPROPRIATELY QUALIFIED IN EACH OF THE JURISDICTIONS, INCLUDING THE COUNTRY OR COUNTRIES IN WHICH PARTICIPANT RESIDES OR IS SUBJECT TO TAXATION.</w:t>
      </w:r>
    </w:p>
    <w:p>
      <w:pPr>
        <w:spacing w:after="0" w:line="123" w:lineRule="exact"/>
        <w:rPr>
          <w:rFonts w:ascii="Arial" w:cs="Arial" w:eastAsia="Arial" w:hAnsi="Arial"/>
          <w:sz w:val="19"/>
          <w:szCs w:val="19"/>
          <w:color w:val="auto"/>
        </w:rPr>
      </w:pPr>
    </w:p>
    <w:p>
      <w:pPr>
        <w:jc w:val="both"/>
        <w:ind w:firstLine="656"/>
        <w:spacing w:after="0" w:line="257" w:lineRule="auto"/>
        <w:tabs>
          <w:tab w:leader="none" w:pos="126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144" w:lineRule="exact"/>
        <w:rPr>
          <w:rFonts w:ascii="Arial" w:cs="Arial" w:eastAsia="Arial" w:hAnsi="Arial"/>
          <w:sz w:val="19"/>
          <w:szCs w:val="19"/>
          <w:color w:val="auto"/>
        </w:rPr>
      </w:pPr>
    </w:p>
    <w:p>
      <w:pPr>
        <w:ind w:left="1760" w:hanging="456"/>
        <w:spacing w:after="0"/>
        <w:tabs>
          <w:tab w:leader="none" w:pos="1760"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withholding from Participant’s wages or other cash compensation paid to Participant by the Company and/or</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Employer;</w:t>
      </w:r>
    </w:p>
    <w:p>
      <w:pPr>
        <w:spacing w:after="0" w:line="161" w:lineRule="exact"/>
        <w:rPr>
          <w:rFonts w:ascii="Arial" w:cs="Arial" w:eastAsia="Arial" w:hAnsi="Arial"/>
          <w:sz w:val="19"/>
          <w:szCs w:val="19"/>
          <w:color w:val="010000"/>
        </w:rPr>
      </w:pPr>
    </w:p>
    <w:p>
      <w:pPr>
        <w:ind w:firstLine="1304"/>
        <w:spacing w:after="0" w:line="232" w:lineRule="auto"/>
        <w:tabs>
          <w:tab w:leader="none" w:pos="1882"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withholding Shares to be issued upon settlement of the RSU,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52"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withholding from proceeds of the sale of Shares acquired upon settlement of the RSU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010000"/>
        </w:rPr>
      </w:pPr>
    </w:p>
    <w:p>
      <w:pPr>
        <w:ind w:left="1880" w:hanging="576"/>
        <w:spacing w:after="0"/>
        <w:tabs>
          <w:tab w:leader="none" w:pos="1880"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Participant’s payment of a cash amount (including by check representing readily available funds or a wire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or</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 unless determined otherwise by the Committee in advance of a Tax-Related Items withholding event, the method of withholding for this RSU will be (ii) above.</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Depending on the withholding method, the Company may withhold or account for Tax-Related Items by considering applicable statutory withholding rates or other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55" w:name="page56"/>
    <w:bookmarkEnd w:id="55"/>
    <w:p>
      <w:pPr>
        <w:jc w:val="both"/>
        <w:spacing w:after="0" w:line="222" w:lineRule="auto"/>
        <w:rPr>
          <w:sz w:val="20"/>
          <w:szCs w:val="20"/>
          <w:color w:val="auto"/>
        </w:rPr>
      </w:pPr>
      <w:r>
        <w:rPr>
          <w:rFonts w:ascii="Arial" w:cs="Arial" w:eastAsia="Arial" w:hAnsi="Arial"/>
          <w:sz w:val="21"/>
          <w:szCs w:val="21"/>
          <w:color w:val="auto"/>
        </w:rPr>
        <w:t>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jc w:val="both"/>
        <w:ind w:firstLine="8"/>
        <w:spacing w:after="0" w:line="242" w:lineRule="auto"/>
        <w:tabs>
          <w:tab w:leader="none" w:pos="438"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rules relating to a “separation from service” as defined in Section 409A of the Internal Revenue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0" w:lineRule="exact"/>
        <w:rPr>
          <w:rFonts w:ascii="Arial" w:cs="Arial" w:eastAsia="Arial" w:hAnsi="Arial"/>
          <w:sz w:val="19"/>
          <w:szCs w:val="19"/>
          <w:b w:val="1"/>
          <w:bCs w:val="1"/>
          <w:color w:val="auto"/>
        </w:rPr>
      </w:pPr>
    </w:p>
    <w:p>
      <w:pPr>
        <w:jc w:val="both"/>
        <w:ind w:firstLine="8"/>
        <w:spacing w:after="0" w:line="259" w:lineRule="auto"/>
        <w:tabs>
          <w:tab w:leader="none" w:pos="408"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Appendix</w:t>
      </w:r>
      <w:r>
        <w:rPr>
          <w:rFonts w:ascii="Arial" w:cs="Arial" w:eastAsia="Arial" w:hAnsi="Arial"/>
          <w:sz w:val="19"/>
          <w:szCs w:val="19"/>
          <w:color w:val="auto"/>
        </w:rPr>
        <w:t>. Notwithstanding any provisions in this Agreement, the RSUs will be subject to any special terms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36" w:lineRule="exact"/>
        <w:rPr>
          <w:rFonts w:ascii="Arial" w:cs="Arial" w:eastAsia="Arial" w:hAnsi="Arial"/>
          <w:sz w:val="19"/>
          <w:szCs w:val="19"/>
          <w:b w:val="1"/>
          <w:bCs w:val="1"/>
          <w:color w:val="auto"/>
        </w:rPr>
      </w:pPr>
    </w:p>
    <w:p>
      <w:pPr>
        <w:jc w:val="both"/>
        <w:ind w:firstLine="8"/>
        <w:spacing w:after="0" w:line="221" w:lineRule="auto"/>
        <w:tabs>
          <w:tab w:leader="none" w:pos="524"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Compliance with Laws and Regulations; Legends</w:t>
      </w:r>
      <w:r>
        <w:rPr>
          <w:rFonts w:ascii="Arial" w:cs="Arial" w:eastAsia="Arial" w:hAnsi="Arial"/>
          <w:sz w:val="21"/>
          <w:szCs w:val="21"/>
          <w:color w:val="auto"/>
        </w:rPr>
        <w:t>. The issuance of Shares and any restriction on the sale of Shares will</w:t>
      </w:r>
      <w:r>
        <w:rPr>
          <w:rFonts w:ascii="Arial" w:cs="Arial" w:eastAsia="Arial" w:hAnsi="Arial"/>
          <w:sz w:val="21"/>
          <w:szCs w:val="21"/>
          <w:b w:val="1"/>
          <w:bCs w:val="1"/>
          <w:color w:val="auto"/>
        </w:rPr>
        <w:t xml:space="preserve"> </w:t>
      </w:r>
      <w:r>
        <w:rPr>
          <w:rFonts w:ascii="Arial" w:cs="Arial" w:eastAsia="Arial" w:hAnsi="Arial"/>
          <w:sz w:val="21"/>
          <w:szCs w:val="21"/>
          <w:color w:val="auto"/>
        </w:rPr>
        <w:t>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56" w:name="page57"/>
    <w:bookmarkEnd w:id="56"/>
    <w:p>
      <w:pPr>
        <w:jc w:val="both"/>
        <w:spacing w:after="0" w:line="249" w:lineRule="auto"/>
        <w:rPr>
          <w:sz w:val="20"/>
          <w:szCs w:val="20"/>
          <w:color w:val="auto"/>
        </w:rPr>
      </w:pPr>
      <w:r>
        <w:rPr>
          <w:rFonts w:ascii="Arial" w:cs="Arial" w:eastAsia="Arial" w:hAnsi="Arial"/>
          <w:sz w:val="19"/>
          <w:szCs w:val="19"/>
          <w:color w:val="auto"/>
        </w:rPr>
        <w:t>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146" w:lineRule="exact"/>
        <w:rPr>
          <w:sz w:val="20"/>
          <w:szCs w:val="20"/>
          <w:color w:val="auto"/>
        </w:rPr>
      </w:pPr>
    </w:p>
    <w:p>
      <w:pPr>
        <w:ind w:firstLine="8"/>
        <w:spacing w:after="0" w:line="235" w:lineRule="auto"/>
        <w:tabs>
          <w:tab w:leader="none" w:pos="554"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RSUs, Participant acknowledges, understands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that:</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188"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54"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51" w:lineRule="exact"/>
        <w:rPr>
          <w:rFonts w:ascii="Arial" w:cs="Arial" w:eastAsia="Arial" w:hAnsi="Arial"/>
          <w:sz w:val="22"/>
          <w:szCs w:val="22"/>
          <w:color w:val="auto"/>
        </w:rPr>
      </w:pPr>
    </w:p>
    <w:p>
      <w:pPr>
        <w:ind w:left="1260" w:hanging="604"/>
        <w:spacing w:after="0"/>
        <w:tabs>
          <w:tab w:leader="none" w:pos="1260" w:val="left"/>
        </w:tabs>
        <w:numPr>
          <w:ilvl w:val="1"/>
          <w:numId w:val="47"/>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equity awards,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09"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auto"/>
        </w:rPr>
      </w:pPr>
    </w:p>
    <w:p>
      <w:pPr>
        <w:ind w:firstLine="656"/>
        <w:spacing w:after="0" w:line="298" w:lineRule="auto"/>
        <w:tabs>
          <w:tab w:leader="none" w:pos="1143"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RSUs are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auto"/>
        </w:rPr>
      </w:pPr>
    </w:p>
    <w:p>
      <w:pPr>
        <w:ind w:left="1080" w:hanging="424"/>
        <w:spacing w:after="0"/>
        <w:tabs>
          <w:tab w:leader="none" w:pos="10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172"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8"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45" w:val="left"/>
        </w:tabs>
        <w:numPr>
          <w:ilvl w:val="1"/>
          <w:numId w:val="47"/>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auto"/>
        </w:rPr>
      </w:pPr>
    </w:p>
    <w:p>
      <w:pPr>
        <w:ind w:left="1220" w:hanging="564"/>
        <w:spacing w:after="0"/>
        <w:tabs>
          <w:tab w:leader="none" w:pos="1220"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1"/>
          <w:numId w:val="47"/>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RSUs will not increase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57" w:name="page58"/>
    <w:bookmarkEnd w:id="57"/>
    <w:p>
      <w:pPr>
        <w:ind w:left="1072" w:hanging="424"/>
        <w:spacing w:after="0"/>
        <w:tabs>
          <w:tab w:leader="none" w:pos="1072" w:val="left"/>
        </w:tabs>
        <w:numPr>
          <w:ilvl w:val="1"/>
          <w:numId w:val="48"/>
        </w:numPr>
        <w:rPr>
          <w:rFonts w:ascii="Arial" w:cs="Arial" w:eastAsia="Arial" w:hAnsi="Arial"/>
          <w:sz w:val="22"/>
          <w:szCs w:val="22"/>
          <w:color w:val="auto"/>
        </w:rPr>
      </w:pPr>
      <w:r>
        <w:rPr>
          <w:rFonts w:ascii="Arial" w:cs="Arial" w:eastAsia="Arial" w:hAnsi="Arial"/>
          <w:sz w:val="22"/>
          <w:szCs w:val="22"/>
          <w:color w:val="auto"/>
        </w:rPr>
        <w:t>Shares received in settlement of the RSUs may increase or decrease in value, even to zero;</w:t>
      </w:r>
    </w:p>
    <w:p>
      <w:pPr>
        <w:spacing w:after="0" w:line="179" w:lineRule="exact"/>
        <w:rPr>
          <w:rFonts w:ascii="Arial" w:cs="Arial" w:eastAsia="Arial" w:hAnsi="Arial"/>
          <w:sz w:val="22"/>
          <w:szCs w:val="22"/>
          <w:color w:val="auto"/>
        </w:rPr>
      </w:pPr>
    </w:p>
    <w:p>
      <w:pPr>
        <w:jc w:val="both"/>
        <w:ind w:left="-8" w:firstLine="656"/>
        <w:spacing w:after="0" w:line="218" w:lineRule="auto"/>
        <w:tabs>
          <w:tab w:leader="none" w:pos="1341" w:val="left"/>
        </w:tabs>
        <w:numPr>
          <w:ilvl w:val="1"/>
          <w:numId w:val="48"/>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auto"/>
        </w:rPr>
      </w:pPr>
    </w:p>
    <w:p>
      <w:pPr>
        <w:jc w:val="both"/>
        <w:ind w:left="-8" w:firstLine="656"/>
        <w:spacing w:after="0" w:line="218" w:lineRule="auto"/>
        <w:tabs>
          <w:tab w:leader="none" w:pos="1148" w:val="left"/>
        </w:tabs>
        <w:numPr>
          <w:ilvl w:val="1"/>
          <w:numId w:val="48"/>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left="-8" w:firstLine="656"/>
        <w:spacing w:after="0" w:line="268" w:lineRule="auto"/>
        <w:tabs>
          <w:tab w:leader="none" w:pos="1150" w:val="left"/>
        </w:tabs>
        <w:numPr>
          <w:ilvl w:val="1"/>
          <w:numId w:val="48"/>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spacing w:after="0" w:line="126" w:lineRule="exact"/>
        <w:rPr>
          <w:rFonts w:ascii="Arial" w:cs="Arial" w:eastAsia="Arial" w:hAnsi="Arial"/>
          <w:sz w:val="19"/>
          <w:szCs w:val="19"/>
          <w:color w:val="auto"/>
        </w:rPr>
      </w:pPr>
    </w:p>
    <w:p>
      <w:pPr>
        <w:ind w:left="492" w:hanging="492"/>
        <w:spacing w:after="0"/>
        <w:tabs>
          <w:tab w:leader="none" w:pos="492"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left="-8" w:firstLine="656"/>
        <w:spacing w:after="0" w:line="252" w:lineRule="auto"/>
        <w:tabs>
          <w:tab w:leader="none" w:pos="1194"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auto"/>
        </w:rPr>
      </w:pPr>
    </w:p>
    <w:p>
      <w:pPr>
        <w:jc w:val="both"/>
        <w:ind w:left="-8" w:firstLine="656"/>
        <w:spacing w:after="0" w:line="252" w:lineRule="auto"/>
        <w:tabs>
          <w:tab w:leader="none" w:pos="1113"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auto"/>
        </w:rPr>
      </w:pPr>
    </w:p>
    <w:p>
      <w:pPr>
        <w:jc w:val="both"/>
        <w:ind w:left="-8" w:firstLine="656"/>
        <w:spacing w:after="0" w:line="221" w:lineRule="auto"/>
        <w:tabs>
          <w:tab w:leader="none" w:pos="1216" w:val="left"/>
        </w:tabs>
        <w:numPr>
          <w:ilvl w:val="1"/>
          <w:numId w:val="49"/>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Processing and Legal Basis</w:t>
      </w:r>
      <w:r>
        <w:rPr>
          <w:rFonts w:ascii="Arial" w:cs="Arial" w:eastAsia="Arial" w:hAnsi="Arial"/>
          <w:sz w:val="21"/>
          <w:szCs w:val="21"/>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65" w:lineRule="exact"/>
        <w:rPr>
          <w:rFonts w:ascii="Arial" w:cs="Arial" w:eastAsia="Arial" w:hAnsi="Arial"/>
          <w:sz w:val="21"/>
          <w:szCs w:val="21"/>
          <w:color w:val="auto"/>
        </w:rPr>
      </w:pPr>
    </w:p>
    <w:p>
      <w:pPr>
        <w:jc w:val="both"/>
        <w:ind w:left="-8" w:firstLine="656"/>
        <w:spacing w:after="0" w:line="257" w:lineRule="auto"/>
        <w:tabs>
          <w:tab w:leader="none" w:pos="1395"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1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32"/>
          </w:cols>
          <w:pgMar w:left="328" w:top="1401" w:right="339" w:bottom="1440" w:gutter="0" w:footer="0" w:header="0"/>
        </w:sectPr>
      </w:pPr>
    </w:p>
    <w:bookmarkStart w:id="58" w:name="page59"/>
    <w:bookmarkEnd w:id="58"/>
    <w:p>
      <w:pPr>
        <w:spacing w:after="0" w:line="298" w:lineRule="auto"/>
        <w:rPr>
          <w:sz w:val="20"/>
          <w:szCs w:val="20"/>
          <w:color w:val="auto"/>
        </w:rPr>
      </w:pPr>
      <w:r>
        <w:rPr>
          <w:rFonts w:ascii="Arial" w:cs="Arial" w:eastAsia="Arial" w:hAnsi="Arial"/>
          <w:sz w:val="19"/>
          <w:szCs w:val="19"/>
          <w:b w:val="1"/>
          <w:bCs w:val="1"/>
          <w:i w:val="1"/>
          <w:iCs w:val="1"/>
          <w:color w:val="auto"/>
        </w:rPr>
        <w:t>Shares acquired under the Plan and that Participant will be asked to agree on separate terms and data processing practices with the service provider, which is a condition of Participant’s ability to participate in the Plan.</w:t>
      </w:r>
    </w:p>
    <w:p>
      <w:pPr>
        <w:spacing w:after="0" w:line="105" w:lineRule="exact"/>
        <w:rPr>
          <w:sz w:val="20"/>
          <w:szCs w:val="20"/>
          <w:color w:val="auto"/>
        </w:rPr>
      </w:pPr>
    </w:p>
    <w:p>
      <w:pPr>
        <w:jc w:val="both"/>
        <w:ind w:firstLine="656"/>
        <w:spacing w:after="0" w:line="247" w:lineRule="auto"/>
        <w:tabs>
          <w:tab w:leader="none" w:pos="1194"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auto"/>
        </w:rPr>
      </w:pPr>
    </w:p>
    <w:p>
      <w:pPr>
        <w:jc w:val="both"/>
        <w:ind w:firstLine="656"/>
        <w:spacing w:after="0" w:line="249" w:lineRule="auto"/>
        <w:tabs>
          <w:tab w:leader="none" w:pos="1096"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auto"/>
        </w:rPr>
      </w:pPr>
    </w:p>
    <w:p>
      <w:pPr>
        <w:jc w:val="both"/>
        <w:ind w:firstLine="656"/>
        <w:spacing w:after="0" w:line="247" w:lineRule="auto"/>
        <w:tabs>
          <w:tab w:leader="none" w:pos="1210"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53" w:lineRule="exact"/>
        <w:rPr>
          <w:rFonts w:ascii="Arial" w:cs="Arial" w:eastAsia="Arial" w:hAnsi="Arial"/>
          <w:sz w:val="19"/>
          <w:szCs w:val="19"/>
          <w:color w:val="auto"/>
        </w:rPr>
      </w:pPr>
    </w:p>
    <w:p>
      <w:pPr>
        <w:jc w:val="both"/>
        <w:ind w:firstLine="656"/>
        <w:spacing w:after="0" w:line="256" w:lineRule="auto"/>
        <w:tabs>
          <w:tab w:leader="none" w:pos="1154"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59" w:name="page60"/>
    <w:bookmarkEnd w:id="59"/>
    <w:p>
      <w:pPr>
        <w:spacing w:after="0" w:line="232" w:lineRule="auto"/>
        <w:rPr>
          <w:sz w:val="20"/>
          <w:szCs w:val="20"/>
          <w:color w:val="auto"/>
        </w:rPr>
      </w:pPr>
      <w:r>
        <w:rPr>
          <w:rFonts w:ascii="Arial" w:cs="Arial" w:eastAsia="Arial" w:hAnsi="Arial"/>
          <w:sz w:val="22"/>
          <w:szCs w:val="22"/>
          <w:b w:val="1"/>
          <w:bCs w:val="1"/>
          <w:i w:val="1"/>
          <w:iCs w:val="1"/>
          <w:color w:val="auto"/>
        </w:rPr>
        <w:t>receive clarification of, or to exercise any of, Participant’s rights, Participant understands that Participant should contact Participant’s local human resources representative.</w:t>
      </w:r>
    </w:p>
    <w:p>
      <w:pPr>
        <w:spacing w:after="0" w:line="159" w:lineRule="exact"/>
        <w:rPr>
          <w:sz w:val="20"/>
          <w:szCs w:val="20"/>
          <w:color w:val="auto"/>
        </w:rPr>
      </w:pPr>
    </w:p>
    <w:p>
      <w:pPr>
        <w:jc w:val="both"/>
        <w:ind w:firstLine="656"/>
        <w:spacing w:after="0" w:line="246" w:lineRule="auto"/>
        <w:tabs>
          <w:tab w:leader="none" w:pos="1215" w:val="left"/>
        </w:tabs>
        <w:numPr>
          <w:ilvl w:val="1"/>
          <w:numId w:val="5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auto"/>
        </w:rPr>
      </w:pPr>
    </w:p>
    <w:p>
      <w:pPr>
        <w:jc w:val="both"/>
        <w:ind w:firstLine="8"/>
        <w:spacing w:after="0" w:line="243" w:lineRule="auto"/>
        <w:tabs>
          <w:tab w:leader="none" w:pos="572"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auto"/>
        </w:rPr>
      </w:pPr>
    </w:p>
    <w:p>
      <w:pPr>
        <w:jc w:val="both"/>
        <w:ind w:firstLine="8"/>
        <w:spacing w:after="0" w:line="245" w:lineRule="auto"/>
        <w:tabs>
          <w:tab w:leader="none" w:pos="747"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auto"/>
        </w:rPr>
      </w:pPr>
    </w:p>
    <w:p>
      <w:pPr>
        <w:ind w:firstLine="8"/>
        <w:spacing w:after="0" w:line="235" w:lineRule="auto"/>
        <w:tabs>
          <w:tab w:leader="none" w:pos="551"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the RSUs may be adjusted pursuant to the Plan.</w:t>
      </w:r>
    </w:p>
    <w:p>
      <w:pPr>
        <w:spacing w:after="0" w:line="152" w:lineRule="exact"/>
        <w:rPr>
          <w:rFonts w:ascii="Arial" w:cs="Arial" w:eastAsia="Arial" w:hAnsi="Arial"/>
          <w:sz w:val="22"/>
          <w:szCs w:val="22"/>
          <w:b w:val="1"/>
          <w:bCs w:val="1"/>
          <w:color w:val="auto"/>
        </w:rPr>
      </w:pPr>
    </w:p>
    <w:p>
      <w:pPr>
        <w:jc w:val="both"/>
        <w:ind w:firstLine="8"/>
        <w:spacing w:after="0" w:line="225" w:lineRule="auto"/>
        <w:tabs>
          <w:tab w:leader="none" w:pos="553"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or power of the Company, or a Parent, Subsidiary or Affiliate, to terminate Participant’s Service, for any reason,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60" w:name="page61"/>
    <w:bookmarkEnd w:id="60"/>
    <w:p>
      <w:pPr>
        <w:jc w:val="both"/>
        <w:ind w:left="-8" w:firstLine="8"/>
        <w:spacing w:after="0" w:line="254" w:lineRule="auto"/>
        <w:tabs>
          <w:tab w:leader="none" w:pos="524"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including the Shares underlying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spacing w:after="0" w:line="139" w:lineRule="exact"/>
        <w:rPr>
          <w:rFonts w:ascii="Arial" w:cs="Arial" w:eastAsia="Arial" w:hAnsi="Arial"/>
          <w:sz w:val="19"/>
          <w:szCs w:val="19"/>
          <w:b w:val="1"/>
          <w:bCs w:val="1"/>
          <w:color w:val="auto"/>
        </w:rPr>
      </w:pPr>
    </w:p>
    <w:p>
      <w:pPr>
        <w:jc w:val="both"/>
        <w:ind w:left="-8" w:firstLine="8"/>
        <w:spacing w:after="0" w:line="254" w:lineRule="auto"/>
        <w:tabs>
          <w:tab w:leader="none" w:pos="482"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spacing w:after="0" w:line="139" w:lineRule="exact"/>
        <w:rPr>
          <w:rFonts w:ascii="Arial" w:cs="Arial" w:eastAsia="Arial" w:hAnsi="Arial"/>
          <w:sz w:val="19"/>
          <w:szCs w:val="19"/>
          <w:b w:val="1"/>
          <w:bCs w:val="1"/>
          <w:color w:val="auto"/>
        </w:rPr>
      </w:pPr>
    </w:p>
    <w:p>
      <w:pPr>
        <w:jc w:val="both"/>
        <w:ind w:left="-8" w:firstLine="8"/>
        <w:spacing w:after="0"/>
        <w:tabs>
          <w:tab w:leader="none" w:pos="624"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 any change in Participant’s residence address indicated in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or any electronic mail address provided</w:t>
      </w:r>
      <w:r>
        <w:rPr>
          <w:rFonts w:ascii="Arial" w:cs="Arial" w:eastAsia="Arial" w:hAnsi="Arial"/>
          <w:sz w:val="19"/>
          <w:szCs w:val="19"/>
          <w:color w:val="auto"/>
        </w:rPr>
        <w:t>.</w:t>
      </w:r>
    </w:p>
    <w:p>
      <w:pPr>
        <w:spacing w:after="0" w:line="382" w:lineRule="exact"/>
        <w:rPr>
          <w:rFonts w:ascii="Arial" w:cs="Arial" w:eastAsia="Arial" w:hAnsi="Arial"/>
          <w:sz w:val="19"/>
          <w:szCs w:val="19"/>
          <w:b w:val="1"/>
          <w:bCs w:val="1"/>
          <w:color w:val="auto"/>
        </w:rPr>
      </w:pPr>
    </w:p>
    <w:p>
      <w:pPr>
        <w:jc w:val="both"/>
        <w:ind w:left="-8" w:firstLine="8"/>
        <w:spacing w:after="0" w:line="254" w:lineRule="auto"/>
        <w:tabs>
          <w:tab w:leader="none" w:pos="571"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 consulted</w:t>
      </w:r>
      <w:r>
        <w:rPr>
          <w:rFonts w:ascii="Arial" w:cs="Arial" w:eastAsia="Arial" w:hAnsi="Arial"/>
          <w:sz w:val="19"/>
          <w:szCs w:val="19"/>
          <w:b w:val="1"/>
          <w:bCs w:val="1"/>
          <w:color w:val="auto"/>
        </w:rPr>
        <w:t xml:space="preserve"> </w:t>
      </w:r>
      <w:r>
        <w:rPr>
          <w:rFonts w:ascii="Arial" w:cs="Arial" w:eastAsia="Arial" w:hAnsi="Arial"/>
          <w:sz w:val="19"/>
          <w:szCs w:val="19"/>
          <w:color w:val="auto"/>
        </w:rPr>
        <w:t>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2"/>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32"/>
          </w:cols>
          <w:pgMar w:left="328" w:top="1395" w:right="339" w:bottom="1440" w:gutter="0" w:footer="0" w:header="0"/>
        </w:sectPr>
      </w:pPr>
    </w:p>
    <w:bookmarkStart w:id="61" w:name="page62"/>
    <w:bookmarkEnd w:id="61"/>
    <w:p>
      <w:pPr>
        <w:jc w:val="both"/>
        <w:ind w:firstLine="8"/>
        <w:spacing w:after="0" w:line="220" w:lineRule="auto"/>
        <w:tabs>
          <w:tab w:leader="none" w:pos="644"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auto"/>
        </w:rPr>
      </w:pPr>
    </w:p>
    <w:p>
      <w:pPr>
        <w:jc w:val="both"/>
        <w:ind w:firstLine="8"/>
        <w:spacing w:after="0" w:line="215" w:lineRule="auto"/>
        <w:tabs>
          <w:tab w:leader="none" w:pos="508"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RSUs are granted under and governed by the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spacing w:after="0" w:line="152" w:lineRule="exact"/>
        <w:rPr>
          <w:rFonts w:ascii="Arial" w:cs="Arial" w:eastAsia="Arial" w:hAnsi="Arial"/>
          <w:sz w:val="22"/>
          <w:szCs w:val="22"/>
          <w:b w:val="1"/>
          <w:bCs w:val="1"/>
          <w:color w:val="auto"/>
        </w:rPr>
      </w:pPr>
    </w:p>
    <w:p>
      <w:pPr>
        <w:jc w:val="both"/>
        <w:ind w:firstLine="8"/>
        <w:spacing w:after="0" w:line="254" w:lineRule="auto"/>
        <w:tabs>
          <w:tab w:leader="none" w:pos="514"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39" w:lineRule="exact"/>
        <w:rPr>
          <w:rFonts w:ascii="Arial" w:cs="Arial" w:eastAsia="Arial" w:hAnsi="Arial"/>
          <w:sz w:val="19"/>
          <w:szCs w:val="19"/>
          <w:b w:val="1"/>
          <w:bCs w:val="1"/>
          <w:color w:val="auto"/>
        </w:rPr>
      </w:pPr>
    </w:p>
    <w:p>
      <w:pPr>
        <w:jc w:val="both"/>
        <w:ind w:firstLine="8"/>
        <w:spacing w:after="0" w:line="220" w:lineRule="auto"/>
        <w:tabs>
          <w:tab w:leader="none" w:pos="488"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auto"/>
        </w:rPr>
      </w:pPr>
    </w:p>
    <w:p>
      <w:pPr>
        <w:jc w:val="both"/>
        <w:ind w:firstLine="8"/>
        <w:spacing w:after="0" w:line="213" w:lineRule="auto"/>
        <w:tabs>
          <w:tab w:leader="none" w:pos="52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9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Appendix to the</w:t>
      </w:r>
    </w:p>
    <w:p>
      <w:pPr>
        <w:jc w:val="center"/>
        <w:spacing w:after="0" w:line="204" w:lineRule="auto"/>
        <w:rPr>
          <w:sz w:val="20"/>
          <w:szCs w:val="20"/>
          <w:color w:val="auto"/>
        </w:rPr>
      </w:pPr>
      <w:r>
        <w:rPr>
          <w:rFonts w:ascii="Arial" w:cs="Arial" w:eastAsia="Arial" w:hAnsi="Arial"/>
          <w:sz w:val="22"/>
          <w:szCs w:val="22"/>
          <w:b w:val="1"/>
          <w:bCs w:val="1"/>
          <w:color w:val="auto"/>
        </w:rPr>
        <w:t>Global Restricted Stock Unit Agreement</w:t>
      </w:r>
    </w:p>
    <w:p>
      <w:pPr>
        <w:jc w:val="center"/>
        <w:spacing w:after="0" w:line="205"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0"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ectPr>
          <w:pgSz w:w="11900" w:h="16838" w:orient="portrait"/>
          <w:cols w:equalWidth="0" w:num="1">
            <w:col w:w="11240"/>
          </w:cols>
          <w:pgMar w:left="320" w:top="1382"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Stock Units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French translation: </w:t>
      </w:r>
      <w:r>
        <w:rPr>
          <w:rFonts w:ascii="Arial" w:cs="Arial" w:eastAsia="Arial" w:hAnsi="Arial"/>
          <w:sz w:val="21"/>
          <w:szCs w:val="21"/>
          <w:i w:val="1"/>
          <w:iCs w:val="1"/>
          <w:color w:val="auto"/>
        </w:rPr>
        <w:t>En signant et renvoyant ce Contrat vous confirmez ainsi avoir lu et compris les documents relatifs au Plan qui</w:t>
      </w:r>
      <w:r>
        <w:rPr>
          <w:rFonts w:ascii="Arial" w:cs="Arial" w:eastAsia="Arial" w:hAnsi="Arial"/>
          <w:sz w:val="21"/>
          <w:szCs w:val="21"/>
          <w:color w:val="auto"/>
        </w:rPr>
        <w:t xml:space="preserve"> </w:t>
      </w:r>
      <w:r>
        <w:rPr>
          <w:rFonts w:ascii="Arial" w:cs="Arial" w:eastAsia="Arial" w:hAnsi="Arial"/>
          <w:sz w:val="21"/>
          <w:szCs w:val="21"/>
          <w:i w:val="1"/>
          <w:iCs w:val="1"/>
          <w:color w:val="auto"/>
        </w:rPr>
        <w:t>vous ont été communiqués en langue anglaise. Vous en acceptez les termes en connaissance de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395" w:right="339" w:bottom="1440" w:gutter="0" w:footer="0" w:header="0"/>
        </w:sectPr>
      </w:pPr>
    </w:p>
    <w:bookmarkStart w:id="64" w:name="page65"/>
    <w:bookmarkEnd w:id="64"/>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Agreement or the Plan limits the obligations under the Privacy Protection Act, 5741-1981 (“PPA”) Chapter B.</w:t>
      </w:r>
    </w:p>
    <w:p>
      <w:pPr>
        <w:spacing w:after="0" w:line="24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65" w:name="page66"/>
    <w:bookmarkEnd w:id="65"/>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Stock Units, the Participant must declare the acquisition of such securities to the Spanish </w:t>
      </w:r>
      <w:r>
        <w:rPr>
          <w:rFonts w:ascii="Arial" w:cs="Arial" w:eastAsia="Arial" w:hAnsi="Arial"/>
          <w:sz w:val="22"/>
          <w:szCs w:val="22"/>
          <w:i w:val="1"/>
          <w:iCs w:val="1"/>
          <w:color w:val="auto"/>
        </w:rPr>
        <w:t>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Arial" w:cs="Arial" w:eastAsia="Arial" w:hAnsi="Arial"/>
          <w:sz w:val="19"/>
          <w:szCs w:val="19"/>
          <w:i w:val="1"/>
          <w:iCs w:val="1"/>
          <w:color w:val="auto"/>
        </w:rPr>
        <w:t>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66" w:name="page67"/>
    <w:bookmarkEnd w:id="66"/>
    <w:p>
      <w:pPr>
        <w:jc w:val="both"/>
        <w:spacing w:after="0" w:line="223" w:lineRule="auto"/>
        <w:rPr>
          <w:sz w:val="20"/>
          <w:szCs w:val="20"/>
          <w:color w:val="auto"/>
        </w:rPr>
      </w:pPr>
      <w:r>
        <w:rPr>
          <w:rFonts w:ascii="Arial" w:cs="Arial" w:eastAsia="Arial" w:hAnsi="Arial"/>
          <w:sz w:val="22"/>
          <w:szCs w:val="22"/>
          <w:color w:val="auto"/>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w:t>
      </w:r>
      <w:r>
        <w:rPr>
          <w:rFonts w:ascii="Arial" w:cs="Arial" w:eastAsia="Arial" w:hAnsi="Arial"/>
          <w:sz w:val="22"/>
          <w:szCs w:val="22"/>
          <w:color w:val="auto"/>
        </w:rPr>
        <w:t xml:space="preserve"> </w:t>
      </w:r>
      <w:r>
        <w:rPr>
          <w:rFonts w:ascii="Arial" w:cs="Arial" w:eastAsia="Arial" w:hAnsi="Arial"/>
          <w:sz w:val="22"/>
          <w:szCs w:val="22"/>
          <w:i w:val="1"/>
          <w:iCs w:val="1"/>
          <w:color w:val="auto"/>
        </w:rPr>
        <w:t>sobre el 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ind w:firstLine="8"/>
        <w:spacing w:after="0" w:line="224" w:lineRule="auto"/>
        <w:tabs>
          <w:tab w:leader="none" w:pos="353"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grant or settlement of, or any benefit derived by the Participant from, the Stock Units, (2) the acquisition by the Participant of the Shares on the settlement of the Stock Units, or (3) the disposal of any Shares.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67" w:name="page68"/>
    <w:bookmarkEnd w:id="67"/>
    <w:p>
      <w:pPr>
        <w:jc w:val="both"/>
        <w:spacing w:after="0" w:line="232" w:lineRule="auto"/>
        <w:rPr>
          <w:sz w:val="20"/>
          <w:szCs w:val="20"/>
          <w:color w:val="auto"/>
        </w:rPr>
      </w:pPr>
      <w:r>
        <w:rPr>
          <w:rFonts w:ascii="Arial" w:cs="Arial" w:eastAsia="Arial" w:hAnsi="Arial"/>
          <w:sz w:val="22"/>
          <w:szCs w:val="22"/>
          <w:color w:val="auto"/>
        </w:rPr>
        <w:t>contributions arising in respect of the granting, vesting, settlement of or other dealing in the Stock Units, or the acquisition of Shares on the settlement of the Stock Units, is transferred to and met by the Participant.</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PERFORMANCE RESTRICTED STOCK UNIT AWARD</w:t>
      </w:r>
    </w:p>
    <w:p>
      <w:pPr>
        <w:spacing w:after="0" w:line="26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Unless otherwise defined in this Notice of Global Performance Restricted Stock Unit Award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individual named below (the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 has been granted an award of Restricted Stock Units (the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for shares of Common Stock of the Company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xml:space="preserve">”) under the Plan, subject to the terms and conditions of the Plan, the Global Performance Restricted Stock Unit Award Agreement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which shall include and incorporate by reference any appendix thereto for Participant’s country (the “</w:t>
      </w:r>
      <w:r>
        <w:rPr>
          <w:rFonts w:ascii="Arial" w:cs="Arial" w:eastAsia="Arial" w:hAnsi="Arial"/>
          <w:sz w:val="21"/>
          <w:szCs w:val="21"/>
          <w:b w:val="1"/>
          <w:bCs w:val="1"/>
          <w:i w:val="1"/>
          <w:iCs w:val="1"/>
          <w:color w:val="auto"/>
        </w:rPr>
        <w:t>Appendix</w:t>
      </w:r>
      <w:r>
        <w:rPr>
          <w:rFonts w:ascii="Arial" w:cs="Arial" w:eastAsia="Arial" w:hAnsi="Arial"/>
          <w:sz w:val="21"/>
          <w:szCs w:val="21"/>
          <w:color w:val="auto"/>
        </w:rPr>
        <w:t xml:space="preserve">”)) and this Notice (which shall include and incorporate by reference the vesting and performance terms and conditions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(the “</w:t>
      </w:r>
      <w:r>
        <w:rPr>
          <w:rFonts w:ascii="Arial" w:cs="Arial" w:eastAsia="Arial" w:hAnsi="Arial"/>
          <w:sz w:val="21"/>
          <w:szCs w:val="21"/>
          <w:b w:val="1"/>
          <w:bCs w:val="1"/>
          <w:i w:val="1"/>
          <w:iCs w:val="1"/>
          <w:color w:val="auto"/>
        </w:rPr>
        <w:t>Vesting</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Appendix</w:t>
      </w:r>
      <w:r>
        <w:rPr>
          <w:rFonts w:ascii="Arial" w:cs="Arial" w:eastAsia="Arial" w:hAnsi="Arial"/>
          <w:sz w:val="21"/>
          <w:szCs w:val="21"/>
          <w:color w:val="auto"/>
        </w:rPr>
        <w:t>”)), which incorporates the Plan and the Agreement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Number of Shares</w:t>
      </w:r>
      <w:r>
        <w:rPr>
          <w:rFonts w:ascii="Arial" w:cs="Arial" w:eastAsia="Arial" w:hAnsi="Arial"/>
          <w:sz w:val="22"/>
          <w:szCs w:val="22"/>
          <w:color w:val="auto"/>
        </w:rPr>
        <w:t>:</w:t>
      </w:r>
    </w:p>
    <w:p>
      <w:pPr>
        <w:spacing w:after="0" w:line="179" w:lineRule="exact"/>
        <w:rPr>
          <w:sz w:val="20"/>
          <w:szCs w:val="20"/>
          <w:color w:val="auto"/>
        </w:rPr>
      </w:pPr>
    </w:p>
    <w:p>
      <w:pPr>
        <w:jc w:val="both"/>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RSUs expire earlier if Participant’s Service terminates earlier, as provided in the Agreement.</w:t>
      </w:r>
    </w:p>
    <w:p>
      <w:pPr>
        <w:spacing w:after="0" w:line="159"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   Subject to the limitations set forth in this Notice, the Agreement and the Plan, the RSUs will vest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Vesting Appendix.</w:t>
      </w:r>
    </w:p>
    <w:p>
      <w:pPr>
        <w:spacing w:after="0" w:line="3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RSUs,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RSUs are granted under and governed by the terms and conditions of this Notice, the Agreement and the Plan.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vesting of the RSUs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w:t>
      </w:r>
    </w:p>
    <w:p>
      <w:pPr>
        <w:sectPr>
          <w:pgSz w:w="11900" w:h="16838" w:orient="portrait"/>
          <w:cols w:equalWidth="0" w:num="1">
            <w:col w:w="11240"/>
          </w:cols>
          <w:pgMar w:left="320" w:top="1382" w:right="339" w:bottom="1440" w:gutter="0" w:footer="0" w:header="0"/>
        </w:sectPr>
      </w:pPr>
    </w:p>
    <w:bookmarkStart w:id="69" w:name="page70"/>
    <w:bookmarkEnd w:id="69"/>
    <w:p>
      <w:pPr>
        <w:jc w:val="both"/>
        <w:spacing w:after="0" w:line="249" w:lineRule="auto"/>
        <w:rPr>
          <w:sz w:val="20"/>
          <w:szCs w:val="20"/>
          <w:color w:val="auto"/>
        </w:rPr>
      </w:pPr>
      <w:r>
        <w:rPr>
          <w:rFonts w:ascii="Arial" w:cs="Arial" w:eastAsia="Arial" w:hAnsi="Arial"/>
          <w:sz w:val="19"/>
          <w:szCs w:val="19"/>
          <w:color w:val="auto"/>
        </w:rPr>
        <w:t>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w:t>
      </w:r>
    </w:p>
    <w:p>
      <w:pPr>
        <w:spacing w:after="0" w:line="15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RSUs are granted by the Company at its sole discretion, and do not entitle Participant to further grant(s) of RSUs or any other award(s) under the Plan or any other plan or program maintained by the Company or any Parent, Subsidiary or Affiliate.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70" w:name="page71"/>
    <w:bookmarkEnd w:id="70"/>
    <w:p>
      <w:pPr>
        <w:ind w:left="394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Vesting Appendix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[Veracyte to insert applicable vesting and performance terms and conditions.]</w:t>
      </w:r>
    </w:p>
    <w:p>
      <w:pPr>
        <w:sectPr>
          <w:pgSz w:w="11900" w:h="16838" w:orient="portrait"/>
          <w:cols w:equalWidth="0" w:num="1">
            <w:col w:w="9019"/>
          </w:cols>
          <w:pgMar w:left="1440" w:top="1395" w:right="1440" w:bottom="1440" w:gutter="0" w:footer="0" w:header="0"/>
        </w:sectPr>
      </w:pPr>
    </w:p>
    <w:bookmarkStart w:id="71" w:name="page72"/>
    <w:bookmarkEnd w:id="71"/>
    <w:p>
      <w:pPr>
        <w:ind w:left="5060"/>
        <w:spacing w:after="0"/>
        <w:rPr>
          <w:sz w:val="20"/>
          <w:szCs w:val="20"/>
          <w:color w:val="auto"/>
        </w:rPr>
      </w:pPr>
      <w:r>
        <w:rPr>
          <w:rFonts w:ascii="Arial" w:cs="Arial" w:eastAsia="Arial" w:hAnsi="Arial"/>
          <w:sz w:val="22"/>
          <w:szCs w:val="22"/>
          <w:b w:val="1"/>
          <w:bCs w:val="1"/>
          <w:color w:val="auto"/>
        </w:rPr>
        <w:t>EXHIBIT B</w:t>
      </w:r>
    </w:p>
    <w:p>
      <w:pPr>
        <w:spacing w:after="0" w:line="16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RESTRICTED STOCK UNIT AWARD AGREEMENT</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Unless otherwise defined in the Notice of Global Performance Restricted Stock Unit Award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thereto (the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to which this Global Performance Restricted Stock Unit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3" w:lineRule="exact"/>
        <w:rPr>
          <w:sz w:val="20"/>
          <w:szCs w:val="20"/>
          <w:color w:val="auto"/>
        </w:rPr>
      </w:pPr>
    </w:p>
    <w:p>
      <w:pPr>
        <w:ind w:firstLine="8"/>
        <w:spacing w:after="0" w:line="235" w:lineRule="auto"/>
        <w:tabs>
          <w:tab w:leader="none" w:pos="496"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Participant has been granted RSUs subject to the terms, restrictions and conditions of the Notice,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w:t>
      </w:r>
    </w:p>
    <w:p>
      <w:pPr>
        <w:spacing w:after="0" w:line="152" w:lineRule="exact"/>
        <w:rPr>
          <w:rFonts w:ascii="Arial" w:cs="Arial" w:eastAsia="Arial" w:hAnsi="Arial"/>
          <w:sz w:val="22"/>
          <w:szCs w:val="22"/>
          <w:b w:val="1"/>
          <w:bCs w:val="1"/>
          <w:color w:val="auto"/>
        </w:rPr>
      </w:pPr>
    </w:p>
    <w:p>
      <w:pPr>
        <w:jc w:val="both"/>
        <w:ind w:firstLine="8"/>
        <w:spacing w:after="0" w:line="220" w:lineRule="auto"/>
        <w:tabs>
          <w:tab w:leader="none" w:pos="384"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The RSUs shall be settled on or as soon as administratively practicable following each applicable date of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spacing w:after="0" w:line="152" w:lineRule="exact"/>
        <w:rPr>
          <w:rFonts w:ascii="Arial" w:cs="Arial" w:eastAsia="Arial" w:hAnsi="Arial"/>
          <w:sz w:val="22"/>
          <w:szCs w:val="22"/>
          <w:b w:val="1"/>
          <w:bCs w:val="1"/>
          <w:color w:val="auto"/>
        </w:rPr>
      </w:pPr>
    </w:p>
    <w:p>
      <w:pPr>
        <w:ind w:firstLine="8"/>
        <w:spacing w:after="0" w:line="253" w:lineRule="auto"/>
        <w:tabs>
          <w:tab w:leader="none" w:pos="389" w:val="left"/>
        </w:tabs>
        <w:numPr>
          <w:ilvl w:val="0"/>
          <w:numId w:val="5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in settlement of vested RSUs, Participant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no ownership of the Shares allocated to the RSUs and shall have no right to dividends or to vote such Shares.</w:t>
      </w:r>
    </w:p>
    <w:p>
      <w:pPr>
        <w:spacing w:after="0" w:line="138" w:lineRule="exact"/>
        <w:rPr>
          <w:rFonts w:ascii="Arial" w:cs="Arial" w:eastAsia="Arial" w:hAnsi="Arial"/>
          <w:sz w:val="21"/>
          <w:szCs w:val="21"/>
          <w:b w:val="1"/>
          <w:bCs w:val="1"/>
          <w:color w:val="auto"/>
        </w:rPr>
      </w:pPr>
    </w:p>
    <w:p>
      <w:pPr>
        <w:ind w:left="380" w:hanging="372"/>
        <w:spacing w:after="0"/>
        <w:tabs>
          <w:tab w:leader="none" w:pos="38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color w:val="auto"/>
        </w:rPr>
        <w:t>. Dividends, if any (whether in cash or Shares), shall not be credited to Participant.</w:t>
      </w:r>
    </w:p>
    <w:p>
      <w:pPr>
        <w:spacing w:after="0" w:line="179" w:lineRule="exact"/>
        <w:rPr>
          <w:rFonts w:ascii="Arial" w:cs="Arial" w:eastAsia="Arial" w:hAnsi="Arial"/>
          <w:sz w:val="22"/>
          <w:szCs w:val="22"/>
          <w:b w:val="1"/>
          <w:bCs w:val="1"/>
          <w:color w:val="auto"/>
        </w:rPr>
      </w:pPr>
    </w:p>
    <w:p>
      <w:pPr>
        <w:jc w:val="both"/>
        <w:ind w:firstLine="8"/>
        <w:spacing w:after="0" w:line="225" w:lineRule="auto"/>
        <w:tabs>
          <w:tab w:leader="none" w:pos="497"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RSUs</w:t>
      </w:r>
      <w:r>
        <w:rPr>
          <w:rFonts w:ascii="Arial" w:cs="Arial" w:eastAsia="Arial" w:hAnsi="Arial"/>
          <w:sz w:val="22"/>
          <w:szCs w:val="22"/>
          <w:color w:val="auto"/>
        </w:rPr>
        <w:t>. Except as permitted by the Committee on a case-by-case basis, RSUs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pledged, hypothecated, transferred or otherwise disposed of in any manner other than by will or by the laws of descent or distribution or court order.</w:t>
      </w:r>
    </w:p>
    <w:p>
      <w:pPr>
        <w:spacing w:after="0" w:line="152" w:lineRule="exact"/>
        <w:rPr>
          <w:rFonts w:ascii="Arial" w:cs="Arial" w:eastAsia="Arial" w:hAnsi="Arial"/>
          <w:sz w:val="22"/>
          <w:szCs w:val="22"/>
          <w:b w:val="1"/>
          <w:bCs w:val="1"/>
          <w:color w:val="auto"/>
        </w:rPr>
      </w:pPr>
    </w:p>
    <w:p>
      <w:pPr>
        <w:jc w:val="both"/>
        <w:ind w:firstLine="8"/>
        <w:spacing w:after="0" w:line="242" w:lineRule="auto"/>
        <w:tabs>
          <w:tab w:leader="none" w:pos="453"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and Effect of Termination of Service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Notice or as otherwise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if Participant’s Service terminates for any reason (the effective date of such termination,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spacing w:after="0" w:line="380" w:lineRule="exact"/>
        <w:rPr>
          <w:rFonts w:ascii="Arial" w:cs="Arial" w:eastAsia="Arial" w:hAnsi="Arial"/>
          <w:sz w:val="19"/>
          <w:szCs w:val="19"/>
          <w:b w:val="1"/>
          <w:bCs w:val="1"/>
          <w:color w:val="auto"/>
        </w:rPr>
      </w:pPr>
    </w:p>
    <w:p>
      <w:pPr>
        <w:ind w:firstLine="8"/>
        <w:spacing w:after="0" w:line="235" w:lineRule="auto"/>
        <w:tabs>
          <w:tab w:leader="none" w:pos="409"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RSUs and/or disposition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if any, received in connection therewith,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72" w:name="page73"/>
    <w:bookmarkEnd w:id="72"/>
    <w:p>
      <w:pPr>
        <w:spacing w:after="0" w:line="232" w:lineRule="auto"/>
        <w:rPr>
          <w:sz w:val="20"/>
          <w:szCs w:val="20"/>
          <w:color w:val="auto"/>
        </w:rPr>
      </w:pPr>
      <w:r>
        <w:rPr>
          <w:rFonts w:ascii="Arial" w:cs="Arial" w:eastAsia="Arial" w:hAnsi="Arial"/>
          <w:sz w:val="22"/>
          <w:szCs w:val="22"/>
          <w:color w:val="auto"/>
        </w:rPr>
        <w:t>Participant should consult a tax adviser regarding Participant’s tax obligations prior to such settlement of the RSUs or disposition of the Shares in the jurisdiction where Participant is subject to tax.</w:t>
      </w:r>
    </w:p>
    <w:p>
      <w:pPr>
        <w:spacing w:after="0" w:line="159" w:lineRule="exact"/>
        <w:rPr>
          <w:sz w:val="20"/>
          <w:szCs w:val="20"/>
          <w:color w:val="auto"/>
        </w:rPr>
      </w:pPr>
    </w:p>
    <w:p>
      <w:pPr>
        <w:jc w:val="both"/>
        <w:ind w:firstLine="656"/>
        <w:spacing w:after="0" w:line="238" w:lineRule="auto"/>
        <w:tabs>
          <w:tab w:leader="none" w:pos="1129"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to the extent permitted by applicable law, regardless of any action taken by the Company or a Parent, Subsidiary or Affiliate employing or retaining the Participant (as applicable,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auto"/>
        </w:rPr>
      </w:pPr>
    </w:p>
    <w:p>
      <w:pPr>
        <w:spacing w:after="0" w:line="278" w:lineRule="auto"/>
        <w:rPr>
          <w:rFonts w:ascii="Arial" w:cs="Arial" w:eastAsia="Arial" w:hAnsi="Arial"/>
          <w:sz w:val="19"/>
          <w:szCs w:val="19"/>
          <w:color w:val="auto"/>
        </w:rPr>
      </w:pPr>
      <w:r>
        <w:rPr>
          <w:rFonts w:ascii="Arial" w:cs="Arial" w:eastAsia="Arial" w:hAnsi="Arial"/>
          <w:sz w:val="19"/>
          <w:szCs w:val="19"/>
          <w:i w:val="1"/>
          <w:iCs w:val="1"/>
          <w:color w:val="auto"/>
        </w:rPr>
        <w:t>PARTICIPANT SHOULD CONSULT A TAX ADVISER APPROPRIATELY QUALIFIED IN EACH OF THE JURISDICTIONS, INCLUDING THE COUNTRY OR COUNTRIES IN WHICH PARTICIPANT RESIDES OR IS SUBJECT TO TAXATION.</w:t>
      </w:r>
    </w:p>
    <w:p>
      <w:pPr>
        <w:spacing w:after="0" w:line="123" w:lineRule="exact"/>
        <w:rPr>
          <w:rFonts w:ascii="Arial" w:cs="Arial" w:eastAsia="Arial" w:hAnsi="Arial"/>
          <w:sz w:val="19"/>
          <w:szCs w:val="19"/>
          <w:color w:val="auto"/>
        </w:rPr>
      </w:pPr>
    </w:p>
    <w:p>
      <w:pPr>
        <w:jc w:val="both"/>
        <w:ind w:firstLine="656"/>
        <w:spacing w:after="0" w:line="257" w:lineRule="auto"/>
        <w:tabs>
          <w:tab w:leader="none" w:pos="126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144" w:lineRule="exact"/>
        <w:rPr>
          <w:rFonts w:ascii="Arial" w:cs="Arial" w:eastAsia="Arial" w:hAnsi="Arial"/>
          <w:sz w:val="19"/>
          <w:szCs w:val="19"/>
          <w:color w:val="auto"/>
        </w:rPr>
      </w:pPr>
    </w:p>
    <w:p>
      <w:pPr>
        <w:ind w:left="1760" w:hanging="456"/>
        <w:spacing w:after="0"/>
        <w:tabs>
          <w:tab w:leader="none" w:pos="1760"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withholding from Participant’s wages or other cash compensation paid to Participant by the Company and/or</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Employer;</w:t>
      </w:r>
    </w:p>
    <w:p>
      <w:pPr>
        <w:spacing w:after="0" w:line="161" w:lineRule="exact"/>
        <w:rPr>
          <w:rFonts w:ascii="Arial" w:cs="Arial" w:eastAsia="Arial" w:hAnsi="Arial"/>
          <w:sz w:val="19"/>
          <w:szCs w:val="19"/>
          <w:color w:val="010000"/>
        </w:rPr>
      </w:pPr>
    </w:p>
    <w:p>
      <w:pPr>
        <w:ind w:firstLine="1304"/>
        <w:spacing w:after="0" w:line="232" w:lineRule="auto"/>
        <w:tabs>
          <w:tab w:leader="none" w:pos="1882"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withholding Shares to be issued upon settlement of the RSU,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52"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withholding from proceeds of the sale of Shares acquired upon settlement of the RSU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010000"/>
        </w:rPr>
      </w:pPr>
    </w:p>
    <w:p>
      <w:pPr>
        <w:ind w:left="1880" w:hanging="576"/>
        <w:spacing w:after="0"/>
        <w:tabs>
          <w:tab w:leader="none" w:pos="1880"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Participant’s payment of a cash amount (including by check representing readily available funds or a wire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or</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73" w:name="page74"/>
    <w:bookmarkEnd w:id="73"/>
    <w:p>
      <w:pPr>
        <w:jc w:val="both"/>
        <w:spacing w:after="0" w:line="232" w:lineRule="auto"/>
        <w:rPr>
          <w:sz w:val="20"/>
          <w:szCs w:val="20"/>
          <w:color w:val="auto"/>
        </w:rPr>
      </w:pPr>
      <w:r>
        <w:rPr>
          <w:rFonts w:ascii="Arial" w:cs="Arial" w:eastAsia="Arial" w:hAnsi="Arial"/>
          <w:sz w:val="22"/>
          <w:szCs w:val="22"/>
          <w:color w:val="auto"/>
        </w:rPr>
        <w:t>unless determined otherwise by the Committee in advance of a Tax-Related Items withholding event, the method of withholding for this RSU will be (ii) above.</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jc w:val="both"/>
        <w:ind w:firstLine="8"/>
        <w:spacing w:after="0" w:line="242" w:lineRule="auto"/>
        <w:tabs>
          <w:tab w:leader="none" w:pos="438"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rules relating to a “separation from service” as defined in Section 409A of the Internal Revenue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0" w:lineRule="exact"/>
        <w:rPr>
          <w:rFonts w:ascii="Arial" w:cs="Arial" w:eastAsia="Arial" w:hAnsi="Arial"/>
          <w:sz w:val="19"/>
          <w:szCs w:val="19"/>
          <w:b w:val="1"/>
          <w:bCs w:val="1"/>
          <w:color w:val="auto"/>
        </w:rPr>
      </w:pPr>
    </w:p>
    <w:p>
      <w:pPr>
        <w:jc w:val="both"/>
        <w:ind w:firstLine="8"/>
        <w:spacing w:after="0" w:line="217" w:lineRule="auto"/>
        <w:tabs>
          <w:tab w:leader="none" w:pos="406"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RSUs will be subject to (a) the Vesting Appendix and (b)</w:t>
      </w:r>
      <w:r>
        <w:rPr>
          <w:rFonts w:ascii="Arial" w:cs="Arial" w:eastAsia="Arial" w:hAnsi="Arial"/>
          <w:sz w:val="22"/>
          <w:szCs w:val="22"/>
          <w:b w:val="1"/>
          <w:bCs w:val="1"/>
          <w:color w:val="auto"/>
        </w:rPr>
        <w:t xml:space="preserve"> </w:t>
      </w:r>
      <w:r>
        <w:rPr>
          <w:rFonts w:ascii="Arial" w:cs="Arial" w:eastAsia="Arial" w:hAnsi="Arial"/>
          <w:sz w:val="22"/>
          <w:szCs w:val="22"/>
          <w:color w:val="auto"/>
        </w:rPr>
        <w:t>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auto"/>
        </w:rPr>
      </w:pPr>
    </w:p>
    <w:p>
      <w:pPr>
        <w:jc w:val="both"/>
        <w:ind w:firstLine="8"/>
        <w:spacing w:after="0" w:line="217" w:lineRule="auto"/>
        <w:tabs>
          <w:tab w:leader="none" w:pos="524"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Laws and Regulations; Legends</w:t>
      </w:r>
      <w:r>
        <w:rPr>
          <w:rFonts w:ascii="Arial" w:cs="Arial" w:eastAsia="Arial" w:hAnsi="Arial"/>
          <w:sz w:val="22"/>
          <w:szCs w:val="22"/>
          <w:color w:val="auto"/>
        </w:rPr>
        <w:t>. The issuance of Shares and any restriction on the sale of Shares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74" w:name="page75"/>
    <w:bookmarkEnd w:id="74"/>
    <w:p>
      <w:pPr>
        <w:jc w:val="both"/>
        <w:spacing w:after="0" w:line="244" w:lineRule="auto"/>
        <w:rPr>
          <w:sz w:val="20"/>
          <w:szCs w:val="20"/>
          <w:color w:val="auto"/>
        </w:rPr>
      </w:pPr>
      <w:r>
        <w:rPr>
          <w:rFonts w:ascii="Arial" w:cs="Arial" w:eastAsia="Arial" w:hAnsi="Arial"/>
          <w:sz w:val="19"/>
          <w:szCs w:val="19"/>
          <w:color w:val="auto"/>
        </w:rPr>
        <w:t>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149" w:lineRule="exact"/>
        <w:rPr>
          <w:sz w:val="20"/>
          <w:szCs w:val="20"/>
          <w:color w:val="auto"/>
        </w:rPr>
      </w:pPr>
    </w:p>
    <w:p>
      <w:pPr>
        <w:ind w:firstLine="8"/>
        <w:spacing w:after="0" w:line="235" w:lineRule="auto"/>
        <w:tabs>
          <w:tab w:leader="none" w:pos="554"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RSUs, Participant acknowledges, understands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that:</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18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54"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51" w:lineRule="exact"/>
        <w:rPr>
          <w:rFonts w:ascii="Arial" w:cs="Arial" w:eastAsia="Arial" w:hAnsi="Arial"/>
          <w:sz w:val="22"/>
          <w:szCs w:val="22"/>
          <w:color w:val="auto"/>
        </w:rPr>
      </w:pPr>
    </w:p>
    <w:p>
      <w:pPr>
        <w:ind w:left="1260" w:hanging="604"/>
        <w:spacing w:after="0"/>
        <w:tabs>
          <w:tab w:leader="none" w:pos="1260" w:val="left"/>
        </w:tabs>
        <w:numPr>
          <w:ilvl w:val="1"/>
          <w:numId w:val="59"/>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equity awards,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09"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auto"/>
        </w:rPr>
      </w:pPr>
    </w:p>
    <w:p>
      <w:pPr>
        <w:ind w:firstLine="656"/>
        <w:spacing w:after="0" w:line="298" w:lineRule="auto"/>
        <w:tabs>
          <w:tab w:leader="none" w:pos="1143"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RSUs are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auto"/>
        </w:rPr>
      </w:pPr>
    </w:p>
    <w:p>
      <w:pPr>
        <w:ind w:left="1080" w:hanging="424"/>
        <w:spacing w:after="0"/>
        <w:tabs>
          <w:tab w:leader="none" w:pos="1080" w:val="left"/>
        </w:tabs>
        <w:numPr>
          <w:ilvl w:val="1"/>
          <w:numId w:val="59"/>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17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45" w:val="left"/>
        </w:tabs>
        <w:numPr>
          <w:ilvl w:val="1"/>
          <w:numId w:val="59"/>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75" w:name="page76"/>
    <w:bookmarkEnd w:id="75"/>
    <w:p>
      <w:pPr>
        <w:ind w:left="1220" w:hanging="564"/>
        <w:spacing w:after="0"/>
        <w:tabs>
          <w:tab w:leader="none" w:pos="12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1"/>
          <w:numId w:val="60"/>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RSUs will not increase in value;</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Shares received in settlement of the RSUs may increase or decrease in value, even to zero;</w:t>
      </w:r>
    </w:p>
    <w:p>
      <w:pPr>
        <w:spacing w:after="0" w:line="179" w:lineRule="exact"/>
        <w:rPr>
          <w:rFonts w:ascii="Arial" w:cs="Arial" w:eastAsia="Arial" w:hAnsi="Arial"/>
          <w:sz w:val="22"/>
          <w:szCs w:val="22"/>
          <w:color w:val="auto"/>
        </w:rPr>
      </w:pPr>
    </w:p>
    <w:p>
      <w:pPr>
        <w:jc w:val="both"/>
        <w:ind w:firstLine="656"/>
        <w:spacing w:after="0" w:line="218" w:lineRule="auto"/>
        <w:tabs>
          <w:tab w:leader="none" w:pos="1349" w:val="left"/>
        </w:tabs>
        <w:numPr>
          <w:ilvl w:val="1"/>
          <w:numId w:val="60"/>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156" w:val="left"/>
        </w:tabs>
        <w:numPr>
          <w:ilvl w:val="1"/>
          <w:numId w:val="60"/>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firstLine="656"/>
        <w:spacing w:after="0" w:line="268" w:lineRule="auto"/>
        <w:tabs>
          <w:tab w:leader="none" w:pos="1158" w:val="left"/>
        </w:tabs>
        <w:numPr>
          <w:ilvl w:val="1"/>
          <w:numId w:val="60"/>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spacing w:after="0" w:line="126" w:lineRule="exact"/>
        <w:rPr>
          <w:rFonts w:ascii="Arial" w:cs="Arial" w:eastAsia="Arial" w:hAnsi="Arial"/>
          <w:sz w:val="19"/>
          <w:szCs w:val="19"/>
          <w:color w:val="auto"/>
        </w:rPr>
      </w:pPr>
    </w:p>
    <w:p>
      <w:pPr>
        <w:ind w:left="500" w:hanging="492"/>
        <w:spacing w:after="0"/>
        <w:tabs>
          <w:tab w:leader="none" w:pos="5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656"/>
        <w:spacing w:after="0" w:line="252" w:lineRule="auto"/>
        <w:tabs>
          <w:tab w:leader="none" w:pos="1202" w:val="left"/>
        </w:tabs>
        <w:numPr>
          <w:ilvl w:val="1"/>
          <w:numId w:val="6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auto"/>
        </w:rPr>
      </w:pPr>
    </w:p>
    <w:p>
      <w:pPr>
        <w:jc w:val="both"/>
        <w:ind w:firstLine="656"/>
        <w:spacing w:after="0" w:line="252" w:lineRule="auto"/>
        <w:tabs>
          <w:tab w:leader="none" w:pos="1121" w:val="left"/>
        </w:tabs>
        <w:numPr>
          <w:ilvl w:val="1"/>
          <w:numId w:val="6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auto"/>
        </w:rPr>
      </w:pPr>
    </w:p>
    <w:p>
      <w:pPr>
        <w:jc w:val="both"/>
        <w:ind w:firstLine="656"/>
        <w:spacing w:after="0" w:line="221" w:lineRule="auto"/>
        <w:tabs>
          <w:tab w:leader="none" w:pos="1224" w:val="left"/>
        </w:tabs>
        <w:numPr>
          <w:ilvl w:val="1"/>
          <w:numId w:val="61"/>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Processing and Legal Basis</w:t>
      </w:r>
      <w:r>
        <w:rPr>
          <w:rFonts w:ascii="Arial" w:cs="Arial" w:eastAsia="Arial" w:hAnsi="Arial"/>
          <w:sz w:val="21"/>
          <w:szCs w:val="21"/>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76" w:name="page77"/>
    <w:bookmarkEnd w:id="76"/>
    <w:p>
      <w:pPr>
        <w:jc w:val="both"/>
        <w:ind w:left="-220" w:firstLine="656"/>
        <w:spacing w:after="0" w:line="249" w:lineRule="auto"/>
        <w:tabs>
          <w:tab w:leader="none" w:pos="1183"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auto"/>
        </w:rPr>
      </w:pPr>
    </w:p>
    <w:p>
      <w:pPr>
        <w:jc w:val="both"/>
        <w:ind w:left="-220" w:firstLine="656"/>
        <w:spacing w:after="0" w:line="247" w:lineRule="auto"/>
        <w:tabs>
          <w:tab w:leader="none" w:pos="974"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auto"/>
        </w:rPr>
      </w:pPr>
    </w:p>
    <w:p>
      <w:pPr>
        <w:jc w:val="both"/>
        <w:ind w:left="-220" w:firstLine="656"/>
        <w:spacing w:after="0" w:line="249" w:lineRule="auto"/>
        <w:tabs>
          <w:tab w:leader="none" w:pos="876"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auto"/>
        </w:rPr>
      </w:pPr>
    </w:p>
    <w:p>
      <w:pPr>
        <w:jc w:val="both"/>
        <w:ind w:left="-220" w:firstLine="656"/>
        <w:spacing w:after="0" w:line="247" w:lineRule="auto"/>
        <w:tabs>
          <w:tab w:leader="none" w:pos="990"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53" w:lineRule="exact"/>
        <w:rPr>
          <w:rFonts w:ascii="Arial" w:cs="Arial" w:eastAsia="Arial" w:hAnsi="Arial"/>
          <w:sz w:val="19"/>
          <w:szCs w:val="19"/>
          <w:color w:val="auto"/>
        </w:rPr>
      </w:pPr>
    </w:p>
    <w:p>
      <w:pPr>
        <w:jc w:val="both"/>
        <w:ind w:left="-220" w:firstLine="656"/>
        <w:spacing w:after="0" w:line="243" w:lineRule="auto"/>
        <w:tabs>
          <w:tab w:leader="none" w:pos="934"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Subject Rights</w:t>
      </w:r>
      <w:r>
        <w:rPr>
          <w:rFonts w:ascii="Arial" w:cs="Arial" w:eastAsia="Arial" w:hAnsi="Arial"/>
          <w:sz w:val="19"/>
          <w:szCs w:val="19"/>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20"/>
          </w:cols>
          <w:pgMar w:left="540" w:top="1401" w:right="339" w:bottom="1440" w:gutter="0" w:footer="0" w:header="0"/>
        </w:sectPr>
      </w:pPr>
    </w:p>
    <w:bookmarkStart w:id="77" w:name="page78"/>
    <w:bookmarkEnd w:id="77"/>
    <w:p>
      <w:pPr>
        <w:jc w:val="both"/>
        <w:spacing w:after="0" w:line="224" w:lineRule="auto"/>
        <w:rPr>
          <w:sz w:val="20"/>
          <w:szCs w:val="20"/>
          <w:color w:val="auto"/>
        </w:rPr>
      </w:pPr>
      <w:r>
        <w:rPr>
          <w:rFonts w:ascii="Arial" w:cs="Arial" w:eastAsia="Arial" w:hAnsi="Arial"/>
          <w:sz w:val="21"/>
          <w:szCs w:val="21"/>
          <w:b w:val="1"/>
          <w:bCs w:val="1"/>
          <w:i w:val="1"/>
          <w:iCs w:val="1"/>
          <w:color w:val="auto"/>
        </w:rPr>
        <w:t>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60" w:lineRule="exact"/>
        <w:rPr>
          <w:sz w:val="20"/>
          <w:szCs w:val="20"/>
          <w:color w:val="auto"/>
        </w:rPr>
      </w:pPr>
    </w:p>
    <w:p>
      <w:pPr>
        <w:jc w:val="both"/>
        <w:ind w:firstLine="656"/>
        <w:spacing w:after="0" w:line="246" w:lineRule="auto"/>
        <w:tabs>
          <w:tab w:leader="none" w:pos="1215" w:val="left"/>
        </w:tabs>
        <w:numPr>
          <w:ilvl w:val="1"/>
          <w:numId w:val="63"/>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auto"/>
        </w:rPr>
      </w:pPr>
    </w:p>
    <w:p>
      <w:pPr>
        <w:jc w:val="both"/>
        <w:ind w:firstLine="8"/>
        <w:spacing w:after="0" w:line="243" w:lineRule="auto"/>
        <w:tabs>
          <w:tab w:leader="none" w:pos="572"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auto"/>
        </w:rPr>
      </w:pPr>
    </w:p>
    <w:p>
      <w:pPr>
        <w:jc w:val="both"/>
        <w:ind w:firstLine="8"/>
        <w:spacing w:after="0" w:line="245" w:lineRule="auto"/>
        <w:tabs>
          <w:tab w:leader="none" w:pos="747"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auto"/>
        </w:rPr>
      </w:pPr>
    </w:p>
    <w:p>
      <w:pPr>
        <w:ind w:firstLine="8"/>
        <w:spacing w:after="0" w:line="235" w:lineRule="auto"/>
        <w:tabs>
          <w:tab w:leader="none" w:pos="551"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the RSUs may be adjusted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78" w:name="page79"/>
    <w:bookmarkEnd w:id="78"/>
    <w:p>
      <w:pPr>
        <w:jc w:val="both"/>
        <w:ind w:left="-8" w:firstLine="8"/>
        <w:spacing w:after="0" w:line="225" w:lineRule="auto"/>
        <w:tabs>
          <w:tab w:leader="none" w:pos="545"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auto"/>
        </w:rPr>
      </w:pPr>
    </w:p>
    <w:p>
      <w:pPr>
        <w:jc w:val="both"/>
        <w:ind w:left="-8" w:firstLine="8"/>
        <w:spacing w:after="0" w:line="254" w:lineRule="auto"/>
        <w:tabs>
          <w:tab w:leader="none" w:pos="524"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including the Shares underlying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spacing w:after="0" w:line="139" w:lineRule="exact"/>
        <w:rPr>
          <w:rFonts w:ascii="Arial" w:cs="Arial" w:eastAsia="Arial" w:hAnsi="Arial"/>
          <w:sz w:val="19"/>
          <w:szCs w:val="19"/>
          <w:b w:val="1"/>
          <w:bCs w:val="1"/>
          <w:color w:val="auto"/>
        </w:rPr>
      </w:pPr>
    </w:p>
    <w:p>
      <w:pPr>
        <w:jc w:val="both"/>
        <w:ind w:left="-8" w:firstLine="8"/>
        <w:spacing w:after="0" w:line="254" w:lineRule="auto"/>
        <w:tabs>
          <w:tab w:leader="none" w:pos="482"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spacing w:after="0" w:line="139" w:lineRule="exact"/>
        <w:rPr>
          <w:rFonts w:ascii="Arial" w:cs="Arial" w:eastAsia="Arial" w:hAnsi="Arial"/>
          <w:sz w:val="19"/>
          <w:szCs w:val="19"/>
          <w:b w:val="1"/>
          <w:bCs w:val="1"/>
          <w:color w:val="auto"/>
        </w:rPr>
      </w:pPr>
    </w:p>
    <w:p>
      <w:pPr>
        <w:jc w:val="both"/>
        <w:ind w:left="-8" w:firstLine="8"/>
        <w:spacing w:after="0"/>
        <w:tabs>
          <w:tab w:leader="none" w:pos="624"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 any change in Participant’s residence address indicated in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or any electronic mail address provided</w:t>
      </w:r>
      <w:r>
        <w:rPr>
          <w:rFonts w:ascii="Arial" w:cs="Arial" w:eastAsia="Arial" w:hAnsi="Arial"/>
          <w:sz w:val="19"/>
          <w:szCs w:val="19"/>
          <w:color w:val="auto"/>
        </w:rPr>
        <w:t>.</w:t>
      </w:r>
    </w:p>
    <w:p>
      <w:pPr>
        <w:spacing w:after="0" w:line="382" w:lineRule="exact"/>
        <w:rPr>
          <w:rFonts w:ascii="Arial" w:cs="Arial" w:eastAsia="Arial" w:hAnsi="Arial"/>
          <w:sz w:val="19"/>
          <w:szCs w:val="19"/>
          <w:b w:val="1"/>
          <w:bCs w:val="1"/>
          <w:color w:val="auto"/>
        </w:rPr>
      </w:pPr>
    </w:p>
    <w:p>
      <w:pPr>
        <w:jc w:val="both"/>
        <w:ind w:left="-8" w:firstLine="8"/>
        <w:spacing w:after="0" w:line="230" w:lineRule="auto"/>
        <w:tabs>
          <w:tab w:leader="none" w:pos="571"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Language</w:t>
      </w:r>
      <w:r>
        <w:rPr>
          <w:rFonts w:ascii="Arial" w:cs="Arial" w:eastAsia="Arial" w:hAnsi="Arial"/>
          <w:sz w:val="21"/>
          <w:szCs w:val="21"/>
          <w:color w:val="auto"/>
        </w:rPr>
        <w:t>. Participant acknowledges that Participant is sufficiently proficient in the English language, or has consulted</w:t>
      </w:r>
      <w:r>
        <w:rPr>
          <w:rFonts w:ascii="Arial" w:cs="Arial" w:eastAsia="Arial" w:hAnsi="Arial"/>
          <w:sz w:val="21"/>
          <w:szCs w:val="21"/>
          <w:b w:val="1"/>
          <w:bCs w:val="1"/>
          <w:color w:val="auto"/>
        </w:rPr>
        <w:t xml:space="preserve"> </w:t>
      </w:r>
      <w:r>
        <w:rPr>
          <w:rFonts w:ascii="Arial" w:cs="Arial" w:eastAsia="Arial" w:hAnsi="Arial"/>
          <w:sz w:val="21"/>
          <w:szCs w:val="21"/>
          <w:color w:val="auto"/>
        </w:rPr>
        <w:t>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12"/>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32"/>
          </w:cols>
          <w:pgMar w:left="328" w:top="1395" w:right="339" w:bottom="1440" w:gutter="0" w:footer="0" w:header="0"/>
        </w:sectPr>
      </w:pPr>
    </w:p>
    <w:bookmarkStart w:id="79" w:name="page80"/>
    <w:bookmarkEnd w:id="79"/>
    <w:p>
      <w:pPr>
        <w:spacing w:after="0" w:line="232" w:lineRule="auto"/>
        <w:rPr>
          <w:sz w:val="20"/>
          <w:szCs w:val="20"/>
          <w:color w:val="auto"/>
        </w:rPr>
      </w:pPr>
      <w:r>
        <w:rPr>
          <w:rFonts w:ascii="Arial" w:cs="Arial" w:eastAsia="Arial" w:hAnsi="Arial"/>
          <w:sz w:val="22"/>
          <w:szCs w:val="22"/>
          <w:color w:val="auto"/>
        </w:rPr>
        <w:t>language, and if the meaning of the translated version is different than the English language version, the English language version will control.</w:t>
      </w:r>
    </w:p>
    <w:p>
      <w:pPr>
        <w:spacing w:after="0" w:line="153" w:lineRule="exact"/>
        <w:rPr>
          <w:sz w:val="20"/>
          <w:szCs w:val="20"/>
          <w:color w:val="auto"/>
        </w:rPr>
      </w:pPr>
    </w:p>
    <w:p>
      <w:pPr>
        <w:jc w:val="both"/>
        <w:ind w:firstLine="8"/>
        <w:spacing w:after="0" w:line="220" w:lineRule="auto"/>
        <w:tabs>
          <w:tab w:leader="none" w:pos="644"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auto"/>
        </w:rPr>
      </w:pPr>
    </w:p>
    <w:p>
      <w:pPr>
        <w:jc w:val="both"/>
        <w:ind w:firstLine="8"/>
        <w:spacing w:after="0" w:line="215" w:lineRule="auto"/>
        <w:tabs>
          <w:tab w:leader="none" w:pos="508"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RSUs are granted under and governed by the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spacing w:after="0" w:line="152" w:lineRule="exact"/>
        <w:rPr>
          <w:rFonts w:ascii="Arial" w:cs="Arial" w:eastAsia="Arial" w:hAnsi="Arial"/>
          <w:sz w:val="22"/>
          <w:szCs w:val="22"/>
          <w:b w:val="1"/>
          <w:bCs w:val="1"/>
          <w:color w:val="auto"/>
        </w:rPr>
      </w:pPr>
    </w:p>
    <w:p>
      <w:pPr>
        <w:jc w:val="both"/>
        <w:ind w:firstLine="8"/>
        <w:spacing w:after="0" w:line="254" w:lineRule="auto"/>
        <w:tabs>
          <w:tab w:leader="none" w:pos="514"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39" w:lineRule="exact"/>
        <w:rPr>
          <w:rFonts w:ascii="Arial" w:cs="Arial" w:eastAsia="Arial" w:hAnsi="Arial"/>
          <w:sz w:val="19"/>
          <w:szCs w:val="19"/>
          <w:b w:val="1"/>
          <w:bCs w:val="1"/>
          <w:color w:val="auto"/>
        </w:rPr>
      </w:pPr>
    </w:p>
    <w:p>
      <w:pPr>
        <w:jc w:val="both"/>
        <w:ind w:firstLine="8"/>
        <w:spacing w:after="0" w:line="220" w:lineRule="auto"/>
        <w:tabs>
          <w:tab w:leader="none" w:pos="488"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auto"/>
        </w:rPr>
      </w:pPr>
    </w:p>
    <w:p>
      <w:pPr>
        <w:jc w:val="both"/>
        <w:ind w:firstLine="8"/>
        <w:spacing w:after="0" w:line="213" w:lineRule="auto"/>
        <w:tabs>
          <w:tab w:leader="none" w:pos="52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b w:val="1"/>
          <w:bCs w:val="1"/>
          <w:color w:val="auto"/>
        </w:rPr>
        <w:t>Appendix to the</w:t>
      </w:r>
    </w:p>
    <w:p>
      <w:pPr>
        <w:jc w:val="center"/>
        <w:spacing w:after="0" w:line="204" w:lineRule="auto"/>
        <w:rPr>
          <w:sz w:val="20"/>
          <w:szCs w:val="20"/>
          <w:color w:val="auto"/>
        </w:rPr>
      </w:pPr>
      <w:r>
        <w:rPr>
          <w:rFonts w:ascii="Arial" w:cs="Arial" w:eastAsia="Arial" w:hAnsi="Arial"/>
          <w:sz w:val="22"/>
          <w:szCs w:val="22"/>
          <w:b w:val="1"/>
          <w:bCs w:val="1"/>
          <w:color w:val="auto"/>
        </w:rPr>
        <w:t>Global Performance Restricted Stock Unit Agreement</w:t>
      </w:r>
    </w:p>
    <w:p>
      <w:pPr>
        <w:jc w:val="center"/>
        <w:spacing w:after="0" w:line="205"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0"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ectPr>
          <w:pgSz w:w="11900" w:h="16838" w:orient="portrait"/>
          <w:cols w:equalWidth="0" w:num="1">
            <w:col w:w="11240"/>
          </w:cols>
          <w:pgMar w:left="320" w:top="1382"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Stock Units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French translation: </w:t>
      </w:r>
      <w:r>
        <w:rPr>
          <w:rFonts w:ascii="Arial" w:cs="Arial" w:eastAsia="Arial" w:hAnsi="Arial"/>
          <w:sz w:val="21"/>
          <w:szCs w:val="21"/>
          <w:i w:val="1"/>
          <w:iCs w:val="1"/>
          <w:color w:val="auto"/>
        </w:rPr>
        <w:t>En signant et renvoyant ce Contrat vous confirmez ainsi avoir lu et compris les documents relatifs au Plan qui</w:t>
      </w:r>
      <w:r>
        <w:rPr>
          <w:rFonts w:ascii="Arial" w:cs="Arial" w:eastAsia="Arial" w:hAnsi="Arial"/>
          <w:sz w:val="21"/>
          <w:szCs w:val="21"/>
          <w:color w:val="auto"/>
        </w:rPr>
        <w:t xml:space="preserve"> </w:t>
      </w:r>
      <w:r>
        <w:rPr>
          <w:rFonts w:ascii="Arial" w:cs="Arial" w:eastAsia="Arial" w:hAnsi="Arial"/>
          <w:sz w:val="21"/>
          <w:szCs w:val="21"/>
          <w:i w:val="1"/>
          <w:iCs w:val="1"/>
          <w:color w:val="auto"/>
        </w:rPr>
        <w:t>vous ont été communiqués en langue anglaise. Vous en acceptez les termes en connaissance de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82" w:name="page83"/>
    <w:bookmarkEnd w:id="82"/>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Agreement or the Plan limits the obligations under the Privacy Protection Act, 5741-1981 (“PPA”) Chapter B.</w:t>
      </w:r>
    </w:p>
    <w:p>
      <w:pPr>
        <w:spacing w:after="0" w:line="24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83" w:name="page84"/>
    <w:bookmarkEnd w:id="83"/>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Stock Units, the Participant must declare the acquisition of such securities to the Spanish </w:t>
      </w:r>
      <w:r>
        <w:rPr>
          <w:rFonts w:ascii="Arial" w:cs="Arial" w:eastAsia="Arial" w:hAnsi="Arial"/>
          <w:sz w:val="22"/>
          <w:szCs w:val="22"/>
          <w:i w:val="1"/>
          <w:iCs w:val="1"/>
          <w:color w:val="auto"/>
        </w:rPr>
        <w:t>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Arial" w:cs="Arial" w:eastAsia="Arial" w:hAnsi="Arial"/>
          <w:sz w:val="19"/>
          <w:szCs w:val="19"/>
          <w:i w:val="1"/>
          <w:iCs w:val="1"/>
          <w:color w:val="auto"/>
        </w:rPr>
        <w:t>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84" w:name="page85"/>
    <w:bookmarkEnd w:id="84"/>
    <w:p>
      <w:pPr>
        <w:jc w:val="both"/>
        <w:spacing w:after="0" w:line="223" w:lineRule="auto"/>
        <w:rPr>
          <w:sz w:val="20"/>
          <w:szCs w:val="20"/>
          <w:color w:val="auto"/>
        </w:rPr>
      </w:pPr>
      <w:r>
        <w:rPr>
          <w:rFonts w:ascii="Arial" w:cs="Arial" w:eastAsia="Arial" w:hAnsi="Arial"/>
          <w:sz w:val="22"/>
          <w:szCs w:val="22"/>
          <w:color w:val="auto"/>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w:t>
      </w:r>
      <w:r>
        <w:rPr>
          <w:rFonts w:ascii="Arial" w:cs="Arial" w:eastAsia="Arial" w:hAnsi="Arial"/>
          <w:sz w:val="22"/>
          <w:szCs w:val="22"/>
          <w:color w:val="auto"/>
        </w:rPr>
        <w:t xml:space="preserve"> </w:t>
      </w:r>
      <w:r>
        <w:rPr>
          <w:rFonts w:ascii="Arial" w:cs="Arial" w:eastAsia="Arial" w:hAnsi="Arial"/>
          <w:sz w:val="22"/>
          <w:szCs w:val="22"/>
          <w:i w:val="1"/>
          <w:iCs w:val="1"/>
          <w:color w:val="auto"/>
        </w:rPr>
        <w:t>sobre el 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ind w:firstLine="8"/>
        <w:spacing w:after="0" w:line="224" w:lineRule="auto"/>
        <w:tabs>
          <w:tab w:leader="none" w:pos="353"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grant or settlement of, or any benefit derived by the Participant from, the Stock Units, (2) the acquisition by the Participant of the Shares on the settlement of the Stock Units, or (3) the disposal of any Shares.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85" w:name="page86"/>
    <w:bookmarkEnd w:id="85"/>
    <w:p>
      <w:pPr>
        <w:jc w:val="both"/>
        <w:spacing w:after="0" w:line="232" w:lineRule="auto"/>
        <w:rPr>
          <w:sz w:val="20"/>
          <w:szCs w:val="20"/>
          <w:color w:val="auto"/>
        </w:rPr>
      </w:pPr>
      <w:r>
        <w:rPr>
          <w:rFonts w:ascii="Arial" w:cs="Arial" w:eastAsia="Arial" w:hAnsi="Arial"/>
          <w:sz w:val="22"/>
          <w:szCs w:val="22"/>
          <w:color w:val="auto"/>
        </w:rPr>
        <w:t>contributions arising in respect of the granting, vesting, settlement of or other dealing in the Stock Units, or the acquisition of Shares on the settlement of the Stock Units, is transferred to and met by the Participant.</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lowerLetter"/>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lowerRoman"/>
      <w:start w:val="2"/>
    </w:lvl>
  </w:abstractNum>
  <w:abstractNum w:abstractNumId="4">
    <w:nsid w:val="5072367"/>
    <w:multiLevelType w:val="hybridMultilevel"/>
    <w:lvl w:ilvl="0">
      <w:lvlJc w:val="left"/>
      <w:lvlText w:val="(%1)"/>
      <w:numFmt w:val="decimal"/>
      <w:start w:val="2"/>
    </w:lvl>
  </w:abstractNum>
  <w:abstractNum w:abstractNumId="5">
    <w:nsid w:val="3804823E"/>
    <w:multiLevelType w:val="hybridMultilevel"/>
    <w:lvl w:ilvl="0">
      <w:lvlJc w:val="left"/>
      <w:lvlText w:val="(%1)"/>
      <w:numFmt w:val="lowerLetter"/>
      <w:start w:val="2"/>
    </w:lvl>
  </w:abstractNum>
  <w:abstractNum w:abstractNumId="6">
    <w:nsid w:val="77465F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
    <w:nsid w:val="7724C67E"/>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8">
    <w:nsid w:val="5C482A97"/>
    <w:multiLevelType w:val="hybridMultilevel"/>
    <w:lvl w:ilvl="0">
      <w:lvlJc w:val="left"/>
      <w:lvlText w:val="%1"/>
      <w:numFmt w:val="decimal"/>
      <w:start w:val="1"/>
    </w:lvl>
    <w:lvl w:ilvl="1">
      <w:lvlJc w:val="left"/>
      <w:lvlText w:val="(%2)"/>
      <w:numFmt w:val="lowerLetter"/>
      <w:start w:val="3"/>
    </w:lvl>
  </w:abstractNum>
  <w:abstractNum w:abstractNumId="9">
    <w:nsid w:val="2463B9EA"/>
    <w:multiLevelType w:val="hybridMultilevel"/>
    <w:lvl w:ilvl="0">
      <w:lvlJc w:val="left"/>
      <w:lvlText w:val="%1."/>
      <w:numFmt w:val="decimal"/>
      <w:start w:val="4"/>
    </w:lvl>
    <w:lvl w:ilvl="1">
      <w:lvlJc w:val="left"/>
      <w:lvlText w:val="(%2)"/>
      <w:numFmt w:val="lowerLetter"/>
      <w:start w:val="1"/>
    </w:lvl>
  </w:abstractNum>
  <w:abstractNum w:abstractNumId="10">
    <w:nsid w:val="5E884ADC"/>
    <w:multiLevelType w:val="hybridMultilevel"/>
    <w:lvl w:ilvl="0">
      <w:lvlJc w:val="left"/>
      <w:lvlText w:val="%1"/>
      <w:numFmt w:val="decimal"/>
      <w:start w:val="1"/>
    </w:lvl>
    <w:lvl w:ilvl="1">
      <w:lvlJc w:val="left"/>
      <w:lvlText w:val="(%2)"/>
      <w:numFmt w:val="lowerLetter"/>
      <w:start w:val="2"/>
    </w:lvl>
  </w:abstractNum>
  <w:abstractNum w:abstractNumId="11">
    <w:nsid w:val="51EAD36B"/>
    <w:multiLevelType w:val="hybridMultilevel"/>
    <w:lvl w:ilvl="0">
      <w:lvlJc w:val="left"/>
      <w:lvlText w:val="%1."/>
      <w:numFmt w:val="decimal"/>
      <w:start w:val="5"/>
    </w:lvl>
    <w:lvl w:ilvl="1">
      <w:lvlJc w:val="left"/>
      <w:lvlText w:val="(%2)"/>
      <w:numFmt w:val="lowerLetter"/>
      <w:start w:val="1"/>
    </w:lvl>
  </w:abstractNum>
  <w:abstractNum w:abstractNumId="12">
    <w:nsid w:val="2D517796"/>
    <w:multiLevelType w:val="hybridMultilevel"/>
    <w:lvl w:ilvl="0">
      <w:lvlJc w:val="left"/>
      <w:lvlText w:val="\ldblquote"/>
      <w:numFmt w:val="bullet"/>
      <w:start w:val="1"/>
    </w:lvl>
    <w:lvl w:ilvl="1">
      <w:lvlJc w:val="left"/>
      <w:lvlText w:val="%2."/>
      <w:numFmt w:val="decimal"/>
      <w:start w:val="6"/>
    </w:lvl>
    <w:lvl w:ilvl="2">
      <w:lvlJc w:val="left"/>
      <w:lvlText w:val="(%3)"/>
      <w:numFmt w:val="lowerLetter"/>
      <w:start w:val="1"/>
    </w:lvl>
  </w:abstractNum>
  <w:abstractNum w:abstractNumId="13">
    <w:nsid w:val="580BD78F"/>
    <w:multiLevelType w:val="hybridMultilevel"/>
    <w:lvl w:ilvl="0">
      <w:lvlJc w:val="left"/>
      <w:lvlText w:val="(%1)"/>
      <w:numFmt w:val="lowerLetter"/>
      <w:start w:val="2"/>
    </w:lvl>
    <w:lvl w:ilvl="1">
      <w:lvlJc w:val="left"/>
      <w:lvlText w:val="%2."/>
      <w:numFmt w:val="lowerRoman"/>
      <w:start w:val="1"/>
    </w:lvl>
  </w:abstractNum>
  <w:abstractNum w:abstractNumId="14">
    <w:nsid w:val="153EA438"/>
    <w:multiLevelType w:val="hybridMultilevel"/>
    <w:lvl w:ilvl="0">
      <w:lvlJc w:val="left"/>
      <w:lvlText w:val="%1"/>
      <w:numFmt w:val="decimal"/>
      <w:start w:val="1"/>
    </w:lvl>
    <w:lvl w:ilvl="1">
      <w:lvlJc w:val="left"/>
      <w:lvlText w:val="(%2)"/>
      <w:numFmt w:val="lowerLetter"/>
      <w:start w:val="3"/>
    </w:lvl>
  </w:abstractNum>
  <w:abstractNum w:abstractNumId="15">
    <w:nsid w:val="3855585C"/>
    <w:multiLevelType w:val="hybridMultilevel"/>
    <w:lvl w:ilvl="0">
      <w:lvlJc w:val="left"/>
      <w:lvlText w:val="%1."/>
      <w:numFmt w:val="decimal"/>
      <w:start w:val="8"/>
    </w:lvl>
    <w:lvl w:ilvl="1">
      <w:lvlJc w:val="left"/>
      <w:lvlText w:val="(%2)"/>
      <w:numFmt w:val="lowerLetter"/>
      <w:start w:val="1"/>
    </w:lvl>
  </w:abstractNum>
  <w:abstractNum w:abstractNumId="16">
    <w:nsid w:val="70A64E2A"/>
    <w:multiLevelType w:val="hybridMultilevel"/>
    <w:lvl w:ilvl="0">
      <w:lvlJc w:val="left"/>
      <w:lvlText w:val="(%1)"/>
      <w:numFmt w:val="lowerLetter"/>
      <w:start w:val="5"/>
    </w:lvl>
  </w:abstractNum>
  <w:abstractNum w:abstractNumId="17">
    <w:nsid w:val="6A2342EC"/>
    <w:multiLevelType w:val="hybridMultilevel"/>
    <w:lvl w:ilvl="0">
      <w:lvlJc w:val="left"/>
      <w:lvlText w:val="%1."/>
      <w:numFmt w:val="decimal"/>
      <w:start w:val="11"/>
    </w:lvl>
    <w:lvl w:ilvl="1">
      <w:lvlJc w:val="left"/>
      <w:lvlText w:val="(%2)"/>
      <w:numFmt w:val="lowerLetter"/>
      <w:start w:val="1"/>
    </w:lvl>
  </w:abstractNum>
  <w:abstractNum w:abstractNumId="18">
    <w:nsid w:val="2A487CB0"/>
    <w:multiLevelType w:val="hybridMultilevel"/>
    <w:lvl w:ilvl="0">
      <w:lvlJc w:val="left"/>
      <w:lvlText w:val="%1"/>
      <w:numFmt w:val="decimal"/>
      <w:start w:val="1"/>
    </w:lvl>
    <w:lvl w:ilvl="1">
      <w:lvlJc w:val="left"/>
      <w:lvlText w:val="(%2)"/>
      <w:numFmt w:val="lowerLetter"/>
      <w:start w:val="7"/>
    </w:lvl>
  </w:abstractNum>
  <w:abstractNum w:abstractNumId="19">
    <w:nsid w:val="1D4ED43B"/>
    <w:multiLevelType w:val="hybridMultilevel"/>
    <w:lvl w:ilvl="0">
      <w:lvlJc w:val="left"/>
      <w:lvlText w:val="%1."/>
      <w:numFmt w:val="decimal"/>
      <w:start w:val="12"/>
    </w:lvl>
    <w:lvl w:ilvl="1">
      <w:lvlJc w:val="left"/>
      <w:lvlText w:val="%2"/>
      <w:numFmt w:val="lowerLetter"/>
      <w:start w:val="1"/>
    </w:lvl>
  </w:abstractNum>
  <w:abstractNum w:abstractNumId="20">
    <w:nsid w:val="725A06FB"/>
    <w:multiLevelType w:val="hybridMultilevel"/>
    <w:lvl w:ilvl="0">
      <w:lvlJc w:val="left"/>
      <w:lvlText w:val="(%1)"/>
      <w:numFmt w:val="lowerLetter"/>
      <w:start w:val="2"/>
    </w:lvl>
    <w:lvl w:ilvl="1">
      <w:lvlJc w:val="left"/>
      <w:lvlText w:val="%2."/>
      <w:numFmt w:val="decimal"/>
      <w:start w:val="13"/>
    </w:lvl>
  </w:abstractNum>
  <w:abstractNum w:abstractNumId="21">
    <w:nsid w:val="2CD89A32"/>
    <w:multiLevelType w:val="hybridMultilevel"/>
    <w:lvl w:ilvl="0">
      <w:lvlJc w:val="left"/>
      <w:lvlText w:val="%1."/>
      <w:numFmt w:val="decimal"/>
      <w:start w:val="19"/>
    </w:lvl>
  </w:abstractNum>
  <w:abstractNum w:abstractNumId="22">
    <w:nsid w:val="57E4CCAF"/>
    <w:multiLevelType w:val="hybridMultilevel"/>
    <w:lvl w:ilvl="0">
      <w:lvlJc w:val="left"/>
      <w:lvlText w:val="%1."/>
      <w:numFmt w:val="decimal"/>
      <w:start w:val="23"/>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5">
    <w:nsid w:val="542289EC"/>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26">
    <w:nsid w:val="6DE91B18"/>
    <w:multiLevelType w:val="hybridMultilevel"/>
    <w:lvl w:ilvl="0">
      <w:lvlJc w:val="left"/>
      <w:lvlText w:val="(%1)"/>
      <w:numFmt w:val="lowerLetter"/>
      <w:start w:val="3"/>
    </w:lvl>
  </w:abstractNum>
  <w:abstractNum w:abstractNumId="27">
    <w:nsid w:val="38437FDB"/>
    <w:multiLevelType w:val="hybridMultilevel"/>
    <w:lvl w:ilvl="0">
      <w:lvlJc w:val="left"/>
      <w:lvlText w:val="%1."/>
      <w:numFmt w:val="decimal"/>
      <w:start w:val="4"/>
    </w:lvl>
    <w:lvl w:ilvl="1">
      <w:lvlJc w:val="left"/>
      <w:lvlText w:val="(%2)"/>
      <w:numFmt w:val="lowerLetter"/>
      <w:start w:val="1"/>
    </w:lvl>
  </w:abstractNum>
  <w:abstractNum w:abstractNumId="28">
    <w:nsid w:val="7644A45C"/>
    <w:multiLevelType w:val="hybridMultilevel"/>
    <w:lvl w:ilvl="0">
      <w:lvlJc w:val="left"/>
      <w:lvlText w:val="(%1)"/>
      <w:numFmt w:val="lowerLetter"/>
      <w:start w:val="5"/>
    </w:lvl>
  </w:abstractNum>
  <w:abstractNum w:abstractNumId="29">
    <w:nsid w:val="32FFF902"/>
    <w:multiLevelType w:val="hybridMultilevel"/>
    <w:lvl w:ilvl="0">
      <w:lvlJc w:val="left"/>
      <w:lvlText w:val="\ldblquote"/>
      <w:numFmt w:val="bullet"/>
      <w:start w:val="1"/>
    </w:lvl>
    <w:lvl w:ilvl="1">
      <w:lvlJc w:val="left"/>
      <w:lvlText w:val="%2."/>
      <w:numFmt w:val="decimal"/>
      <w:start w:val="6"/>
    </w:lvl>
    <w:lvl w:ilvl="2">
      <w:lvlJc w:val="left"/>
      <w:lvlText w:val="(%3)"/>
      <w:numFmt w:val="lowerLetter"/>
      <w:start w:val="1"/>
    </w:lvl>
  </w:abstractNum>
  <w:abstractNum w:abstractNumId="30">
    <w:nsid w:val="684A481A"/>
    <w:multiLevelType w:val="hybridMultilevel"/>
    <w:lvl w:ilvl="0">
      <w:lvlJc w:val="left"/>
      <w:lvlText w:val="(%1)"/>
      <w:numFmt w:val="lowerLetter"/>
      <w:start w:val="2"/>
    </w:lvl>
    <w:lvl w:ilvl="1">
      <w:lvlJc w:val="left"/>
      <w:lvlText w:val="%2."/>
      <w:numFmt w:val="lowerRoman"/>
      <w:start w:val="1"/>
    </w:lvl>
  </w:abstractNum>
  <w:abstractNum w:abstractNumId="31">
    <w:nsid w:val="579478FE"/>
    <w:multiLevelType w:val="hybridMultilevel"/>
    <w:lvl w:ilvl="0">
      <w:lvlJc w:val="left"/>
      <w:lvlText w:val="%1"/>
      <w:numFmt w:val="decimal"/>
      <w:start w:val="1"/>
    </w:lvl>
    <w:lvl w:ilvl="1">
      <w:lvlJc w:val="left"/>
      <w:lvlText w:val="(%2)"/>
      <w:numFmt w:val="lowerLetter"/>
      <w:start w:val="3"/>
    </w:lvl>
  </w:abstractNum>
  <w:abstractNum w:abstractNumId="32">
    <w:nsid w:val="749ABB43"/>
    <w:multiLevelType w:val="hybridMultilevel"/>
    <w:lvl w:ilvl="0">
      <w:lvlJc w:val="left"/>
      <w:lvlText w:val="%1."/>
      <w:numFmt w:val="decimal"/>
      <w:start w:val="8"/>
    </w:lvl>
    <w:lvl w:ilvl="1">
      <w:lvlJc w:val="left"/>
      <w:lvlText w:val="(%2)"/>
      <w:numFmt w:val="lowerLetter"/>
      <w:start w:val="1"/>
    </w:lvl>
  </w:abstractNum>
  <w:abstractNum w:abstractNumId="33">
    <w:nsid w:val="3DC240FB"/>
    <w:multiLevelType w:val="hybridMultilevel"/>
    <w:lvl w:ilvl="0">
      <w:lvlJc w:val="left"/>
      <w:lvlText w:val="(%1)"/>
      <w:numFmt w:val="lowerLetter"/>
      <w:start w:val="3"/>
    </w:lvl>
  </w:abstractNum>
  <w:abstractNum w:abstractNumId="34">
    <w:nsid w:val="1BA026FA"/>
    <w:multiLevelType w:val="hybridMultilevel"/>
    <w:lvl w:ilvl="0">
      <w:lvlJc w:val="left"/>
      <w:lvlText w:val="(%1)"/>
      <w:numFmt w:val="lowerLetter"/>
      <w:start w:val="4"/>
    </w:lvl>
  </w:abstractNum>
  <w:abstractNum w:abstractNumId="35">
    <w:nsid w:val="79A1DEAA"/>
    <w:multiLevelType w:val="hybridMultilevel"/>
    <w:lvl w:ilvl="0">
      <w:lvlJc w:val="left"/>
      <w:lvlText w:val="%1"/>
      <w:numFmt w:val="decimal"/>
      <w:start w:val="1"/>
    </w:lvl>
    <w:lvl w:ilvl="1">
      <w:lvlJc w:val="left"/>
      <w:lvlText w:val="(%2)"/>
      <w:numFmt w:val="lowerLetter"/>
      <w:start w:val="15"/>
    </w:lvl>
  </w:abstractNum>
  <w:abstractNum w:abstractNumId="36">
    <w:nsid w:val="75C6C33A"/>
    <w:multiLevelType w:val="hybridMultilevel"/>
    <w:lvl w:ilvl="0">
      <w:lvlJc w:val="left"/>
      <w:lvlText w:val="%1."/>
      <w:numFmt w:val="decimal"/>
      <w:start w:val="11"/>
    </w:lvl>
    <w:lvl w:ilvl="1">
      <w:lvlJc w:val="left"/>
      <w:lvlText w:val="(%2)"/>
      <w:numFmt w:val="lowerLetter"/>
      <w:start w:val="1"/>
    </w:lvl>
  </w:abstractNum>
  <w:abstractNum w:abstractNumId="37">
    <w:nsid w:val="12E685FB"/>
    <w:multiLevelType w:val="hybridMultilevel"/>
    <w:lvl w:ilvl="0">
      <w:lvlJc w:val="left"/>
      <w:lvlText w:val="(%1)"/>
      <w:numFmt w:val="lowerLetter"/>
      <w:start w:val="6"/>
    </w:lvl>
  </w:abstractNum>
  <w:abstractNum w:abstractNumId="38">
    <w:nsid w:val="70C6A529"/>
    <w:multiLevelType w:val="hybridMultilevel"/>
    <w:lvl w:ilvl="0">
      <w:lvlJc w:val="left"/>
      <w:lvlText w:val="%1."/>
      <w:numFmt w:val="decimal"/>
      <w:start w:val="12"/>
    </w:lvl>
  </w:abstractNum>
  <w:abstractNum w:abstractNumId="39">
    <w:nsid w:val="520EEDD1"/>
    <w:multiLevelType w:val="hybridMultilevel"/>
    <w:lvl w:ilvl="0">
      <w:lvlJc w:val="left"/>
      <w:lvlText w:val="%1"/>
      <w:numFmt w:val="decimal"/>
      <w:start w:val="1"/>
    </w:lvl>
    <w:lvl w:ilvl="1">
      <w:lvlJc w:val="left"/>
      <w:lvlText w:val="%2."/>
      <w:numFmt w:val="decimal"/>
      <w:start w:val="18"/>
    </w:lvl>
  </w:abstractNum>
  <w:abstractNum w:abstractNumId="40">
    <w:nsid w:val="374A3FE6"/>
    <w:multiLevelType w:val="hybridMultilevel"/>
    <w:lvl w:ilvl="0">
      <w:lvlJc w:val="left"/>
      <w:lvlText w:val="(%1)"/>
      <w:numFmt w:val="decimal"/>
      <w:start w:val="650"/>
    </w:lvl>
    <w:lvl w:ilvl="1">
      <w:lvlJc w:val="left"/>
      <w:lvlText w:val="%2."/>
      <w:numFmt w:val="decimal"/>
      <w:start w:val="19"/>
    </w:lvl>
  </w:abstractNum>
  <w:abstractNum w:abstractNumId="41">
    <w:nsid w:val="4F4EF005"/>
    <w:multiLevelType w:val="hybridMultilevel"/>
    <w:lvl w:ilvl="0">
      <w:lvlJc w:val="left"/>
      <w:lvlText w:val="%1."/>
      <w:numFmt w:val="decimal"/>
      <w:start w:val="23"/>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lowerLetter"/>
      <w:start w:val="1"/>
    </w:lvl>
    <w:lvl w:ilvl="1">
      <w:lvlJc w:val="left"/>
      <w:lvlText w:val="(%2)"/>
      <w:numFmt w:val="lowerRoman"/>
      <w:start w:val="1"/>
    </w:lvl>
  </w:abstractNum>
  <w:abstractNum w:abstractNumId="45">
    <w:nsid w:val="39386575"/>
    <w:multiLevelType w:val="hybridMultilevel"/>
    <w:lvl w:ilvl="0">
      <w:lvlJc w:val="left"/>
      <w:lvlText w:val="%1."/>
      <w:numFmt w:val="decimal"/>
      <w:start w:val="8"/>
    </w:lvl>
  </w:abstractNum>
  <w:abstractNum w:abstractNumId="46">
    <w:nsid w:val="1CF10FD8"/>
    <w:multiLevelType w:val="hybridMultilevel"/>
    <w:lvl w:ilvl="0">
      <w:lvlJc w:val="left"/>
      <w:lvlText w:val="%1."/>
      <w:numFmt w:val="decimal"/>
      <w:start w:val="11"/>
    </w:lvl>
    <w:lvl w:ilvl="1">
      <w:lvlJc w:val="left"/>
      <w:lvlText w:val="(%2)"/>
      <w:numFmt w:val="lowerLetter"/>
      <w:start w:val="1"/>
    </w:lvl>
  </w:abstractNum>
  <w:abstractNum w:abstractNumId="47">
    <w:nsid w:val="180115BE"/>
    <w:multiLevelType w:val="hybridMultilevel"/>
    <w:lvl w:ilvl="0">
      <w:lvlJc w:val="left"/>
      <w:lvlText w:val="%1"/>
      <w:numFmt w:val="decimal"/>
      <w:start w:val="1"/>
    </w:lvl>
    <w:lvl w:ilvl="1">
      <w:lvlJc w:val="left"/>
      <w:lvlText w:val="(%2)"/>
      <w:numFmt w:val="lowerLetter"/>
      <w:start w:val="12"/>
    </w:lvl>
  </w:abstractNum>
  <w:abstractNum w:abstractNumId="48">
    <w:nsid w:val="235BA861"/>
    <w:multiLevelType w:val="hybridMultilevel"/>
    <w:lvl w:ilvl="0">
      <w:lvlJc w:val="left"/>
      <w:lvlText w:val="%1."/>
      <w:numFmt w:val="decimal"/>
      <w:start w:val="12"/>
    </w:lvl>
    <w:lvl w:ilvl="1">
      <w:lvlJc w:val="left"/>
      <w:lvlText w:val="(%2)"/>
      <w:numFmt w:val="lowerLetter"/>
      <w:start w:val="1"/>
    </w:lvl>
  </w:abstractNum>
  <w:abstractNum w:abstractNumId="49">
    <w:nsid w:val="47398C89"/>
    <w:multiLevelType w:val="hybridMultilevel"/>
    <w:lvl w:ilvl="0">
      <w:lvlJc w:val="left"/>
      <w:lvlText w:val="(%1)"/>
      <w:numFmt w:val="lowerLetter"/>
      <w:start w:val="5"/>
    </w:lvl>
  </w:abstractNum>
  <w:abstractNum w:abstractNumId="50">
    <w:nsid w:val="354FE9F9"/>
    <w:multiLevelType w:val="hybridMultilevel"/>
    <w:lvl w:ilvl="0">
      <w:lvlJc w:val="left"/>
      <w:lvlText w:val="%1"/>
      <w:numFmt w:val="decimal"/>
      <w:start w:val="1"/>
    </w:lvl>
    <w:lvl w:ilvl="1">
      <w:lvlJc w:val="left"/>
      <w:lvlText w:val="(%2)"/>
      <w:numFmt w:val="lowerRoman"/>
      <w:start w:val="1"/>
    </w:lvl>
  </w:abstractNum>
  <w:abstractNum w:abstractNumId="51">
    <w:nsid w:val="15B5AF5C"/>
    <w:multiLevelType w:val="hybridMultilevel"/>
    <w:lvl w:ilvl="0">
      <w:lvlJc w:val="left"/>
      <w:lvlText w:val="%1."/>
      <w:numFmt w:val="decimal"/>
      <w:start w:val="13"/>
    </w:lvl>
    <w:lvl w:ilvl="1">
      <w:lvlJc w:val="left"/>
      <w:lvlText w:val="%2"/>
      <w:numFmt w:val="lowerRoman"/>
      <w:start w:val="1"/>
    </w:lvl>
  </w:abstractNum>
  <w:abstractNum w:abstractNumId="52">
    <w:nsid w:val="741226BB"/>
    <w:multiLevelType w:val="hybridMultilevel"/>
    <w:lvl w:ilvl="0">
      <w:lvlJc w:val="left"/>
      <w:lvlText w:val="%1."/>
      <w:numFmt w:val="decimal"/>
      <w:start w:val="17"/>
    </w:lvl>
  </w:abstractNum>
  <w:abstractNum w:abstractNumId="53">
    <w:nsid w:val="D34B6A8"/>
    <w:multiLevelType w:val="hybridMultilevel"/>
    <w:lvl w:ilvl="0">
      <w:lvlJc w:val="left"/>
      <w:lvlText w:val="%1."/>
      <w:numFmt w:val="decimal"/>
      <w:start w:val="2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1)"/>
      <w:numFmt w:val="lowerLetter"/>
      <w:start w:val="1"/>
    </w:lvl>
    <w:lvl w:ilvl="1">
      <w:lvlJc w:val="left"/>
      <w:lvlText w:val="(%2)"/>
      <w:numFmt w:val="lowerRoman"/>
      <w:start w:val="1"/>
    </w:lvl>
  </w:abstractNum>
  <w:abstractNum w:abstractNumId="57">
    <w:nsid w:val="7E0C57B1"/>
    <w:multiLevelType w:val="hybridMultilevel"/>
    <w:lvl w:ilvl="0">
      <w:lvlJc w:val="left"/>
      <w:lvlText w:val="%1."/>
      <w:numFmt w:val="decimal"/>
      <w:start w:val="8"/>
    </w:lvl>
  </w:abstractNum>
  <w:abstractNum w:abstractNumId="58">
    <w:nsid w:val="77AE35EB"/>
    <w:multiLevelType w:val="hybridMultilevel"/>
    <w:lvl w:ilvl="0">
      <w:lvlJc w:val="left"/>
      <w:lvlText w:val="%1."/>
      <w:numFmt w:val="decimal"/>
      <w:start w:val="11"/>
    </w:lvl>
    <w:lvl w:ilvl="1">
      <w:lvlJc w:val="left"/>
      <w:lvlText w:val="(%2)"/>
      <w:numFmt w:val="lowerLetter"/>
      <w:start w:val="1"/>
    </w:lvl>
  </w:abstractNum>
  <w:abstractNum w:abstractNumId="59">
    <w:nsid w:val="579BE4F1"/>
    <w:multiLevelType w:val="hybridMultilevel"/>
    <w:lvl w:ilvl="0">
      <w:lvlJc w:val="left"/>
      <w:lvlText w:val="%1"/>
      <w:numFmt w:val="decimal"/>
      <w:start w:val="1"/>
    </w:lvl>
    <w:lvl w:ilvl="1">
      <w:lvlJc w:val="left"/>
      <w:lvlText w:val="(%2)"/>
      <w:numFmt w:val="lowerLetter"/>
      <w:start w:val="10"/>
    </w:lvl>
  </w:abstractNum>
  <w:abstractNum w:abstractNumId="60">
    <w:nsid w:val="310C50B3"/>
    <w:multiLevelType w:val="hybridMultilevel"/>
    <w:lvl w:ilvl="0">
      <w:lvlJc w:val="left"/>
      <w:lvlText w:val="%1."/>
      <w:numFmt w:val="decimal"/>
      <w:start w:val="12"/>
    </w:lvl>
    <w:lvl w:ilvl="1">
      <w:lvlJc w:val="left"/>
      <w:lvlText w:val="(%2)"/>
      <w:numFmt w:val="lowerLetter"/>
      <w:start w:val="1"/>
    </w:lvl>
  </w:abstractNum>
  <w:abstractNum w:abstractNumId="61">
    <w:nsid w:val="5FF87E05"/>
    <w:multiLevelType w:val="hybridMultilevel"/>
    <w:lvl w:ilvl="0">
      <w:lvlJc w:val="left"/>
      <w:lvlText w:val="(%1)"/>
      <w:numFmt w:val="lowerLetter"/>
      <w:start w:val="4"/>
    </w:lvl>
  </w:abstractNum>
  <w:abstractNum w:abstractNumId="62">
    <w:nsid w:val="2F305DEF"/>
    <w:multiLevelType w:val="hybridMultilevel"/>
    <w:lvl w:ilvl="0">
      <w:lvlJc w:val="left"/>
      <w:lvlText w:val="%1"/>
      <w:numFmt w:val="decimal"/>
      <w:start w:val="1"/>
    </w:lvl>
    <w:lvl w:ilvl="1">
      <w:lvlJc w:val="left"/>
      <w:lvlText w:val="(%2)"/>
      <w:numFmt w:val="lowerRoman"/>
      <w:start w:val="1"/>
    </w:lvl>
  </w:abstractNum>
  <w:abstractNum w:abstractNumId="63">
    <w:nsid w:val="25A70BF7"/>
    <w:multiLevelType w:val="hybridMultilevel"/>
    <w:lvl w:ilvl="0">
      <w:lvlJc w:val="left"/>
      <w:lvlText w:val="%1."/>
      <w:numFmt w:val="decimal"/>
      <w:start w:val="13"/>
    </w:lvl>
    <w:lvl w:ilvl="1">
      <w:lvlJc w:val="left"/>
      <w:lvlText w:val="%2"/>
      <w:numFmt w:val="lowerRoman"/>
      <w:start w:val="1"/>
    </w:lvl>
  </w:abstractNum>
  <w:abstractNum w:abstractNumId="64">
    <w:nsid w:val="1DBABF00"/>
    <w:multiLevelType w:val="hybridMultilevel"/>
    <w:lvl w:ilvl="0">
      <w:lvlJc w:val="left"/>
      <w:lvlText w:val="%1."/>
      <w:numFmt w:val="decimal"/>
      <w:start w:val="16"/>
    </w:lvl>
  </w:abstractNum>
  <w:abstractNum w:abstractNumId="65">
    <w:nsid w:val="4AD084E9"/>
    <w:multiLevelType w:val="hybridMultilevel"/>
    <w:lvl w:ilvl="0">
      <w:lvlJc w:val="left"/>
      <w:lvlText w:val="%1."/>
      <w:numFmt w:val="decimal"/>
      <w:start w:val="2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9" Type="http://schemas.openxmlformats.org/officeDocument/2006/relationships/image" Target="media/image1.png"/><Relationship Id="rId20" Type="http://schemas.openxmlformats.org/officeDocument/2006/relationships/image" Target="media/image2.jpeg"/><Relationship Id="rId21" Type="http://schemas.openxmlformats.org/officeDocument/2006/relationships/image" Target="media/image3.png"/><Relationship Id="rId8" Type="http://schemas.openxmlformats.org/officeDocument/2006/relationships/hyperlink" Target="https://www.sec.gov/Archives/edgar/data/1384101/000138410123000016/vcyt-20221231.htm" TargetMode="External"/><Relationship Id="rId9" Type="http://schemas.openxmlformats.org/officeDocument/2006/relationships/hyperlink" Target="https://www.sec.gov/Archives/edgar/data/1384101/000110465913078343/a13-16266_158a12b.htm" TargetMode="External"/><Relationship Id="rId10" Type="http://schemas.openxmlformats.org/officeDocument/2006/relationships/hyperlink" Target="https://www.sec.gov/Archives/edgar/data/1384101/000138410121000012/vcyt-12312020xex42.htm" TargetMode="External"/><Relationship Id="rId11" Type="http://schemas.openxmlformats.org/officeDocument/2006/relationships/hyperlink" Target="https://www.sec.gov/Archives/edgar/data/1384101/000110465913082910/a13-23874_1ex3d1.htm" TargetMode="External"/><Relationship Id="rId12" Type="http://schemas.openxmlformats.org/officeDocument/2006/relationships/hyperlink" Target="https://www.sec.gov/Archives/edgar/data/1384101/000138410123000007/ex31veracyte-amendedandres.htm" TargetMode="External"/><Relationship Id="rId13" Type="http://schemas.openxmlformats.org/officeDocument/2006/relationships/hyperlink" Target="http://www.sec.gov/Archives/edgar/data/1384101/000104746913009631/a2216954zex-4_1.htm" TargetMode="External"/><Relationship Id="rId14" Type="http://schemas.openxmlformats.org/officeDocument/2006/relationships/hyperlink" Target="https://www.sec.gov/Archives/edgar/data/1384101/000104746913009208/a2216719zex-10_2.htm" TargetMode="External"/><Relationship Id="rId15" Type="http://schemas.openxmlformats.org/officeDocument/2006/relationships/hyperlink" Target="https://www.sec.gov/Archives/edgar/data/1384101/000138410121000034/vcyt-2013stockincentivepla.htm" TargetMode="External"/><Relationship Id="rId16" Type="http://schemas.openxmlformats.org/officeDocument/2006/relationships/hyperlink" Target="https://www.sec.gov/Archives/edgar/data/1384101/000143774920022261/ex_207290.htm" TargetMode="External"/><Relationship Id="rId17" Type="http://schemas.openxmlformats.org/officeDocument/2006/relationships/hyperlink" Target="https://www.sec.gov/Archives/edgar/data/1384101/000143774920022261/ex_207336.htm" TargetMode="External"/><Relationship Id="rId18" Type="http://schemas.openxmlformats.org/officeDocument/2006/relationships/hyperlink" Target="https://www.sec.gov/ix?doc=/Archives/edgar/data/1384101/000138410123000055/vcyt-202304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2023-06-08T16:06:04Z</dcterms:created>
  <dcterms:modified xsi:type="dcterms:W3CDTF">2023-06-08T16:06:04Z</dcterms:modified>
</cp:coreProperties>
</file>