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20"/>
                <w:szCs w:val="20"/>
                <w:color w:val="auto"/>
              </w:rPr>
            </w:pPr>
            <w:r>
              <w:rPr>
                <w:rFonts w:ascii="Arial" w:cs="Arial" w:eastAsia="Arial" w:hAnsi="Arial"/>
                <w:sz w:val="17"/>
                <w:szCs w:val="17"/>
                <w:color w:val="auto"/>
              </w:rPr>
              <w:t>SEC Form 3</w:t>
            </w:r>
          </w:p>
        </w:tc>
        <w:tc>
          <w:tcPr>
            <w:tcW w:w="6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40" w:type="dxa"/>
            <w:vAlign w:val="bottom"/>
          </w:tcPr>
          <w:p>
            <w:pPr>
              <w:ind w:left="780"/>
              <w:spacing w:after="0"/>
              <w:rPr>
                <w:sz w:val="20"/>
                <w:szCs w:val="20"/>
                <w:color w:val="auto"/>
              </w:rPr>
            </w:pPr>
            <w:r>
              <w:rPr>
                <w:rFonts w:ascii="Arial" w:cs="Arial" w:eastAsia="Arial" w:hAnsi="Arial"/>
                <w:sz w:val="19"/>
                <w:szCs w:val="19"/>
                <w:b w:val="1"/>
                <w:bCs w:val="1"/>
                <w:color w:val="auto"/>
              </w:rPr>
              <w:t>FORM 3</w:t>
            </w:r>
          </w:p>
        </w:tc>
        <w:tc>
          <w:tcPr>
            <w:tcW w:w="6980" w:type="dxa"/>
            <w:vAlign w:val="bottom"/>
          </w:tcPr>
          <w:p>
            <w:pPr>
              <w:jc w:val="center"/>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10" w:lineRule="exact"/>
              <w:rPr>
                <w:sz w:val="20"/>
                <w:szCs w:val="20"/>
                <w:color w:val="auto"/>
              </w:rPr>
            </w:pPr>
            <w:r>
              <w:rPr>
                <w:rFonts w:ascii="Arial" w:cs="Arial" w:eastAsia="Arial" w:hAnsi="Arial"/>
                <w:sz w:val="11"/>
                <w:szCs w:val="11"/>
                <w:color w:val="auto"/>
                <w:w w:val="96"/>
              </w:rPr>
              <w:t>Washington, D.C. 20549</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240" w:type="dxa"/>
            <w:vAlign w:val="bottom"/>
          </w:tcPr>
          <w:p>
            <w:pPr>
              <w:spacing w:after="0"/>
              <w:rPr>
                <w:sz w:val="6"/>
                <w:szCs w:val="6"/>
                <w:color w:val="auto"/>
              </w:rPr>
            </w:pPr>
          </w:p>
        </w:tc>
        <w:tc>
          <w:tcPr>
            <w:tcW w:w="6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0" w:type="dxa"/>
            <w:vAlign w:val="bottom"/>
            <w:vMerge w:val="restart"/>
          </w:tcPr>
          <w:p>
            <w:pPr>
              <w:ind w:left="500"/>
              <w:spacing w:after="0"/>
              <w:rPr>
                <w:sz w:val="20"/>
                <w:szCs w:val="20"/>
                <w:color w:val="auto"/>
              </w:rPr>
            </w:pPr>
            <w:r>
              <w:rPr>
                <w:rFonts w:ascii="Arial" w:cs="Arial" w:eastAsia="Arial" w:hAnsi="Arial"/>
                <w:sz w:val="14"/>
                <w:szCs w:val="14"/>
                <w:color w:val="auto"/>
                <w:w w:val="97"/>
              </w:rPr>
              <w:t>OMB APPROVAL</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bottom w:val="single" w:sz="8" w:color="808080"/>
            </w:tcBorders>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54" w:lineRule="exact"/>
              <w:rPr>
                <w:sz w:val="20"/>
                <w:szCs w:val="20"/>
                <w:color w:val="auto"/>
              </w:rPr>
            </w:pPr>
            <w:r>
              <w:rPr>
                <w:rFonts w:ascii="Arial" w:cs="Arial" w:eastAsia="Arial" w:hAnsi="Arial"/>
                <w:sz w:val="17"/>
                <w:szCs w:val="17"/>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4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w w:val="96"/>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vMerge w:val="restart"/>
          </w:tcPr>
          <w:p>
            <w:pPr>
              <w:jc w:val="center"/>
              <w:spacing w:after="0"/>
              <w:rPr>
                <w:sz w:val="20"/>
                <w:szCs w:val="20"/>
                <w:color w:val="auto"/>
              </w:rPr>
            </w:pPr>
            <w:r>
              <w:rPr>
                <w:rFonts w:ascii="Arial" w:cs="Arial" w:eastAsia="Arial" w:hAnsi="Arial"/>
                <w:sz w:val="11"/>
                <w:szCs w:val="11"/>
                <w:color w:val="auto"/>
                <w:w w:val="97"/>
              </w:rPr>
              <w:t>Filed pursuant to Section 16(a) of the Securities Exchange Act of 1934</w:t>
            </w: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52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6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7211060</wp:posOffset>
            </wp:positionH>
            <wp:positionV relativeFrom="paragraph">
              <wp:posOffset>-525145</wp:posOffset>
            </wp:positionV>
            <wp:extent cx="52705" cy="538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705" cy="538480"/>
                    </a:xfrm>
                    <a:prstGeom prst="rect">
                      <a:avLst/>
                    </a:prstGeom>
                    <a:noFill/>
                  </pic:spPr>
                </pic:pic>
              </a:graphicData>
            </a:graphic>
          </wp:anchor>
        </w:drawing>
        <w:drawing>
          <wp:anchor simplePos="0" relativeHeight="251657728" behindDoc="1" locked="0" layoutInCell="0" allowOverlap="1">
            <wp:simplePos x="0" y="0"/>
            <wp:positionH relativeFrom="column">
              <wp:posOffset>5842000</wp:posOffset>
            </wp:positionH>
            <wp:positionV relativeFrom="paragraph">
              <wp:posOffset>-525145</wp:posOffset>
            </wp:positionV>
            <wp:extent cx="52705" cy="538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05" cy="538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299960" cy="4015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4015105"/>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sectPr>
      </w:pPr>
    </w:p>
    <w:p>
      <w:pPr>
        <w:spacing w:after="0" w:line="34" w:lineRule="exact"/>
        <w:rPr>
          <w:sz w:val="24"/>
          <w:szCs w:val="24"/>
          <w:color w:val="auto"/>
        </w:rPr>
      </w:pPr>
    </w:p>
    <w:tbl>
      <w:tblPr>
        <w:tblLayout w:type="fixed"/>
        <w:tblInd w:w="80" w:type="dxa"/>
        <w:tblCellMar>
          <w:top w:w="0" w:type="dxa"/>
          <w:left w:w="0" w:type="dxa"/>
          <w:bottom w:w="0" w:type="dxa"/>
          <w:right w:w="0" w:type="dxa"/>
        </w:tblCellMar>
      </w:tblPr>
      <w:tr>
        <w:trPr>
          <w:trHeight w:val="195"/>
        </w:trPr>
        <w:tc>
          <w:tcPr>
            <w:tcW w:w="214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7"/>
                <w:szCs w:val="17"/>
                <w:color w:val="auto"/>
                <w:vertAlign w:val="superscript"/>
              </w:rPr>
              <w:t>*</w:t>
            </w:r>
          </w:p>
        </w:tc>
        <w:tc>
          <w:tcPr>
            <w:tcW w:w="11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40" w:type="dxa"/>
            <w:vAlign w:val="bottom"/>
            <w:vMerge w:val="restart"/>
          </w:tcPr>
          <w:p>
            <w:pPr>
              <w:spacing w:after="0"/>
              <w:rPr>
                <w:rFonts w:ascii="Arial" w:cs="Arial" w:eastAsia="Arial" w:hAnsi="Arial"/>
                <w:sz w:val="17"/>
                <w:szCs w:val="17"/>
                <w:color w:val="0000EE"/>
                <w:w w:val="96"/>
              </w:rPr>
            </w:pPr>
            <w:hyperlink r:id="rId11">
              <w:r>
                <w:rPr>
                  <w:rFonts w:ascii="Arial" w:cs="Arial" w:eastAsia="Arial" w:hAnsi="Arial"/>
                  <w:sz w:val="17"/>
                  <w:szCs w:val="17"/>
                  <w:color w:val="0000EE"/>
                  <w:w w:val="96"/>
                </w:rPr>
                <w:t>Ho Mark</w:t>
              </w:r>
            </w:hyperlink>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00" w:type="dxa"/>
            <w:vAlign w:val="bottom"/>
          </w:tcPr>
          <w:p>
            <w:pPr>
              <w:ind w:left="140"/>
              <w:spacing w:after="0" w:line="101" w:lineRule="exact"/>
              <w:rPr>
                <w:sz w:val="20"/>
                <w:szCs w:val="20"/>
                <w:color w:val="auto"/>
              </w:rPr>
            </w:pPr>
            <w:r>
              <w:rPr>
                <w:rFonts w:ascii="Arial" w:cs="Arial" w:eastAsia="Arial" w:hAnsi="Arial"/>
                <w:sz w:val="11"/>
                <w:szCs w:val="11"/>
                <w:color w:val="auto"/>
                <w:w w:val="95"/>
              </w:rPr>
              <w:t>Statement (Month/Day/Year)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bottom w:val="single" w:sz="8" w:color="0000EE"/>
            </w:tcBorders>
            <w:vMerge w:val="continue"/>
          </w:tcPr>
          <w:p>
            <w:pPr>
              <w:spacing w:after="0"/>
              <w:rPr>
                <w:sz w:val="10"/>
                <w:szCs w:val="10"/>
                <w:color w:val="auto"/>
              </w:rPr>
            </w:pPr>
          </w:p>
        </w:tc>
        <w:tc>
          <w:tcPr>
            <w:tcW w:w="30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2640" w:type="dxa"/>
            <w:vAlign w:val="bottom"/>
            <w:gridSpan w:val="2"/>
            <w:vMerge w:val="restart"/>
          </w:tcPr>
          <w:p>
            <w:pPr>
              <w:ind w:left="1280"/>
              <w:spacing w:after="0"/>
              <w:rPr>
                <w:sz w:val="20"/>
                <w:szCs w:val="20"/>
                <w:color w:val="auto"/>
              </w:rPr>
            </w:pPr>
            <w:r>
              <w:rPr>
                <w:rFonts w:ascii="Arial" w:cs="Arial" w:eastAsia="Arial" w:hAnsi="Arial"/>
                <w:sz w:val="14"/>
                <w:szCs w:val="14"/>
                <w:color w:val="0000FF"/>
              </w:rPr>
              <w:t>06/24/2019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2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Arial" w:cs="Arial" w:eastAsia="Arial" w:hAnsi="Arial"/>
                <w:sz w:val="11"/>
                <w:szCs w:val="11"/>
                <w:color w:val="auto"/>
              </w:rPr>
              <w:t>(Last)</w:t>
            </w:r>
          </w:p>
        </w:tc>
        <w:tc>
          <w:tcPr>
            <w:tcW w:w="1180" w:type="dxa"/>
            <w:vAlign w:val="bottom"/>
          </w:tcPr>
          <w:p>
            <w:pPr>
              <w:ind w:left="160"/>
              <w:spacing w:after="0"/>
              <w:rPr>
                <w:sz w:val="20"/>
                <w:szCs w:val="20"/>
                <w:color w:val="auto"/>
              </w:rPr>
            </w:pPr>
            <w:r>
              <w:rPr>
                <w:rFonts w:ascii="Arial" w:cs="Arial" w:eastAsia="Arial" w:hAnsi="Arial"/>
                <w:sz w:val="11"/>
                <w:szCs w:val="11"/>
                <w:color w:val="auto"/>
              </w:rPr>
              <w:t>(First)</w:t>
            </w:r>
          </w:p>
        </w:tc>
        <w:tc>
          <w:tcPr>
            <w:tcW w:w="2640" w:type="dxa"/>
            <w:vAlign w:val="bottom"/>
            <w:gridSpan w:val="2"/>
          </w:tcPr>
          <w:p>
            <w:pPr>
              <w:ind w:left="80"/>
              <w:spacing w:after="0"/>
              <w:rPr>
                <w:sz w:val="20"/>
                <w:szCs w:val="20"/>
                <w:color w:val="auto"/>
              </w:rPr>
            </w:pPr>
            <w:r>
              <w:rPr>
                <w:rFonts w:ascii="Arial" w:cs="Arial" w:eastAsia="Arial" w:hAnsi="Arial"/>
                <w:sz w:val="11"/>
                <w:szCs w:val="11"/>
                <w:color w:val="auto"/>
              </w:rPr>
              <w:t>(Middle)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0000FF"/>
              </w:rPr>
              <w:t>6000 SHORELINE COURT</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0000FF"/>
              </w:rPr>
              <w:t>SUITE 300</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960" w:type="dxa"/>
            <w:vAlign w:val="bottom"/>
            <w:gridSpan w:val="3"/>
          </w:tcPr>
          <w:p>
            <w:pPr>
              <w:spacing w:after="0"/>
              <w:rPr>
                <w:sz w:val="20"/>
                <w:szCs w:val="20"/>
                <w:color w:val="auto"/>
              </w:rPr>
            </w:pPr>
            <w:r>
              <w:rPr>
                <w:rFonts w:ascii="Arial" w:cs="Arial" w:eastAsia="Arial" w:hAnsi="Arial"/>
                <w:sz w:val="11"/>
                <w:szCs w:val="11"/>
                <w:color w:val="auto"/>
              </w:rPr>
              <w:t>(Street)</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0000FF"/>
              </w:rPr>
              <w:t>SOUTH SAN</w:t>
            </w:r>
          </w:p>
        </w:tc>
        <w:tc>
          <w:tcPr>
            <w:tcW w:w="1180" w:type="dxa"/>
            <w:vAlign w:val="bottom"/>
            <w:vMerge w:val="restart"/>
          </w:tcPr>
          <w:p>
            <w:pPr>
              <w:ind w:left="160"/>
              <w:spacing w:after="0"/>
              <w:rPr>
                <w:sz w:val="20"/>
                <w:szCs w:val="20"/>
                <w:color w:val="auto"/>
              </w:rPr>
            </w:pPr>
            <w:r>
              <w:rPr>
                <w:rFonts w:ascii="Arial" w:cs="Arial" w:eastAsia="Arial" w:hAnsi="Arial"/>
                <w:sz w:val="14"/>
                <w:szCs w:val="14"/>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4"/>
                <w:szCs w:val="14"/>
                <w:color w:val="0000FF"/>
              </w:rPr>
              <w:t>94080</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color w:val="0000FF"/>
              </w:rPr>
              <w:t>FRANCISCO</w:t>
            </w:r>
          </w:p>
        </w:tc>
        <w:tc>
          <w:tcPr>
            <w:tcW w:w="11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2"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VERACYTE, INC.</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VCYT</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360" w:type="dxa"/>
            <w:vAlign w:val="bottom"/>
            <w:gridSpan w:val="3"/>
          </w:tcPr>
          <w:p>
            <w:pPr>
              <w:spacing w:after="0"/>
              <w:rPr>
                <w:sz w:val="20"/>
                <w:szCs w:val="20"/>
                <w:color w:val="auto"/>
              </w:rPr>
            </w:pPr>
            <w:r>
              <w:rPr>
                <w:rFonts w:ascii="Arial" w:cs="Arial" w:eastAsia="Arial" w:hAnsi="Arial"/>
                <w:sz w:val="11"/>
                <w:szCs w:val="11"/>
                <w:color w:val="auto"/>
              </w:rPr>
              <w:t>4. Relationship of Reporting Person(s) to Issuer</w:t>
            </w:r>
          </w:p>
        </w:tc>
        <w:tc>
          <w:tcPr>
            <w:tcW w:w="160" w:type="dxa"/>
            <w:vAlign w:val="bottom"/>
          </w:tcPr>
          <w:p>
            <w:pPr>
              <w:jc w:val="right"/>
              <w:spacing w:after="0"/>
              <w:rPr>
                <w:sz w:val="20"/>
                <w:szCs w:val="20"/>
                <w:color w:val="auto"/>
              </w:rPr>
            </w:pPr>
            <w:r>
              <w:rPr>
                <w:rFonts w:ascii="Arial" w:cs="Arial" w:eastAsia="Arial" w:hAnsi="Arial"/>
                <w:sz w:val="11"/>
                <w:szCs w:val="11"/>
                <w:color w:val="auto"/>
              </w:rPr>
              <w:t>5.</w:t>
            </w:r>
          </w:p>
        </w:tc>
        <w:tc>
          <w:tcPr>
            <w:tcW w:w="272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0" w:type="dxa"/>
            <w:vAlign w:val="bottom"/>
          </w:tcPr>
          <w:p>
            <w:pPr>
              <w:spacing w:after="0"/>
              <w:rPr>
                <w:sz w:val="1"/>
                <w:szCs w:val="1"/>
                <w:color w:val="auto"/>
              </w:rPr>
            </w:pPr>
          </w:p>
        </w:tc>
      </w:tr>
      <w:tr>
        <w:trPr>
          <w:trHeight w:val="130"/>
        </w:trPr>
        <w:tc>
          <w:tcPr>
            <w:tcW w:w="1580" w:type="dxa"/>
            <w:vAlign w:val="bottom"/>
          </w:tcPr>
          <w:p>
            <w:pPr>
              <w:spacing w:after="0"/>
              <w:rPr>
                <w:sz w:val="20"/>
                <w:szCs w:val="20"/>
                <w:color w:val="auto"/>
              </w:rPr>
            </w:pPr>
            <w:r>
              <w:rPr>
                <w:rFonts w:ascii="Arial" w:cs="Arial" w:eastAsia="Arial" w:hAnsi="Arial"/>
                <w:sz w:val="11"/>
                <w:szCs w:val="11"/>
                <w:color w:val="auto"/>
              </w:rPr>
              <w:t>(Check all applicable)</w:t>
            </w: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80" w:type="dxa"/>
            <w:vAlign w:val="bottom"/>
          </w:tcPr>
          <w:p>
            <w:pPr>
              <w:ind w:left="540"/>
              <w:spacing w:after="0"/>
              <w:rPr>
                <w:sz w:val="20"/>
                <w:szCs w:val="20"/>
                <w:color w:val="auto"/>
              </w:rPr>
            </w:pPr>
            <w:r>
              <w:rPr>
                <w:rFonts w:ascii="Arial" w:cs="Arial" w:eastAsia="Arial" w:hAnsi="Arial"/>
                <w:sz w:val="11"/>
                <w:szCs w:val="11"/>
                <w:color w:val="auto"/>
              </w:rPr>
              <w:t>Director</w:t>
            </w:r>
          </w:p>
        </w:tc>
        <w:tc>
          <w:tcPr>
            <w:tcW w:w="480" w:type="dxa"/>
            <w:vAlign w:val="bottom"/>
          </w:tcPr>
          <w:p>
            <w:pPr>
              <w:spacing w:after="0"/>
              <w:rPr>
                <w:sz w:val="12"/>
                <w:szCs w:val="12"/>
                <w:color w:val="auto"/>
              </w:rPr>
            </w:pPr>
          </w:p>
        </w:tc>
        <w:tc>
          <w:tcPr>
            <w:tcW w:w="1300" w:type="dxa"/>
            <w:vAlign w:val="bottom"/>
          </w:tcPr>
          <w:p>
            <w:pPr>
              <w:ind w:left="120"/>
              <w:spacing w:after="0"/>
              <w:rPr>
                <w:sz w:val="20"/>
                <w:szCs w:val="20"/>
                <w:color w:val="auto"/>
              </w:rPr>
            </w:pPr>
            <w:r>
              <w:rPr>
                <w:rFonts w:ascii="Arial" w:cs="Arial" w:eastAsia="Arial" w:hAnsi="Arial"/>
                <w:sz w:val="11"/>
                <w:szCs w:val="11"/>
                <w:color w:val="auto"/>
              </w:rPr>
              <w:t>10% Owner</w:t>
            </w:r>
          </w:p>
        </w:tc>
        <w:tc>
          <w:tcPr>
            <w:tcW w:w="1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80" w:type="dxa"/>
            <w:vAlign w:val="bottom"/>
          </w:tcPr>
          <w:p>
            <w:pPr>
              <w:ind w:left="540"/>
              <w:spacing w:after="0"/>
              <w:rPr>
                <w:sz w:val="20"/>
                <w:szCs w:val="20"/>
                <w:color w:val="auto"/>
              </w:rPr>
            </w:pPr>
            <w:r>
              <w:rPr>
                <w:rFonts w:ascii="Arial" w:cs="Arial" w:eastAsia="Arial" w:hAnsi="Arial"/>
                <w:sz w:val="11"/>
                <w:szCs w:val="11"/>
                <w:color w:val="auto"/>
              </w:rPr>
              <w:t>Officer (give title</w:t>
            </w:r>
          </w:p>
        </w:tc>
        <w:tc>
          <w:tcPr>
            <w:tcW w:w="480" w:type="dxa"/>
            <w:vAlign w:val="bottom"/>
            <w:vMerge w:val="restart"/>
          </w:tcPr>
          <w:p>
            <w:pPr>
              <w:ind w:left="280"/>
              <w:spacing w:after="0"/>
              <w:rPr>
                <w:sz w:val="20"/>
                <w:szCs w:val="20"/>
                <w:color w:val="auto"/>
              </w:rPr>
            </w:pPr>
            <w:r>
              <w:rPr>
                <w:rFonts w:ascii="Arial" w:cs="Arial" w:eastAsia="Arial" w:hAnsi="Arial"/>
                <w:sz w:val="14"/>
                <w:szCs w:val="14"/>
                <w:color w:val="0000FF"/>
              </w:rPr>
              <w:t>X</w:t>
            </w:r>
          </w:p>
        </w:tc>
        <w:tc>
          <w:tcPr>
            <w:tcW w:w="1300" w:type="dxa"/>
            <w:vAlign w:val="bottom"/>
            <w:vMerge w:val="restart"/>
          </w:tcPr>
          <w:p>
            <w:pPr>
              <w:ind w:left="120"/>
              <w:spacing w:after="0"/>
              <w:rPr>
                <w:sz w:val="20"/>
                <w:szCs w:val="20"/>
                <w:color w:val="auto"/>
              </w:rPr>
            </w:pPr>
            <w:r>
              <w:rPr>
                <w:rFonts w:ascii="Arial" w:cs="Arial" w:eastAsia="Arial" w:hAnsi="Arial"/>
                <w:sz w:val="11"/>
                <w:szCs w:val="11"/>
                <w:color w:val="auto"/>
              </w:rPr>
              <w:t>Other (specify below)</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6.</w:t>
            </w:r>
          </w:p>
        </w:tc>
        <w:tc>
          <w:tcPr>
            <w:tcW w:w="2720" w:type="dxa"/>
            <w:vAlign w:val="bottom"/>
            <w:gridSpan w:val="2"/>
            <w:vMerge w:val="restart"/>
          </w:tcPr>
          <w:p>
            <w:pPr>
              <w:ind w:left="20"/>
              <w:spacing w:after="0"/>
              <w:rPr>
                <w:sz w:val="20"/>
                <w:szCs w:val="20"/>
                <w:color w:val="auto"/>
              </w:rPr>
            </w:pPr>
            <w:r>
              <w:rPr>
                <w:rFonts w:ascii="Arial" w:cs="Arial" w:eastAsia="Arial" w:hAnsi="Arial"/>
                <w:sz w:val="11"/>
                <w:szCs w:val="11"/>
                <w:color w:val="auto"/>
              </w:rPr>
              <w:t>Individual or Joint/Group Filing (Check Applicable Line)</w:t>
            </w:r>
          </w:p>
        </w:tc>
        <w:tc>
          <w:tcPr>
            <w:tcW w:w="0" w:type="dxa"/>
            <w:vAlign w:val="bottom"/>
          </w:tcPr>
          <w:p>
            <w:pPr>
              <w:spacing w:after="0"/>
              <w:rPr>
                <w:sz w:val="1"/>
                <w:szCs w:val="1"/>
                <w:color w:val="auto"/>
              </w:rPr>
            </w:pPr>
          </w:p>
        </w:tc>
      </w:tr>
      <w:tr>
        <w:trPr>
          <w:trHeight w:val="47"/>
        </w:trPr>
        <w:tc>
          <w:tcPr>
            <w:tcW w:w="1580" w:type="dxa"/>
            <w:vAlign w:val="bottom"/>
            <w:vMerge w:val="restart"/>
          </w:tcPr>
          <w:p>
            <w:pPr>
              <w:ind w:left="540"/>
              <w:spacing w:after="0"/>
              <w:rPr>
                <w:sz w:val="20"/>
                <w:szCs w:val="20"/>
                <w:color w:val="auto"/>
              </w:rPr>
            </w:pPr>
            <w:r>
              <w:rPr>
                <w:rFonts w:ascii="Arial" w:cs="Arial" w:eastAsia="Arial" w:hAnsi="Arial"/>
                <w:sz w:val="11"/>
                <w:szCs w:val="11"/>
                <w:color w:val="auto"/>
              </w:rPr>
              <w:t>below)</w:t>
            </w:r>
          </w:p>
        </w:tc>
        <w:tc>
          <w:tcPr>
            <w:tcW w:w="4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5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restart"/>
          </w:tcPr>
          <w:p>
            <w:pPr>
              <w:ind w:left="80"/>
              <w:spacing w:after="0" w:line="120" w:lineRule="exact"/>
              <w:rPr>
                <w:sz w:val="20"/>
                <w:szCs w:val="20"/>
                <w:color w:val="auto"/>
              </w:rPr>
            </w:pPr>
            <w:r>
              <w:rPr>
                <w:rFonts w:ascii="Arial" w:cs="Arial" w:eastAsia="Arial" w:hAnsi="Arial"/>
                <w:sz w:val="13"/>
                <w:szCs w:val="13"/>
                <w:color w:val="0000FF"/>
              </w:rPr>
              <w:t>X</w:t>
            </w:r>
          </w:p>
        </w:tc>
        <w:tc>
          <w:tcPr>
            <w:tcW w:w="2460" w:type="dxa"/>
            <w:vAlign w:val="bottom"/>
            <w:vMerge w:val="restart"/>
          </w:tcPr>
          <w:p>
            <w:pPr>
              <w:ind w:left="100"/>
              <w:spacing w:after="0" w:line="120" w:lineRule="exact"/>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37"/>
        </w:trPr>
        <w:tc>
          <w:tcPr>
            <w:tcW w:w="1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840"/>
        <w:spacing w:after="0" w:line="194" w:lineRule="auto"/>
        <w:rPr>
          <w:sz w:val="20"/>
          <w:szCs w:val="20"/>
          <w:color w:val="auto"/>
        </w:rPr>
      </w:pPr>
      <w:r>
        <w:rPr>
          <w:rFonts w:ascii="Arial" w:cs="Arial" w:eastAsia="Arial" w:hAnsi="Arial"/>
          <w:sz w:val="11"/>
          <w:szCs w:val="11"/>
          <w:color w:val="0000FF"/>
        </w:rPr>
        <w:t>Principal Accounting Officer</w:t>
      </w:r>
    </w:p>
    <w:p>
      <w:pPr>
        <w:ind w:left="3880"/>
        <w:spacing w:after="0"/>
        <w:rPr>
          <w:sz w:val="20"/>
          <w:szCs w:val="20"/>
          <w:color w:val="auto"/>
        </w:rPr>
      </w:pPr>
      <w:r>
        <w:rPr>
          <w:rFonts w:ascii="Arial" w:cs="Arial" w:eastAsia="Arial" w:hAnsi="Arial"/>
          <w:sz w:val="11"/>
          <w:szCs w:val="11"/>
          <w:color w:val="auto"/>
        </w:rPr>
        <w:t>Form filed by More than One Reporting Person</w:t>
      </w:r>
    </w:p>
    <w:p>
      <w:pPr>
        <w:spacing w:after="0" w:line="471" w:lineRule="exact"/>
        <w:rPr>
          <w:sz w:val="24"/>
          <w:szCs w:val="24"/>
          <w:color w:val="auto"/>
        </w:rPr>
      </w:pPr>
    </w:p>
    <w:p>
      <w:pPr>
        <w:sectPr>
          <w:pgSz w:w="11900" w:h="16838" w:orient="portrait"/>
          <w:cols w:equalWidth="0" w:num="2">
            <w:col w:w="4860" w:space="360"/>
            <w:col w:w="6240"/>
          </w:cols>
          <w:pgMar w:left="220" w:top="209" w:right="219" w:bottom="1440" w:gutter="0" w:footer="0" w:header="0"/>
          <w:type w:val="continuous"/>
        </w:sectPr>
      </w:pPr>
    </w:p>
    <w:p>
      <w:pPr>
        <w:spacing w:after="0" w:line="59" w:lineRule="exact"/>
        <w:rPr>
          <w:sz w:val="24"/>
          <w:szCs w:val="24"/>
          <w:color w:val="auto"/>
        </w:rPr>
      </w:pPr>
    </w:p>
    <w:p>
      <w:pPr>
        <w:ind w:left="100"/>
        <w:spacing w:after="0"/>
        <w:tabs>
          <w:tab w:leader="none" w:pos="1180" w:val="left"/>
          <w:tab w:leader="none" w:pos="228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326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3820" w:type="dxa"/>
            <w:vAlign w:val="bottom"/>
          </w:tcPr>
          <w:p>
            <w:pPr>
              <w:ind w:left="1820"/>
              <w:spacing w:after="0"/>
              <w:rPr>
                <w:sz w:val="20"/>
                <w:szCs w:val="20"/>
                <w:color w:val="auto"/>
              </w:rPr>
            </w:pPr>
            <w:r>
              <w:rPr>
                <w:rFonts w:ascii="Arial" w:cs="Arial" w:eastAsia="Arial" w:hAnsi="Arial"/>
                <w:sz w:val="11"/>
                <w:szCs w:val="11"/>
                <w:b w:val="1"/>
                <w:bCs w:val="1"/>
                <w:color w:val="auto"/>
              </w:rPr>
              <w:t>2. Amount of Securities Beneficially</w:t>
            </w: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3. Ownership Form:</w:t>
            </w:r>
          </w:p>
        </w:tc>
        <w:tc>
          <w:tcPr>
            <w:tcW w:w="3020" w:type="dxa"/>
            <w:vAlign w:val="bottom"/>
          </w:tcPr>
          <w:p>
            <w:pPr>
              <w:ind w:left="100"/>
              <w:spacing w:after="0"/>
              <w:rPr>
                <w:sz w:val="20"/>
                <w:szCs w:val="20"/>
                <w:color w:val="auto"/>
              </w:rPr>
            </w:pPr>
            <w:r>
              <w:rPr>
                <w:rFonts w:ascii="Arial" w:cs="Arial" w:eastAsia="Arial" w:hAnsi="Arial"/>
                <w:sz w:val="11"/>
                <w:szCs w:val="11"/>
                <w:b w:val="1"/>
                <w:bCs w:val="1"/>
                <w:color w:val="auto"/>
              </w:rPr>
              <w:t>4. Nature of Indirect Beneficial Ownership (Instr. 5)</w:t>
            </w:r>
          </w:p>
        </w:tc>
      </w:tr>
      <w:tr>
        <w:trPr>
          <w:trHeight w:val="119"/>
        </w:trPr>
        <w:tc>
          <w:tcPr>
            <w:tcW w:w="3260" w:type="dxa"/>
            <w:vAlign w:val="bottom"/>
          </w:tcPr>
          <w:p>
            <w:pPr>
              <w:spacing w:after="0"/>
              <w:rPr>
                <w:sz w:val="10"/>
                <w:szCs w:val="10"/>
                <w:color w:val="auto"/>
              </w:rPr>
            </w:pPr>
          </w:p>
        </w:tc>
        <w:tc>
          <w:tcPr>
            <w:tcW w:w="3820" w:type="dxa"/>
            <w:vAlign w:val="bottom"/>
          </w:tcPr>
          <w:p>
            <w:pPr>
              <w:ind w:left="1820"/>
              <w:spacing w:after="0" w:line="119" w:lineRule="exact"/>
              <w:rPr>
                <w:sz w:val="20"/>
                <w:szCs w:val="20"/>
                <w:color w:val="auto"/>
              </w:rPr>
            </w:pPr>
            <w:r>
              <w:rPr>
                <w:rFonts w:ascii="Arial" w:cs="Arial" w:eastAsia="Arial" w:hAnsi="Arial"/>
                <w:sz w:val="11"/>
                <w:szCs w:val="11"/>
                <w:b w:val="1"/>
                <w:bCs w:val="1"/>
                <w:color w:val="auto"/>
              </w:rPr>
              <w:t>Owned (Instr. 4)</w:t>
            </w:r>
          </w:p>
        </w:tc>
        <w:tc>
          <w:tcPr>
            <w:tcW w:w="134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Direct (D) or Indirect</w:t>
            </w:r>
          </w:p>
        </w:tc>
        <w:tc>
          <w:tcPr>
            <w:tcW w:w="3020" w:type="dxa"/>
            <w:vAlign w:val="bottom"/>
          </w:tcPr>
          <w:p>
            <w:pPr>
              <w:spacing w:after="0"/>
              <w:rPr>
                <w:sz w:val="10"/>
                <w:szCs w:val="10"/>
                <w:color w:val="auto"/>
              </w:rPr>
            </w:pPr>
          </w:p>
        </w:tc>
      </w:tr>
      <w:tr>
        <w:trPr>
          <w:trHeight w:val="142"/>
        </w:trPr>
        <w:tc>
          <w:tcPr>
            <w:tcW w:w="32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(I) (Instr. 5)</w:t>
            </w:r>
          </w:p>
        </w:tc>
        <w:tc>
          <w:tcPr>
            <w:tcW w:w="3020" w:type="dxa"/>
            <w:vAlign w:val="bottom"/>
          </w:tcPr>
          <w:p>
            <w:pPr>
              <w:spacing w:after="0"/>
              <w:rPr>
                <w:sz w:val="12"/>
                <w:szCs w:val="12"/>
                <w:color w:val="auto"/>
              </w:rPr>
            </w:pPr>
          </w:p>
        </w:tc>
      </w:tr>
      <w:tr>
        <w:trPr>
          <w:trHeight w:val="34"/>
        </w:trPr>
        <w:tc>
          <w:tcPr>
            <w:tcW w:w="3260" w:type="dxa"/>
            <w:vAlign w:val="bottom"/>
            <w:tcBorders>
              <w:bottom w:val="single" w:sz="8" w:color="2C2C2C"/>
            </w:tcBorders>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r>
    </w:tbl>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Common Stock</w:t>
            </w:r>
          </w:p>
        </w:tc>
        <w:tc>
          <w:tcPr>
            <w:tcW w:w="9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ind w:left="720"/>
              <w:spacing w:after="0"/>
              <w:rPr>
                <w:sz w:val="20"/>
                <w:szCs w:val="20"/>
                <w:color w:val="auto"/>
              </w:rPr>
            </w:pPr>
            <w:r>
              <w:rPr>
                <w:rFonts w:ascii="Arial" w:cs="Arial" w:eastAsia="Arial" w:hAnsi="Arial"/>
                <w:sz w:val="14"/>
                <w:szCs w:val="14"/>
                <w:color w:val="0000FF"/>
              </w:rPr>
              <w:t>21,187</w:t>
            </w:r>
            <w:r>
              <w:rPr>
                <w:rFonts w:ascii="Arial" w:cs="Arial" w:eastAsia="Arial" w:hAnsi="Arial"/>
                <w:sz w:val="17"/>
                <w:szCs w:val="17"/>
                <w:color w:val="008000"/>
                <w:vertAlign w:val="superscript"/>
              </w:rPr>
              <w:t>(1)</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4"/>
                <w:szCs w:val="14"/>
                <w:color w:val="0000FF"/>
              </w:rPr>
              <w:t>D</w:t>
            </w:r>
          </w:p>
        </w:tc>
        <w:tc>
          <w:tcPr>
            <w:tcW w:w="7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808080"/>
            </w:tcBorders>
          </w:tcPr>
          <w:p>
            <w:pPr>
              <w:spacing w:after="0"/>
              <w:rPr>
                <w:sz w:val="15"/>
                <w:szCs w:val="15"/>
                <w:color w:val="auto"/>
              </w:rPr>
            </w:pPr>
          </w:p>
        </w:tc>
        <w:tc>
          <w:tcPr>
            <w:tcW w:w="2880" w:type="dxa"/>
            <w:vAlign w:val="bottom"/>
            <w:tcBorders>
              <w:top w:val="single" w:sz="8" w:color="2C2C2C"/>
            </w:tcBorders>
          </w:tcPr>
          <w:p>
            <w:pPr>
              <w:spacing w:after="0"/>
              <w:rPr>
                <w:sz w:val="15"/>
                <w:szCs w:val="15"/>
                <w:color w:val="auto"/>
              </w:rPr>
            </w:pPr>
          </w:p>
        </w:tc>
        <w:tc>
          <w:tcPr>
            <w:tcW w:w="940" w:type="dxa"/>
            <w:vAlign w:val="bottom"/>
            <w:tcBorders>
              <w:top w:val="single" w:sz="8" w:color="2C2C2C"/>
            </w:tcBorders>
          </w:tcPr>
          <w:p>
            <w:pPr>
              <w:spacing w:after="0"/>
              <w:rPr>
                <w:sz w:val="15"/>
                <w:szCs w:val="15"/>
                <w:color w:val="auto"/>
              </w:rPr>
            </w:pPr>
          </w:p>
        </w:tc>
        <w:tc>
          <w:tcPr>
            <w:tcW w:w="3580" w:type="dxa"/>
            <w:vAlign w:val="bottom"/>
            <w:tcBorders>
              <w:top w:val="single" w:sz="8" w:color="2C2C2C"/>
            </w:tcBorders>
            <w:gridSpan w:val="3"/>
          </w:tcPr>
          <w:p>
            <w:pPr>
              <w:ind w:left="240"/>
              <w:spacing w:after="0"/>
              <w:rPr>
                <w:sz w:val="20"/>
                <w:szCs w:val="20"/>
                <w:color w:val="auto"/>
              </w:rPr>
            </w:pPr>
            <w:r>
              <w:rPr>
                <w:rFonts w:ascii="Arial" w:cs="Arial" w:eastAsia="Arial" w:hAnsi="Arial"/>
                <w:sz w:val="14"/>
                <w:szCs w:val="14"/>
                <w:b w:val="1"/>
                <w:bCs w:val="1"/>
                <w:color w:val="auto"/>
              </w:rPr>
              <w:t>Table II - Derivative Securities Beneficially Owned</w:t>
            </w:r>
          </w:p>
        </w:tc>
        <w:tc>
          <w:tcPr>
            <w:tcW w:w="66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920" w:type="dxa"/>
            <w:vAlign w:val="bottom"/>
            <w:tcBorders>
              <w:top w:val="single" w:sz="8" w:color="2C2C2C"/>
            </w:tcBorders>
          </w:tcPr>
          <w:p>
            <w:pPr>
              <w:spacing w:after="0"/>
              <w:rPr>
                <w:sz w:val="15"/>
                <w:szCs w:val="15"/>
                <w:color w:val="auto"/>
              </w:rPr>
            </w:pPr>
          </w:p>
        </w:tc>
        <w:tc>
          <w:tcPr>
            <w:tcW w:w="172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180" w:type="dxa"/>
            <w:vAlign w:val="bottom"/>
            <w:gridSpan w:val="5"/>
          </w:tcPr>
          <w:p>
            <w:pPr>
              <w:ind w:left="900"/>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9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94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2. Date Exercisable and</w:t>
            </w:r>
          </w:p>
        </w:tc>
        <w:tc>
          <w:tcPr>
            <w:tcW w:w="29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Title and Amount of Securities Underlying</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Ownership</w:t>
            </w:r>
          </w:p>
        </w:tc>
        <w:tc>
          <w:tcPr>
            <w:tcW w:w="1720" w:type="dxa"/>
            <w:vAlign w:val="bottom"/>
          </w:tcPr>
          <w:p>
            <w:pPr>
              <w:ind w:left="100"/>
              <w:spacing w:after="0"/>
              <w:rPr>
                <w:sz w:val="20"/>
                <w:szCs w:val="20"/>
                <w:color w:val="auto"/>
              </w:rPr>
            </w:pPr>
            <w:r>
              <w:rPr>
                <w:rFonts w:ascii="Arial" w:cs="Arial" w:eastAsia="Arial" w:hAnsi="Arial"/>
                <w:sz w:val="11"/>
                <w:szCs w:val="11"/>
                <w:b w:val="1"/>
                <w:bCs w:val="1"/>
                <w:color w:val="auto"/>
              </w:rPr>
              <w:t>6. Nature of Indirect Beneficial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Expiration Date</w:t>
            </w:r>
          </w:p>
        </w:tc>
        <w:tc>
          <w:tcPr>
            <w:tcW w:w="22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 Security (Instr. 4)</w:t>
            </w:r>
          </w:p>
        </w:tc>
        <w:tc>
          <w:tcPr>
            <w:tcW w:w="660" w:type="dxa"/>
            <w:vAlign w:val="bottom"/>
          </w:tcPr>
          <w:p>
            <w:pPr>
              <w:spacing w:after="0"/>
              <w:rPr>
                <w:sz w:val="10"/>
                <w:szCs w:val="10"/>
                <w:color w:val="auto"/>
              </w:rPr>
            </w:pP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9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 Direct</w:t>
            </w:r>
          </w:p>
        </w:tc>
        <w:tc>
          <w:tcPr>
            <w:tcW w:w="17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Ownership (Instr. 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2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9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 or Indirect</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920" w:type="dxa"/>
            <w:vAlign w:val="bottom"/>
            <w:vMerge w:val="restart"/>
          </w:tcPr>
          <w:p>
            <w:pPr>
              <w:ind w:left="100"/>
              <w:spacing w:after="0" w:line="119" w:lineRule="exact"/>
              <w:rPr>
                <w:sz w:val="20"/>
                <w:szCs w:val="20"/>
                <w:color w:val="auto"/>
              </w:rPr>
            </w:pPr>
            <w:r>
              <w:rPr>
                <w:rFonts w:ascii="Arial" w:cs="Arial" w:eastAsia="Arial" w:hAnsi="Arial"/>
                <w:sz w:val="11"/>
                <w:szCs w:val="11"/>
                <w:b w:val="1"/>
                <w:bCs w:val="1"/>
                <w:color w:val="auto"/>
              </w:rPr>
              <w:t>(I) (Instr. 5)</w:t>
            </w: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Amount or</w:t>
            </w:r>
          </w:p>
        </w:tc>
        <w:tc>
          <w:tcPr>
            <w:tcW w:w="7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rPr>
              <w:t>Expiration</w:t>
            </w:r>
          </w:p>
        </w:tc>
        <w:tc>
          <w:tcPr>
            <w:tcW w:w="22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2240" w:type="dxa"/>
            <w:vAlign w:val="bottom"/>
            <w:vMerge w:val="continue"/>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8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4"/>
                <w:szCs w:val="14"/>
                <w:color w:val="0000FF"/>
              </w:rPr>
              <w:t>Stock Option (right to buy)</w:t>
            </w:r>
          </w:p>
        </w:tc>
        <w:tc>
          <w:tcPr>
            <w:tcW w:w="1660" w:type="dxa"/>
            <w:vAlign w:val="bottom"/>
            <w:gridSpan w:val="2"/>
          </w:tcPr>
          <w:p>
            <w:pPr>
              <w:jc w:val="right"/>
              <w:ind w:right="243"/>
              <w:spacing w:after="0"/>
              <w:rPr>
                <w:sz w:val="20"/>
                <w:szCs w:val="20"/>
                <w:color w:val="auto"/>
              </w:rPr>
            </w:pPr>
            <w:r>
              <w:rPr>
                <w:rFonts w:ascii="Arial" w:cs="Arial" w:eastAsia="Arial" w:hAnsi="Arial"/>
                <w:sz w:val="9"/>
                <w:szCs w:val="9"/>
                <w:color w:val="008000"/>
              </w:rPr>
              <w:t>(2)</w:t>
            </w:r>
          </w:p>
        </w:tc>
        <w:tc>
          <w:tcPr>
            <w:tcW w:w="620" w:type="dxa"/>
            <w:vAlign w:val="bottom"/>
          </w:tcPr>
          <w:p>
            <w:pPr>
              <w:jc w:val="center"/>
              <w:spacing w:after="0"/>
              <w:rPr>
                <w:sz w:val="20"/>
                <w:szCs w:val="20"/>
                <w:color w:val="auto"/>
              </w:rPr>
            </w:pPr>
            <w:r>
              <w:rPr>
                <w:rFonts w:ascii="Arial" w:cs="Arial" w:eastAsia="Arial" w:hAnsi="Arial"/>
                <w:sz w:val="11"/>
                <w:szCs w:val="11"/>
                <w:color w:val="0000FF"/>
                <w:w w:val="90"/>
              </w:rPr>
              <w:t>09/28/2025</w:t>
            </w:r>
          </w:p>
        </w:tc>
        <w:tc>
          <w:tcPr>
            <w:tcW w:w="2240" w:type="dxa"/>
            <w:vAlign w:val="bottom"/>
          </w:tcPr>
          <w:p>
            <w:pPr>
              <w:ind w:left="680"/>
              <w:spacing w:after="0"/>
              <w:rPr>
                <w:sz w:val="20"/>
                <w:szCs w:val="20"/>
                <w:color w:val="auto"/>
              </w:rPr>
            </w:pPr>
            <w:r>
              <w:rPr>
                <w:rFonts w:ascii="Arial" w:cs="Arial" w:eastAsia="Arial" w:hAnsi="Arial"/>
                <w:sz w:val="14"/>
                <w:szCs w:val="14"/>
                <w:color w:val="0000FF"/>
              </w:rPr>
              <w:t>Common Stock</w:t>
            </w:r>
          </w:p>
        </w:tc>
        <w:tc>
          <w:tcPr>
            <w:tcW w:w="660" w:type="dxa"/>
            <w:vAlign w:val="bottom"/>
          </w:tcPr>
          <w:p>
            <w:pPr>
              <w:jc w:val="center"/>
              <w:spacing w:after="0"/>
              <w:rPr>
                <w:sz w:val="20"/>
                <w:szCs w:val="20"/>
                <w:color w:val="auto"/>
              </w:rPr>
            </w:pPr>
            <w:r>
              <w:rPr>
                <w:rFonts w:ascii="Arial" w:cs="Arial" w:eastAsia="Arial" w:hAnsi="Arial"/>
                <w:sz w:val="14"/>
                <w:szCs w:val="14"/>
                <w:color w:val="0000FF"/>
                <w:w w:val="93"/>
              </w:rPr>
              <w:t>45,000</w:t>
            </w:r>
          </w:p>
        </w:tc>
        <w:tc>
          <w:tcPr>
            <w:tcW w:w="740" w:type="dxa"/>
            <w:vAlign w:val="bottom"/>
          </w:tcPr>
          <w:p>
            <w:pPr>
              <w:jc w:val="center"/>
              <w:spacing w:after="0"/>
              <w:rPr>
                <w:sz w:val="20"/>
                <w:szCs w:val="20"/>
                <w:color w:val="auto"/>
              </w:rPr>
            </w:pPr>
            <w:r>
              <w:rPr>
                <w:rFonts w:ascii="Arial" w:cs="Arial" w:eastAsia="Arial" w:hAnsi="Arial"/>
                <w:sz w:val="14"/>
                <w:szCs w:val="14"/>
                <w:color w:val="0000FF"/>
                <w:w w:val="87"/>
              </w:rPr>
              <w:t>4.94</w:t>
            </w:r>
          </w:p>
        </w:tc>
        <w:tc>
          <w:tcPr>
            <w:tcW w:w="920" w:type="dxa"/>
            <w:vAlign w:val="bottom"/>
          </w:tcPr>
          <w:p>
            <w:pPr>
              <w:ind w:left="460"/>
              <w:spacing w:after="0"/>
              <w:rPr>
                <w:sz w:val="20"/>
                <w:szCs w:val="20"/>
                <w:color w:val="auto"/>
              </w:rPr>
            </w:pPr>
            <w:r>
              <w:rPr>
                <w:rFonts w:ascii="Arial" w:cs="Arial" w:eastAsia="Arial" w:hAnsi="Arial"/>
                <w:sz w:val="14"/>
                <w:szCs w:val="14"/>
                <w:color w:val="0000FF"/>
              </w:rPr>
              <w:t>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4"/>
                <w:szCs w:val="14"/>
                <w:color w:val="0000FF"/>
              </w:rPr>
              <w:t>Stock Option (right to buy)</w:t>
            </w:r>
          </w:p>
        </w:tc>
        <w:tc>
          <w:tcPr>
            <w:tcW w:w="1660" w:type="dxa"/>
            <w:vAlign w:val="bottom"/>
            <w:gridSpan w:val="2"/>
          </w:tcPr>
          <w:p>
            <w:pPr>
              <w:jc w:val="right"/>
              <w:ind w:right="243"/>
              <w:spacing w:after="0"/>
              <w:rPr>
                <w:sz w:val="20"/>
                <w:szCs w:val="20"/>
                <w:color w:val="auto"/>
              </w:rPr>
            </w:pPr>
            <w:r>
              <w:rPr>
                <w:rFonts w:ascii="Arial" w:cs="Arial" w:eastAsia="Arial" w:hAnsi="Arial"/>
                <w:sz w:val="9"/>
                <w:szCs w:val="9"/>
                <w:color w:val="008000"/>
              </w:rPr>
              <w:t>(3)</w:t>
            </w:r>
          </w:p>
        </w:tc>
        <w:tc>
          <w:tcPr>
            <w:tcW w:w="620" w:type="dxa"/>
            <w:vAlign w:val="bottom"/>
          </w:tcPr>
          <w:p>
            <w:pPr>
              <w:jc w:val="center"/>
              <w:spacing w:after="0"/>
              <w:rPr>
                <w:sz w:val="20"/>
                <w:szCs w:val="20"/>
                <w:color w:val="auto"/>
              </w:rPr>
            </w:pPr>
            <w:r>
              <w:rPr>
                <w:rFonts w:ascii="Arial" w:cs="Arial" w:eastAsia="Arial" w:hAnsi="Arial"/>
                <w:sz w:val="11"/>
                <w:szCs w:val="11"/>
                <w:color w:val="0000FF"/>
                <w:w w:val="90"/>
              </w:rPr>
              <w:t>02/28/2026</w:t>
            </w:r>
          </w:p>
        </w:tc>
        <w:tc>
          <w:tcPr>
            <w:tcW w:w="2240" w:type="dxa"/>
            <w:vAlign w:val="bottom"/>
          </w:tcPr>
          <w:p>
            <w:pPr>
              <w:ind w:left="680"/>
              <w:spacing w:after="0"/>
              <w:rPr>
                <w:sz w:val="20"/>
                <w:szCs w:val="20"/>
                <w:color w:val="auto"/>
              </w:rPr>
            </w:pPr>
            <w:r>
              <w:rPr>
                <w:rFonts w:ascii="Arial" w:cs="Arial" w:eastAsia="Arial" w:hAnsi="Arial"/>
                <w:sz w:val="14"/>
                <w:szCs w:val="14"/>
                <w:color w:val="0000FF"/>
              </w:rPr>
              <w:t>Common Stock</w:t>
            </w:r>
          </w:p>
        </w:tc>
        <w:tc>
          <w:tcPr>
            <w:tcW w:w="660" w:type="dxa"/>
            <w:vAlign w:val="bottom"/>
          </w:tcPr>
          <w:p>
            <w:pPr>
              <w:jc w:val="center"/>
              <w:spacing w:after="0"/>
              <w:rPr>
                <w:sz w:val="20"/>
                <w:szCs w:val="20"/>
                <w:color w:val="auto"/>
              </w:rPr>
            </w:pPr>
            <w:r>
              <w:rPr>
                <w:rFonts w:ascii="Arial" w:cs="Arial" w:eastAsia="Arial" w:hAnsi="Arial"/>
                <w:sz w:val="14"/>
                <w:szCs w:val="14"/>
                <w:color w:val="0000FF"/>
                <w:w w:val="93"/>
              </w:rPr>
              <w:t>15,000</w:t>
            </w:r>
          </w:p>
        </w:tc>
        <w:tc>
          <w:tcPr>
            <w:tcW w:w="740" w:type="dxa"/>
            <w:vAlign w:val="bottom"/>
          </w:tcPr>
          <w:p>
            <w:pPr>
              <w:jc w:val="center"/>
              <w:spacing w:after="0"/>
              <w:rPr>
                <w:sz w:val="20"/>
                <w:szCs w:val="20"/>
                <w:color w:val="auto"/>
              </w:rPr>
            </w:pPr>
            <w:r>
              <w:rPr>
                <w:rFonts w:ascii="Arial" w:cs="Arial" w:eastAsia="Arial" w:hAnsi="Arial"/>
                <w:sz w:val="14"/>
                <w:szCs w:val="14"/>
                <w:color w:val="0000FF"/>
                <w:w w:val="87"/>
              </w:rPr>
              <w:t>6.45</w:t>
            </w:r>
          </w:p>
        </w:tc>
        <w:tc>
          <w:tcPr>
            <w:tcW w:w="920" w:type="dxa"/>
            <w:vAlign w:val="bottom"/>
          </w:tcPr>
          <w:p>
            <w:pPr>
              <w:ind w:left="460"/>
              <w:spacing w:after="0"/>
              <w:rPr>
                <w:sz w:val="20"/>
                <w:szCs w:val="20"/>
                <w:color w:val="auto"/>
              </w:rPr>
            </w:pPr>
            <w:r>
              <w:rPr>
                <w:rFonts w:ascii="Arial" w:cs="Arial" w:eastAsia="Arial" w:hAnsi="Arial"/>
                <w:sz w:val="14"/>
                <w:szCs w:val="14"/>
                <w:color w:val="0000FF"/>
              </w:rPr>
              <w:t>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4"/>
                <w:szCs w:val="14"/>
                <w:color w:val="0000FF"/>
              </w:rPr>
              <w:t>Stock Option (right to buy)</w:t>
            </w:r>
          </w:p>
        </w:tc>
        <w:tc>
          <w:tcPr>
            <w:tcW w:w="1660" w:type="dxa"/>
            <w:vAlign w:val="bottom"/>
            <w:gridSpan w:val="2"/>
          </w:tcPr>
          <w:p>
            <w:pPr>
              <w:jc w:val="right"/>
              <w:ind w:right="243"/>
              <w:spacing w:after="0"/>
              <w:rPr>
                <w:sz w:val="20"/>
                <w:szCs w:val="20"/>
                <w:color w:val="auto"/>
              </w:rPr>
            </w:pPr>
            <w:r>
              <w:rPr>
                <w:rFonts w:ascii="Arial" w:cs="Arial" w:eastAsia="Arial" w:hAnsi="Arial"/>
                <w:sz w:val="9"/>
                <w:szCs w:val="9"/>
                <w:color w:val="008000"/>
              </w:rPr>
              <w:t>(4)</w:t>
            </w:r>
          </w:p>
        </w:tc>
        <w:tc>
          <w:tcPr>
            <w:tcW w:w="620" w:type="dxa"/>
            <w:vAlign w:val="bottom"/>
          </w:tcPr>
          <w:p>
            <w:pPr>
              <w:jc w:val="center"/>
              <w:spacing w:after="0"/>
              <w:rPr>
                <w:sz w:val="20"/>
                <w:szCs w:val="20"/>
                <w:color w:val="auto"/>
              </w:rPr>
            </w:pPr>
            <w:r>
              <w:rPr>
                <w:rFonts w:ascii="Arial" w:cs="Arial" w:eastAsia="Arial" w:hAnsi="Arial"/>
                <w:sz w:val="11"/>
                <w:szCs w:val="11"/>
                <w:color w:val="0000FF"/>
                <w:w w:val="90"/>
              </w:rPr>
              <w:t>03/02/2027</w:t>
            </w:r>
          </w:p>
        </w:tc>
        <w:tc>
          <w:tcPr>
            <w:tcW w:w="2240" w:type="dxa"/>
            <w:vAlign w:val="bottom"/>
          </w:tcPr>
          <w:p>
            <w:pPr>
              <w:ind w:left="680"/>
              <w:spacing w:after="0"/>
              <w:rPr>
                <w:sz w:val="20"/>
                <w:szCs w:val="20"/>
                <w:color w:val="auto"/>
              </w:rPr>
            </w:pPr>
            <w:r>
              <w:rPr>
                <w:rFonts w:ascii="Arial" w:cs="Arial" w:eastAsia="Arial" w:hAnsi="Arial"/>
                <w:sz w:val="14"/>
                <w:szCs w:val="14"/>
                <w:color w:val="0000FF"/>
              </w:rPr>
              <w:t>Common Stock</w:t>
            </w:r>
          </w:p>
        </w:tc>
        <w:tc>
          <w:tcPr>
            <w:tcW w:w="660" w:type="dxa"/>
            <w:vAlign w:val="bottom"/>
          </w:tcPr>
          <w:p>
            <w:pPr>
              <w:jc w:val="center"/>
              <w:spacing w:after="0"/>
              <w:rPr>
                <w:sz w:val="20"/>
                <w:szCs w:val="20"/>
                <w:color w:val="auto"/>
              </w:rPr>
            </w:pPr>
            <w:r>
              <w:rPr>
                <w:rFonts w:ascii="Arial" w:cs="Arial" w:eastAsia="Arial" w:hAnsi="Arial"/>
                <w:sz w:val="14"/>
                <w:szCs w:val="14"/>
                <w:color w:val="0000FF"/>
                <w:w w:val="93"/>
              </w:rPr>
              <w:t>25,000</w:t>
            </w:r>
          </w:p>
        </w:tc>
        <w:tc>
          <w:tcPr>
            <w:tcW w:w="740" w:type="dxa"/>
            <w:vAlign w:val="bottom"/>
          </w:tcPr>
          <w:p>
            <w:pPr>
              <w:jc w:val="center"/>
              <w:spacing w:after="0"/>
              <w:rPr>
                <w:sz w:val="20"/>
                <w:szCs w:val="20"/>
                <w:color w:val="auto"/>
              </w:rPr>
            </w:pPr>
            <w:r>
              <w:rPr>
                <w:rFonts w:ascii="Arial" w:cs="Arial" w:eastAsia="Arial" w:hAnsi="Arial"/>
                <w:sz w:val="14"/>
                <w:szCs w:val="14"/>
                <w:color w:val="0000FF"/>
                <w:w w:val="87"/>
              </w:rPr>
              <w:t>9.05</w:t>
            </w:r>
          </w:p>
        </w:tc>
        <w:tc>
          <w:tcPr>
            <w:tcW w:w="920" w:type="dxa"/>
            <w:vAlign w:val="bottom"/>
          </w:tcPr>
          <w:p>
            <w:pPr>
              <w:ind w:left="460"/>
              <w:spacing w:after="0"/>
              <w:rPr>
                <w:sz w:val="20"/>
                <w:szCs w:val="20"/>
                <w:color w:val="auto"/>
              </w:rPr>
            </w:pPr>
            <w:r>
              <w:rPr>
                <w:rFonts w:ascii="Arial" w:cs="Arial" w:eastAsia="Arial" w:hAnsi="Arial"/>
                <w:sz w:val="14"/>
                <w:szCs w:val="14"/>
                <w:color w:val="0000FF"/>
              </w:rPr>
              <w:t>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4"/>
                <w:szCs w:val="14"/>
                <w:color w:val="0000FF"/>
              </w:rPr>
              <w:t>Stock Option (right to buy)</w:t>
            </w:r>
          </w:p>
        </w:tc>
        <w:tc>
          <w:tcPr>
            <w:tcW w:w="1660" w:type="dxa"/>
            <w:vAlign w:val="bottom"/>
            <w:gridSpan w:val="2"/>
          </w:tcPr>
          <w:p>
            <w:pPr>
              <w:jc w:val="right"/>
              <w:ind w:right="243"/>
              <w:spacing w:after="0"/>
              <w:rPr>
                <w:sz w:val="20"/>
                <w:szCs w:val="20"/>
                <w:color w:val="auto"/>
              </w:rPr>
            </w:pPr>
            <w:r>
              <w:rPr>
                <w:rFonts w:ascii="Arial" w:cs="Arial" w:eastAsia="Arial" w:hAnsi="Arial"/>
                <w:sz w:val="9"/>
                <w:szCs w:val="9"/>
                <w:color w:val="008000"/>
              </w:rPr>
              <w:t>(5)</w:t>
            </w:r>
          </w:p>
        </w:tc>
        <w:tc>
          <w:tcPr>
            <w:tcW w:w="620" w:type="dxa"/>
            <w:vAlign w:val="bottom"/>
          </w:tcPr>
          <w:p>
            <w:pPr>
              <w:jc w:val="center"/>
              <w:spacing w:after="0"/>
              <w:rPr>
                <w:sz w:val="20"/>
                <w:szCs w:val="20"/>
                <w:color w:val="auto"/>
              </w:rPr>
            </w:pPr>
            <w:r>
              <w:rPr>
                <w:rFonts w:ascii="Arial" w:cs="Arial" w:eastAsia="Arial" w:hAnsi="Arial"/>
                <w:sz w:val="11"/>
                <w:szCs w:val="11"/>
                <w:color w:val="0000FF"/>
                <w:w w:val="90"/>
              </w:rPr>
              <w:t>03/01/2028</w:t>
            </w:r>
          </w:p>
        </w:tc>
        <w:tc>
          <w:tcPr>
            <w:tcW w:w="2240" w:type="dxa"/>
            <w:vAlign w:val="bottom"/>
          </w:tcPr>
          <w:p>
            <w:pPr>
              <w:ind w:left="680"/>
              <w:spacing w:after="0"/>
              <w:rPr>
                <w:sz w:val="20"/>
                <w:szCs w:val="20"/>
                <w:color w:val="auto"/>
              </w:rPr>
            </w:pPr>
            <w:r>
              <w:rPr>
                <w:rFonts w:ascii="Arial" w:cs="Arial" w:eastAsia="Arial" w:hAnsi="Arial"/>
                <w:sz w:val="14"/>
                <w:szCs w:val="14"/>
                <w:color w:val="0000FF"/>
              </w:rPr>
              <w:t>Common Stock</w:t>
            </w:r>
          </w:p>
        </w:tc>
        <w:tc>
          <w:tcPr>
            <w:tcW w:w="660" w:type="dxa"/>
            <w:vAlign w:val="bottom"/>
          </w:tcPr>
          <w:p>
            <w:pPr>
              <w:jc w:val="center"/>
              <w:spacing w:after="0"/>
              <w:rPr>
                <w:sz w:val="20"/>
                <w:szCs w:val="20"/>
                <w:color w:val="auto"/>
              </w:rPr>
            </w:pPr>
            <w:r>
              <w:rPr>
                <w:rFonts w:ascii="Arial" w:cs="Arial" w:eastAsia="Arial" w:hAnsi="Arial"/>
                <w:sz w:val="14"/>
                <w:szCs w:val="14"/>
                <w:color w:val="0000FF"/>
                <w:w w:val="93"/>
              </w:rPr>
              <w:t>22,500</w:t>
            </w:r>
          </w:p>
        </w:tc>
        <w:tc>
          <w:tcPr>
            <w:tcW w:w="740" w:type="dxa"/>
            <w:vAlign w:val="bottom"/>
          </w:tcPr>
          <w:p>
            <w:pPr>
              <w:jc w:val="center"/>
              <w:spacing w:after="0"/>
              <w:rPr>
                <w:sz w:val="20"/>
                <w:szCs w:val="20"/>
                <w:color w:val="auto"/>
              </w:rPr>
            </w:pPr>
            <w:r>
              <w:rPr>
                <w:rFonts w:ascii="Arial" w:cs="Arial" w:eastAsia="Arial" w:hAnsi="Arial"/>
                <w:sz w:val="14"/>
                <w:szCs w:val="14"/>
                <w:color w:val="0000FF"/>
                <w:w w:val="87"/>
              </w:rPr>
              <w:t>5.98</w:t>
            </w:r>
          </w:p>
        </w:tc>
        <w:tc>
          <w:tcPr>
            <w:tcW w:w="920" w:type="dxa"/>
            <w:vAlign w:val="bottom"/>
          </w:tcPr>
          <w:p>
            <w:pPr>
              <w:ind w:left="460"/>
              <w:spacing w:after="0"/>
              <w:rPr>
                <w:sz w:val="20"/>
                <w:szCs w:val="20"/>
                <w:color w:val="auto"/>
              </w:rPr>
            </w:pPr>
            <w:r>
              <w:rPr>
                <w:rFonts w:ascii="Arial" w:cs="Arial" w:eastAsia="Arial" w:hAnsi="Arial"/>
                <w:sz w:val="14"/>
                <w:szCs w:val="14"/>
                <w:color w:val="0000FF"/>
              </w:rPr>
              <w:t>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4"/>
                <w:szCs w:val="14"/>
                <w:color w:val="0000FF"/>
              </w:rPr>
              <w:t>Stock Option (right to buy)</w:t>
            </w:r>
          </w:p>
        </w:tc>
        <w:tc>
          <w:tcPr>
            <w:tcW w:w="1660" w:type="dxa"/>
            <w:vAlign w:val="bottom"/>
            <w:gridSpan w:val="2"/>
          </w:tcPr>
          <w:p>
            <w:pPr>
              <w:jc w:val="right"/>
              <w:ind w:right="243"/>
              <w:spacing w:after="0"/>
              <w:rPr>
                <w:sz w:val="20"/>
                <w:szCs w:val="20"/>
                <w:color w:val="auto"/>
              </w:rPr>
            </w:pPr>
            <w:r>
              <w:rPr>
                <w:rFonts w:ascii="Arial" w:cs="Arial" w:eastAsia="Arial" w:hAnsi="Arial"/>
                <w:sz w:val="9"/>
                <w:szCs w:val="9"/>
                <w:color w:val="008000"/>
              </w:rPr>
              <w:t>(6)</w:t>
            </w:r>
          </w:p>
        </w:tc>
        <w:tc>
          <w:tcPr>
            <w:tcW w:w="620" w:type="dxa"/>
            <w:vAlign w:val="bottom"/>
          </w:tcPr>
          <w:p>
            <w:pPr>
              <w:jc w:val="center"/>
              <w:spacing w:after="0"/>
              <w:rPr>
                <w:sz w:val="20"/>
                <w:szCs w:val="20"/>
                <w:color w:val="auto"/>
              </w:rPr>
            </w:pPr>
            <w:r>
              <w:rPr>
                <w:rFonts w:ascii="Arial" w:cs="Arial" w:eastAsia="Arial" w:hAnsi="Arial"/>
                <w:sz w:val="11"/>
                <w:szCs w:val="11"/>
                <w:color w:val="0000FF"/>
                <w:w w:val="90"/>
              </w:rPr>
              <w:t>02/27/2029</w:t>
            </w:r>
          </w:p>
        </w:tc>
        <w:tc>
          <w:tcPr>
            <w:tcW w:w="2240" w:type="dxa"/>
            <w:vAlign w:val="bottom"/>
          </w:tcPr>
          <w:p>
            <w:pPr>
              <w:ind w:left="680"/>
              <w:spacing w:after="0"/>
              <w:rPr>
                <w:sz w:val="20"/>
                <w:szCs w:val="20"/>
                <w:color w:val="auto"/>
              </w:rPr>
            </w:pPr>
            <w:r>
              <w:rPr>
                <w:rFonts w:ascii="Arial" w:cs="Arial" w:eastAsia="Arial" w:hAnsi="Arial"/>
                <w:sz w:val="14"/>
                <w:szCs w:val="14"/>
                <w:color w:val="0000FF"/>
              </w:rPr>
              <w:t>Common Stock</w:t>
            </w:r>
          </w:p>
        </w:tc>
        <w:tc>
          <w:tcPr>
            <w:tcW w:w="660" w:type="dxa"/>
            <w:vAlign w:val="bottom"/>
          </w:tcPr>
          <w:p>
            <w:pPr>
              <w:jc w:val="center"/>
              <w:spacing w:after="0"/>
              <w:rPr>
                <w:sz w:val="20"/>
                <w:szCs w:val="20"/>
                <w:color w:val="auto"/>
              </w:rPr>
            </w:pPr>
            <w:r>
              <w:rPr>
                <w:rFonts w:ascii="Arial" w:cs="Arial" w:eastAsia="Arial" w:hAnsi="Arial"/>
                <w:sz w:val="14"/>
                <w:szCs w:val="14"/>
                <w:color w:val="0000FF"/>
                <w:w w:val="93"/>
              </w:rPr>
              <w:t>30,000</w:t>
            </w:r>
          </w:p>
        </w:tc>
        <w:tc>
          <w:tcPr>
            <w:tcW w:w="740" w:type="dxa"/>
            <w:vAlign w:val="bottom"/>
          </w:tcPr>
          <w:p>
            <w:pPr>
              <w:jc w:val="center"/>
              <w:spacing w:after="0"/>
              <w:rPr>
                <w:sz w:val="20"/>
                <w:szCs w:val="20"/>
                <w:color w:val="auto"/>
              </w:rPr>
            </w:pPr>
            <w:r>
              <w:rPr>
                <w:rFonts w:ascii="Arial" w:cs="Arial" w:eastAsia="Arial" w:hAnsi="Arial"/>
                <w:sz w:val="14"/>
                <w:szCs w:val="14"/>
                <w:color w:val="0000FF"/>
                <w:w w:val="91"/>
              </w:rPr>
              <w:t>20.21</w:t>
            </w:r>
          </w:p>
        </w:tc>
        <w:tc>
          <w:tcPr>
            <w:tcW w:w="920" w:type="dxa"/>
            <w:vAlign w:val="bottom"/>
          </w:tcPr>
          <w:p>
            <w:pPr>
              <w:ind w:left="460"/>
              <w:spacing w:after="0"/>
              <w:rPr>
                <w:sz w:val="20"/>
                <w:szCs w:val="20"/>
                <w:color w:val="auto"/>
              </w:rPr>
            </w:pPr>
            <w:r>
              <w:rPr>
                <w:rFonts w:ascii="Arial" w:cs="Arial" w:eastAsia="Arial" w:hAnsi="Arial"/>
                <w:sz w:val="14"/>
                <w:szCs w:val="14"/>
                <w:color w:val="0000FF"/>
              </w:rPr>
              <w:t>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ind w:left="20"/>
              <w:spacing w:after="0"/>
              <w:rPr>
                <w:sz w:val="20"/>
                <w:szCs w:val="20"/>
                <w:color w:val="auto"/>
              </w:rPr>
            </w:pPr>
            <w:r>
              <w:rPr>
                <w:rFonts w:ascii="Arial" w:cs="Arial" w:eastAsia="Arial" w:hAnsi="Arial"/>
                <w:sz w:val="11"/>
                <w:szCs w:val="11"/>
                <w:b w:val="1"/>
                <w:bCs w:val="1"/>
                <w:color w:val="auto"/>
              </w:rPr>
              <w:t>Explanation of Responses:</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right="80" w:hanging="1"/>
        <w:spacing w:after="0" w:line="291" w:lineRule="auto"/>
        <w:tabs>
          <w:tab w:leader="none" w:pos="14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Includes 2,063 restricted stock units from a grant which was awarded on March 2, 2018 which vested 25% on March 2, 2019 and vests 3/48 on each quarterly anniversary thereafter subject to continuing employment of the Reporting person on each vesting date and 4,000 restricted stock units from an award on February 28, 2019 which vests 25% on February 29, 2020 and 3/48 on each quarterly vesting date thereafter subject to continuing employment of the Reporting person on each vesting date.</w:t>
      </w:r>
    </w:p>
    <w:p>
      <w:pPr>
        <w:spacing w:after="0" w:line="1" w:lineRule="exact"/>
        <w:rPr>
          <w:rFonts w:ascii="Arial" w:cs="Arial" w:eastAsia="Arial" w:hAnsi="Arial"/>
          <w:sz w:val="10"/>
          <w:szCs w:val="10"/>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became exercisable as to 25% of the shares on September 29, 2016 and the remaining shares vest at a rate of 1/48th of the total number of shares subject to the award for each month of continuous service thereafter.</w:t>
      </w:r>
    </w:p>
    <w:p>
      <w:pPr>
        <w:spacing w:after="0" w:line="35"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became exercisable as to 25% of the shares on March 1, 2017 and the remaining shares vest at a rate of 1/48th of the total number of shares subject to the award for each month of continuous service thereafter.</w:t>
      </w:r>
    </w:p>
    <w:p>
      <w:pPr>
        <w:spacing w:after="0" w:line="35"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became exercisable as to 25% of the shares on March 3, 2018 and the remaining shares vest at a rate of 1/48th of the total number of shares subject to the award for each month of continuous service thereafter.</w:t>
      </w:r>
    </w:p>
    <w:p>
      <w:pPr>
        <w:spacing w:after="0" w:line="35"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became exercisable as to 25% of the shares on March 2, 2019 and the remaining shares vest at a rate of 1/48th of the total number of shares subject to the award for each month of continuous service thereafter.</w:t>
      </w:r>
    </w:p>
    <w:p>
      <w:pPr>
        <w:spacing w:after="0" w:line="35"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option becomes exercisable as to 25% of the shares on February 28, 2020 and the remaining shares vest at a rate of 1/48th of the total number of shares subject to the award for each month of continuous service thereafter.</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01"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color w:val="0000FF"/>
                <w:w w:val="91"/>
              </w:rPr>
              <w:t>/s/ Keith Kennedy as attorney-in-fact</w:t>
            </w: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0000FF"/>
                <w:w w:val="88"/>
              </w:rPr>
              <w:t>07/01/2019</w:t>
            </w:r>
          </w:p>
        </w:tc>
      </w:tr>
      <w:tr>
        <w:trPr>
          <w:trHeight w:val="184"/>
        </w:trPr>
        <w:tc>
          <w:tcPr>
            <w:tcW w:w="684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Arial" w:cs="Arial" w:eastAsia="Arial" w:hAnsi="Arial"/>
                <w:sz w:val="11"/>
                <w:szCs w:val="11"/>
                <w:color w:val="auto"/>
              </w:rPr>
              <w:t>** Signature of Reporting Person</w:t>
            </w:r>
          </w:p>
        </w:tc>
        <w:tc>
          <w:tcPr>
            <w:tcW w:w="640" w:type="dxa"/>
            <w:vAlign w:val="bottom"/>
          </w:tcPr>
          <w:p>
            <w:pPr>
              <w:spacing w:after="0"/>
              <w:rPr>
                <w:sz w:val="20"/>
                <w:szCs w:val="20"/>
                <w:color w:val="auto"/>
              </w:rPr>
            </w:pPr>
            <w:r>
              <w:rPr>
                <w:rFonts w:ascii="Arial" w:cs="Arial" w:eastAsia="Arial" w:hAnsi="Arial"/>
                <w:sz w:val="11"/>
                <w:szCs w:val="11"/>
                <w:color w:val="auto"/>
              </w:rPr>
              <w:t>Date</w:t>
            </w:r>
          </w:p>
        </w:tc>
      </w:tr>
      <w:tr>
        <w:trPr>
          <w:trHeight w:val="162"/>
        </w:trPr>
        <w:tc>
          <w:tcPr>
            <w:tcW w:w="9140" w:type="dxa"/>
            <w:vAlign w:val="bottom"/>
            <w:gridSpan w:val="3"/>
          </w:tcPr>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tc>
        <w:tc>
          <w:tcPr>
            <w:tcW w:w="640" w:type="dxa"/>
            <w:vAlign w:val="bottom"/>
          </w:tcPr>
          <w:p>
            <w:pPr>
              <w:spacing w:after="0"/>
              <w:rPr>
                <w:sz w:val="14"/>
                <w:szCs w:val="14"/>
                <w:color w:val="auto"/>
              </w:rPr>
            </w:pPr>
          </w:p>
        </w:tc>
      </w:tr>
      <w:tr>
        <w:trPr>
          <w:trHeight w:val="162"/>
        </w:trPr>
        <w:tc>
          <w:tcPr>
            <w:tcW w:w="9140" w:type="dxa"/>
            <w:vAlign w:val="bottom"/>
            <w:gridSpan w:val="3"/>
          </w:tcPr>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tc>
        <w:tc>
          <w:tcPr>
            <w:tcW w:w="640" w:type="dxa"/>
            <w:vAlign w:val="bottom"/>
          </w:tcPr>
          <w:p>
            <w:pPr>
              <w:spacing w:after="0"/>
              <w:rPr>
                <w:sz w:val="14"/>
                <w:szCs w:val="14"/>
                <w:color w:val="auto"/>
              </w:rPr>
            </w:pPr>
          </w:p>
        </w:tc>
      </w:tr>
      <w:tr>
        <w:trPr>
          <w:trHeight w:val="162"/>
        </w:trPr>
        <w:tc>
          <w:tcPr>
            <w:tcW w:w="9140" w:type="dxa"/>
            <w:vAlign w:val="bottom"/>
            <w:gridSpan w:val="3"/>
          </w:tcPr>
          <w:p>
            <w:pPr>
              <w:spacing w:after="0"/>
              <w:rPr>
                <w:sz w:val="20"/>
                <w:szCs w:val="20"/>
                <w:color w:val="auto"/>
              </w:rPr>
            </w:pPr>
            <w:r>
              <w:rPr>
                <w:rFonts w:ascii="Arial" w:cs="Arial" w:eastAsia="Arial" w:hAnsi="Arial"/>
                <w:sz w:val="11"/>
                <w:szCs w:val="11"/>
                <w:color w:val="auto"/>
              </w:rPr>
              <w:t xml:space="preserve">** 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w:t>
            </w:r>
          </w:p>
        </w:tc>
        <w:tc>
          <w:tcPr>
            <w:tcW w:w="640" w:type="dxa"/>
            <w:vAlign w:val="bottom"/>
          </w:tcPr>
          <w:p>
            <w:pPr>
              <w:spacing w:after="0"/>
              <w:rPr>
                <w:sz w:val="14"/>
                <w:szCs w:val="14"/>
                <w:color w:val="auto"/>
              </w:rPr>
            </w:pPr>
          </w:p>
        </w:tc>
      </w:tr>
      <w:tr>
        <w:trPr>
          <w:trHeight w:val="162"/>
        </w:trPr>
        <w:tc>
          <w:tcPr>
            <w:tcW w:w="9140" w:type="dxa"/>
            <w:vAlign w:val="bottom"/>
            <w:gridSpan w:val="3"/>
          </w:tcPr>
          <w:p>
            <w:pPr>
              <w:spacing w:after="0"/>
              <w:rPr>
                <w:sz w:val="20"/>
                <w:szCs w:val="20"/>
                <w:color w:val="auto"/>
              </w:rPr>
            </w:pPr>
            <w:r>
              <w:rPr>
                <w:rFonts w:ascii="Arial" w:cs="Arial" w:eastAsia="Arial" w:hAnsi="Arial"/>
                <w:sz w:val="11"/>
                <w:szCs w:val="11"/>
                <w:color w:val="auto"/>
              </w:rPr>
              <w:t xml:space="preserve">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tc>
        <w:tc>
          <w:tcPr>
            <w:tcW w:w="640" w:type="dxa"/>
            <w:vAlign w:val="bottom"/>
          </w:tcPr>
          <w:p>
            <w:pPr>
              <w:spacing w:after="0"/>
              <w:rPr>
                <w:sz w:val="14"/>
                <w:szCs w:val="14"/>
                <w:color w:val="auto"/>
              </w:rPr>
            </w:pPr>
          </w:p>
        </w:tc>
      </w:tr>
      <w:tr>
        <w:trPr>
          <w:trHeight w:val="162"/>
        </w:trPr>
        <w:tc>
          <w:tcPr>
            <w:tcW w:w="9140" w:type="dxa"/>
            <w:vAlign w:val="bottom"/>
            <w:gridSpan w:val="3"/>
          </w:tcPr>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tc>
        <w:tc>
          <w:tcPr>
            <w:tcW w:w="640" w:type="dxa"/>
            <w:vAlign w:val="bottom"/>
          </w:tcPr>
          <w:p>
            <w:pPr>
              <w:spacing w:after="0"/>
              <w:rPr>
                <w:sz w:val="14"/>
                <w:szCs w:val="14"/>
                <w:color w:val="auto"/>
              </w:rPr>
            </w:pPr>
          </w:p>
        </w:tc>
      </w:tr>
    </w:tbl>
    <w:p>
      <w:pPr>
        <w:sectPr>
          <w:pgSz w:w="11900" w:h="16838" w:orient="portrait"/>
          <w:cols w:equalWidth="0" w:num="1">
            <w:col w:w="11460"/>
          </w:cols>
          <w:pgMar w:left="220" w:top="209" w:right="21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554165"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2019-12-24T06:57:27Z</dcterms:created>
  <dcterms:modified xsi:type="dcterms:W3CDTF">2019-12-24T06:57:27Z</dcterms:modified>
</cp:coreProperties>
</file>