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6, 2015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20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Delaware</w:t>
            </w:r>
          </w:p>
        </w:tc>
        <w:tc>
          <w:tcPr>
            <w:tcW w:w="4280" w:type="dxa"/>
            <w:vAlign w:val="bottom"/>
          </w:tcPr>
          <w:p>
            <w:pPr>
              <w:jc w:val="center"/>
              <w:ind w:left="1210"/>
              <w:spacing w:after="0"/>
              <w:rPr>
                <w:sz w:val="20"/>
                <w:szCs w:val="20"/>
                <w:color w:val="auto"/>
              </w:rPr>
            </w:pPr>
            <w:r>
              <w:rPr>
                <w:rFonts w:ascii="Arial" w:cs="Arial" w:eastAsia="Arial" w:hAnsi="Arial"/>
                <w:sz w:val="18"/>
                <w:szCs w:val="18"/>
                <w:b w:val="1"/>
                <w:bCs w:val="1"/>
                <w:color w:val="auto"/>
                <w:w w:val="90"/>
              </w:rPr>
              <w:t>001-36156</w:t>
            </w:r>
          </w:p>
        </w:tc>
        <w:tc>
          <w:tcPr>
            <w:tcW w:w="3040" w:type="dxa"/>
            <w:vAlign w:val="bottom"/>
          </w:tcPr>
          <w:p>
            <w:pPr>
              <w:jc w:val="center"/>
              <w:ind w:left="1630"/>
              <w:spacing w:after="0"/>
              <w:rPr>
                <w:sz w:val="20"/>
                <w:szCs w:val="20"/>
                <w:color w:val="auto"/>
              </w:rPr>
            </w:pPr>
            <w:r>
              <w:rPr>
                <w:rFonts w:ascii="Arial" w:cs="Arial" w:eastAsia="Arial" w:hAnsi="Arial"/>
                <w:sz w:val="18"/>
                <w:szCs w:val="18"/>
                <w:b w:val="1"/>
                <w:bCs w:val="1"/>
                <w:color w:val="auto"/>
                <w:w w:val="91"/>
              </w:rPr>
              <w:t>20-5455398</w:t>
            </w:r>
          </w:p>
        </w:tc>
      </w:tr>
      <w:tr>
        <w:trPr>
          <w:trHeight w:val="216"/>
        </w:trPr>
        <w:tc>
          <w:tcPr>
            <w:tcW w:w="204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280" w:type="dxa"/>
            <w:vAlign w:val="bottom"/>
          </w:tcPr>
          <w:p>
            <w:pPr>
              <w:jc w:val="center"/>
              <w:ind w:left="1210"/>
              <w:spacing w:after="0"/>
              <w:rPr>
                <w:sz w:val="20"/>
                <w:szCs w:val="20"/>
                <w:color w:val="auto"/>
              </w:rPr>
            </w:pPr>
            <w:r>
              <w:rPr>
                <w:rFonts w:ascii="Arial" w:cs="Arial" w:eastAsia="Arial" w:hAnsi="Arial"/>
                <w:sz w:val="18"/>
                <w:szCs w:val="18"/>
                <w:color w:val="auto"/>
                <w:w w:val="93"/>
              </w:rPr>
              <w:t>(Commission</w:t>
            </w:r>
          </w:p>
        </w:tc>
        <w:tc>
          <w:tcPr>
            <w:tcW w:w="3040" w:type="dxa"/>
            <w:vAlign w:val="bottom"/>
          </w:tcPr>
          <w:p>
            <w:pPr>
              <w:jc w:val="center"/>
              <w:ind w:left="1610"/>
              <w:spacing w:after="0"/>
              <w:rPr>
                <w:sz w:val="20"/>
                <w:szCs w:val="20"/>
                <w:color w:val="auto"/>
              </w:rPr>
            </w:pPr>
            <w:r>
              <w:rPr>
                <w:rFonts w:ascii="Arial" w:cs="Arial" w:eastAsia="Arial" w:hAnsi="Arial"/>
                <w:sz w:val="18"/>
                <w:szCs w:val="18"/>
                <w:color w:val="auto"/>
                <w:w w:val="93"/>
              </w:rPr>
              <w:t>(IRS Employer</w:t>
            </w:r>
          </w:p>
        </w:tc>
      </w:tr>
      <w:tr>
        <w:trPr>
          <w:trHeight w:val="230"/>
        </w:trPr>
        <w:tc>
          <w:tcPr>
            <w:tcW w:w="2040" w:type="dxa"/>
            <w:vAlign w:val="bottom"/>
          </w:tcPr>
          <w:p>
            <w:pPr>
              <w:jc w:val="center"/>
              <w:ind w:right="70"/>
              <w:spacing w:after="0"/>
              <w:rPr>
                <w:sz w:val="20"/>
                <w:szCs w:val="20"/>
                <w:color w:val="auto"/>
              </w:rPr>
            </w:pPr>
            <w:r>
              <w:rPr>
                <w:rFonts w:ascii="Arial" w:cs="Arial" w:eastAsia="Arial" w:hAnsi="Arial"/>
                <w:sz w:val="18"/>
                <w:szCs w:val="18"/>
                <w:color w:val="auto"/>
                <w:w w:val="95"/>
              </w:rPr>
              <w:t>of incorporation)</w:t>
            </w:r>
          </w:p>
        </w:tc>
        <w:tc>
          <w:tcPr>
            <w:tcW w:w="4280" w:type="dxa"/>
            <w:vAlign w:val="bottom"/>
          </w:tcPr>
          <w:p>
            <w:pPr>
              <w:jc w:val="center"/>
              <w:ind w:left="1210"/>
              <w:spacing w:after="0"/>
              <w:rPr>
                <w:sz w:val="20"/>
                <w:szCs w:val="20"/>
                <w:color w:val="auto"/>
              </w:rPr>
            </w:pPr>
            <w:r>
              <w:rPr>
                <w:rFonts w:ascii="Arial" w:cs="Arial" w:eastAsia="Arial" w:hAnsi="Arial"/>
                <w:sz w:val="18"/>
                <w:szCs w:val="18"/>
                <w:color w:val="auto"/>
                <w:w w:val="94"/>
              </w:rPr>
              <w:t>File Number)</w:t>
            </w:r>
          </w:p>
        </w:tc>
        <w:tc>
          <w:tcPr>
            <w:tcW w:w="3040" w:type="dxa"/>
            <w:vAlign w:val="bottom"/>
          </w:tcPr>
          <w:p>
            <w:pPr>
              <w:jc w:val="center"/>
              <w:ind w:left="16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2040" w:type="dxa"/>
            <w:vAlign w:val="bottom"/>
          </w:tcPr>
          <w:p>
            <w:pPr>
              <w:spacing w:after="0"/>
              <w:rPr>
                <w:sz w:val="24"/>
                <w:szCs w:val="24"/>
                <w:color w:val="auto"/>
              </w:rPr>
            </w:pPr>
          </w:p>
        </w:tc>
        <w:tc>
          <w:tcPr>
            <w:tcW w:w="7320" w:type="dxa"/>
            <w:vAlign w:val="bottom"/>
            <w:gridSpan w:val="2"/>
          </w:tcPr>
          <w:p>
            <w:pPr>
              <w:ind w:left="160"/>
              <w:spacing w:after="0"/>
              <w:rPr>
                <w:sz w:val="20"/>
                <w:szCs w:val="20"/>
                <w:color w:val="auto"/>
              </w:rPr>
            </w:pPr>
            <w:r>
              <w:rPr>
                <w:rFonts w:ascii="Arial" w:cs="Arial" w:eastAsia="Arial" w:hAnsi="Arial"/>
                <w:sz w:val="18"/>
                <w:szCs w:val="18"/>
                <w:b w:val="1"/>
                <w:bCs w:val="1"/>
                <w:color w:val="auto"/>
              </w:rPr>
              <w:t>7000 Shoreline Court, Suite 250, South San Francisco, California 94080</w:t>
            </w:r>
          </w:p>
        </w:tc>
      </w:tr>
      <w:tr>
        <w:trPr>
          <w:trHeight w:val="230"/>
        </w:trPr>
        <w:tc>
          <w:tcPr>
            <w:tcW w:w="2040" w:type="dxa"/>
            <w:vAlign w:val="bottom"/>
          </w:tcPr>
          <w:p>
            <w:pPr>
              <w:spacing w:after="0"/>
              <w:rPr>
                <w:sz w:val="20"/>
                <w:szCs w:val="20"/>
                <w:color w:val="auto"/>
              </w:rPr>
            </w:pPr>
          </w:p>
        </w:tc>
        <w:tc>
          <w:tcPr>
            <w:tcW w:w="4280" w:type="dxa"/>
            <w:vAlign w:val="bottom"/>
          </w:tcPr>
          <w:p>
            <w:pPr>
              <w:ind w:left="1320"/>
              <w:spacing w:after="0"/>
              <w:rPr>
                <w:sz w:val="20"/>
                <w:szCs w:val="20"/>
                <w:color w:val="auto"/>
              </w:rPr>
            </w:pPr>
            <w:r>
              <w:rPr>
                <w:rFonts w:ascii="Arial" w:cs="Arial" w:eastAsia="Arial" w:hAnsi="Arial"/>
                <w:sz w:val="18"/>
                <w:szCs w:val="18"/>
                <w:color w:val="auto"/>
                <w:w w:val="95"/>
              </w:rPr>
              <w:t>(Address of principal executive offices)</w:t>
            </w:r>
          </w:p>
        </w:tc>
        <w:tc>
          <w:tcPr>
            <w:tcW w:w="3040" w:type="dxa"/>
            <w:vAlign w:val="bottom"/>
          </w:tcPr>
          <w:p>
            <w:pPr>
              <w:ind w:left="80"/>
              <w:spacing w:after="0"/>
              <w:rPr>
                <w:sz w:val="20"/>
                <w:szCs w:val="20"/>
                <w:color w:val="auto"/>
              </w:rPr>
            </w:pPr>
            <w:r>
              <w:rPr>
                <w:rFonts w:ascii="Arial" w:cs="Arial" w:eastAsia="Arial" w:hAnsi="Arial"/>
                <w:sz w:val="18"/>
                <w:szCs w:val="18"/>
                <w:color w:val="auto"/>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ind w:right="240" w:firstLine="8"/>
        <w:spacing w:after="0" w:line="277"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connection with his appointment as Senior Vice President, Strategic Finance and Operations, on April 6, 2015, Duncan T. Powell ceased to serve as the Principal Accounting Officer of Veracyte, Inc. (the “Company”).</w:t>
      </w:r>
    </w:p>
    <w:p>
      <w:pPr>
        <w:spacing w:after="0" w:line="170" w:lineRule="exact"/>
        <w:rPr>
          <w:rFonts w:ascii="Arial" w:cs="Arial" w:eastAsia="Arial" w:hAnsi="Arial"/>
          <w:sz w:val="18"/>
          <w:szCs w:val="18"/>
          <w:color w:val="auto"/>
        </w:rPr>
      </w:pPr>
    </w:p>
    <w:p>
      <w:pPr>
        <w:ind w:right="60" w:firstLine="8"/>
        <w:spacing w:after="0" w:line="255"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Also on April 6, 2015, the Board of Directors (the “Board”) of the Company appointed Shelly D. Guyer, the Company’s Chief Financial Officer, to serve in the additional position of principal accounting officer. Ms. Guyer, age 54, has served as the Company’s Chief Financial Officer since April 2013. Prior to joining the Company, Ms. Guyer served as Chief Financial Officer and Executive Vice President of Finance and Administration of iRhythm Technologies, Inc., a medical device and service company, from April 2008 to December 2012. Ms. Guyer has no family relationships with any of the Company’s directors or executive officers, and she has no direct or indirect material interest in any transaction required to be disclosed pursuant to Item 404(a) of Regulation S-K.</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640" w:firstLine="50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520"/>
        <w:spacing w:after="0"/>
        <w:rPr>
          <w:sz w:val="20"/>
          <w:szCs w:val="20"/>
          <w:color w:val="auto"/>
        </w:rPr>
      </w:pPr>
      <w:r>
        <w:rPr>
          <w:rFonts w:ascii="Arial" w:cs="Arial" w:eastAsia="Arial" w:hAnsi="Arial"/>
          <w:sz w:val="18"/>
          <w:szCs w:val="18"/>
          <w:color w:val="auto"/>
        </w:rPr>
        <w:t>Dated: April 7, 2015</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25" w:lineRule="exact"/>
        <w:rPr>
          <w:sz w:val="24"/>
          <w:szCs w:val="24"/>
          <w:color w:val="auto"/>
        </w:rPr>
      </w:pPr>
    </w:p>
    <w:tbl>
      <w:tblPr>
        <w:tblLayout w:type="fixed"/>
        <w:tblInd w:w="57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jc w:val="center"/>
              <w:ind w:right="3670"/>
              <w:spacing w:after="0"/>
              <w:rPr>
                <w:sz w:val="20"/>
                <w:szCs w:val="20"/>
                <w:color w:val="auto"/>
              </w:rPr>
            </w:pPr>
            <w:r>
              <w:rPr>
                <w:rFonts w:ascii="Arial" w:cs="Arial" w:eastAsia="Arial" w:hAnsi="Arial"/>
                <w:sz w:val="18"/>
                <w:szCs w:val="18"/>
                <w:color w:val="auto"/>
                <w:w w:val="92"/>
              </w:rPr>
              <w:t>/S/ Shelly D. Guyer</w:t>
            </w:r>
          </w:p>
        </w:tc>
      </w:tr>
      <w:tr>
        <w:trPr>
          <w:trHeight w:val="224"/>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5180" w:type="dxa"/>
            <w:vAlign w:val="bottom"/>
          </w:tcPr>
          <w:p>
            <w:pPr>
              <w:jc w:val="center"/>
              <w:ind w:right="3670"/>
              <w:spacing w:after="0"/>
              <w:rPr>
                <w:sz w:val="20"/>
                <w:szCs w:val="20"/>
                <w:color w:val="auto"/>
              </w:rPr>
            </w:pPr>
            <w:r>
              <w:rPr>
                <w:rFonts w:ascii="Arial" w:cs="Arial" w:eastAsia="Arial" w:hAnsi="Arial"/>
                <w:sz w:val="18"/>
                <w:szCs w:val="18"/>
                <w:color w:val="auto"/>
                <w:w w:val="93"/>
              </w:rPr>
              <w:t>Shelly D. Guyer</w:t>
            </w:r>
          </w:p>
        </w:tc>
      </w:tr>
    </w:tbl>
    <w:p>
      <w:pPr>
        <w:sectPr>
          <w:pgSz w:w="11900" w:h="16844" w:orient="portrait"/>
          <w:cols w:equalWidth="0" w:num="1">
            <w:col w:w="11420"/>
          </w:cols>
          <w:pgMar w:left="240" w:top="544" w:right="239" w:bottom="0" w:gutter="0" w:footer="0" w:header="0"/>
        </w:sectPr>
      </w:pPr>
    </w:p>
    <w:bookmarkStart w:id="1" w:name="page2"/>
    <w:bookmarkEnd w:id="1"/>
    <w:p>
      <w:pPr>
        <w:ind w:left="4520"/>
        <w:spacing w:after="0"/>
        <w:tabs>
          <w:tab w:leader="none" w:pos="51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Chief Financial Officer</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2019-12-08T19:16:33Z</dcterms:created>
  <dcterms:modified xsi:type="dcterms:W3CDTF">2019-12-08T19:16:33Z</dcterms:modified>
</cp:coreProperties>
</file>