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EASTHAM KARIN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660"/>
        <w:spacing w:after="0" w:line="365" w:lineRule="auto"/>
        <w:rPr>
          <w:sz w:val="20"/>
          <w:szCs w:val="20"/>
          <w:color w:val="auto"/>
        </w:rPr>
      </w:pPr>
      <w:r>
        <w:rPr>
          <w:rFonts w:ascii="Times New Roman" w:cs="Times New Roman" w:eastAsia="Times New Roman" w:hAnsi="Times New Roman"/>
          <w:sz w:val="17"/>
          <w:szCs w:val="17"/>
          <w:color w:val="0000FF"/>
        </w:rPr>
        <w:t>6000 SHORELINE COURT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VERACYTE,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VCYT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40" w:type="dxa"/>
            <w:vAlign w:val="bottom"/>
            <w:tcBorders>
              <w:bottom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06/13/2024</w:t>
            </w: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06/13/2024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11,473</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40,728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awarded on June 13, 2024 vest in full on the first anniversary of the date of the grant or immediately prior to the Company's next annual meeting of stockholders, if earlier. In addition, the restricted stock units vest in full in the event of a change in control of the Issuer.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06/17/2024</w:t>
            </w: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31845"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2024-06-17T15:50:40Z</dcterms:created>
  <dcterms:modified xsi:type="dcterms:W3CDTF">2024-06-17T15:50:40Z</dcterms:modified>
</cp:coreProperties>
</file>