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1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001-36156</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1"/>
              </w:rPr>
              <w:t>(State or other jurisdiction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5"/>
              </w:rPr>
              <w:t>of incorporation)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6000 Shoreline Court, Suite 300, South San Francisco, California 94080</w:t>
      </w:r>
    </w:p>
    <w:p>
      <w:pPr>
        <w:spacing w:after="0" w:line="27"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color w:val="auto"/>
        </w:rPr>
        <w:t>On November 1, 2016, Veracyte, Inc. announced that it has commenced an underwritten public offering of its common stock. A copy of the press release is attached hereto as Exhibit 99.1 and incorporated by reference herein.</w:t>
      </w:r>
    </w:p>
    <w:p>
      <w:pPr>
        <w:spacing w:after="0" w:line="170"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Veracyte, Inc. has updated its disclosures, including the addition of certain risk factors. The updated disclosures are filed herewith as Exhibit 99.2 and are incorporated herein by reference.</w:t>
      </w:r>
    </w:p>
    <w:p>
      <w:pPr>
        <w:spacing w:after="0" w:line="166"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ind w:left="1320" w:hanging="664"/>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Veracyte, Inc. dated November 1, 2016.</w:t>
      </w:r>
    </w:p>
    <w:p>
      <w:pPr>
        <w:spacing w:after="0" w:line="225"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Disclosures.</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Dated: November 1, 2016</w:t>
      </w:r>
    </w:p>
    <w:p>
      <w:pPr>
        <w:spacing w:after="0" w:line="22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VERACYTE, INC.</w:t>
      </w:r>
    </w:p>
    <w:p>
      <w:pPr>
        <w:sectPr>
          <w:pgSz w:w="11900" w:h="16838" w:orient="portrait"/>
          <w:cols w:equalWidth="0" w:num="1">
            <w:col w:w="11300"/>
          </w:cols>
          <w:pgMar w:left="240" w:top="544" w:right="35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60" w:type="dxa"/>
            <w:vAlign w:val="bottom"/>
          </w:tcPr>
          <w:p>
            <w:pPr>
              <w:ind w:left="4100"/>
              <w:spacing w:after="0"/>
              <w:rPr>
                <w:sz w:val="20"/>
                <w:szCs w:val="20"/>
                <w:color w:val="auto"/>
              </w:rPr>
            </w:pPr>
            <w:r>
              <w:rPr>
                <w:rFonts w:ascii="Arial" w:cs="Arial" w:eastAsia="Arial" w:hAnsi="Arial"/>
                <w:sz w:val="18"/>
                <w:szCs w:val="18"/>
                <w:color w:val="auto"/>
              </w:rPr>
              <w:t>By</w:t>
            </w:r>
          </w:p>
        </w:tc>
        <w:tc>
          <w:tcPr>
            <w:tcW w:w="4940" w:type="dxa"/>
            <w:vAlign w:val="bottom"/>
            <w:gridSpan w:val="2"/>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60" w:type="dxa"/>
            <w:vAlign w:val="bottom"/>
            <w:vMerge w:val="restart"/>
          </w:tcPr>
          <w:p>
            <w:pPr>
              <w:ind w:left="4100"/>
              <w:spacing w:after="0"/>
              <w:rPr>
                <w:sz w:val="20"/>
                <w:szCs w:val="20"/>
                <w:color w:val="auto"/>
              </w:rPr>
            </w:pPr>
            <w:r>
              <w:rPr>
                <w:rFonts w:ascii="Arial" w:cs="Arial" w:eastAsia="Arial" w:hAnsi="Arial"/>
                <w:sz w:val="18"/>
                <w:szCs w:val="18"/>
                <w:color w:val="auto"/>
              </w:rPr>
              <w:t>Name:</w:t>
            </w:r>
          </w:p>
        </w:tc>
        <w:tc>
          <w:tcPr>
            <w:tcW w:w="4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60" w:type="dxa"/>
            <w:vAlign w:val="bottom"/>
            <w:vMerge w:val="continue"/>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60" w:type="dxa"/>
            <w:vAlign w:val="bottom"/>
          </w:tcPr>
          <w:p>
            <w:pPr>
              <w:ind w:left="4100"/>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60" w:type="dxa"/>
            <w:vAlign w:val="bottom"/>
          </w:tcPr>
          <w:p>
            <w:pPr>
              <w:spacing w:after="0"/>
              <w:rPr>
                <w:sz w:val="23"/>
                <w:szCs w:val="23"/>
                <w:color w:val="auto"/>
              </w:rPr>
            </w:pPr>
          </w:p>
        </w:tc>
        <w:tc>
          <w:tcPr>
            <w:tcW w:w="49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Pr>
          <w:p>
            <w:pPr>
              <w:jc w:val="center"/>
              <w:ind w:left="3232"/>
              <w:spacing w:after="0"/>
              <w:rPr>
                <w:sz w:val="20"/>
                <w:szCs w:val="20"/>
                <w:color w:val="auto"/>
              </w:rPr>
            </w:pPr>
            <w:r>
              <w:rPr>
                <w:rFonts w:ascii="Arial" w:cs="Arial" w:eastAsia="Arial" w:hAnsi="Arial"/>
                <w:sz w:val="18"/>
                <w:szCs w:val="18"/>
                <w:color w:val="auto"/>
                <w:w w:val="99"/>
              </w:rPr>
              <w:t>3</w:t>
            </w: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Pr>
          <w:p>
            <w:pPr>
              <w:jc w:val="center"/>
              <w:ind w:left="3252"/>
              <w:spacing w:after="0"/>
              <w:rPr>
                <w:sz w:val="20"/>
                <w:szCs w:val="20"/>
                <w:color w:val="auto"/>
              </w:rPr>
            </w:pPr>
            <w:r>
              <w:rPr>
                <w:rFonts w:ascii="Arial" w:cs="Arial" w:eastAsia="Arial" w:hAnsi="Arial"/>
                <w:sz w:val="18"/>
                <w:szCs w:val="18"/>
                <w:color w:val="auto"/>
              </w:rPr>
              <w:t>EXHIBIT INDEX</w:t>
            </w: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800" w:type="dxa"/>
            <w:vAlign w:val="bottom"/>
            <w:gridSpan w:val="3"/>
          </w:tcPr>
          <w:p>
            <w:pPr>
              <w:ind w:left="44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99.1</w:t>
            </w:r>
          </w:p>
        </w:tc>
        <w:tc>
          <w:tcPr>
            <w:tcW w:w="280" w:type="dxa"/>
            <w:vAlign w:val="bottom"/>
          </w:tcPr>
          <w:p>
            <w:pPr>
              <w:spacing w:after="0"/>
              <w:rPr>
                <w:sz w:val="16"/>
                <w:szCs w:val="16"/>
                <w:color w:val="auto"/>
              </w:rPr>
            </w:pPr>
          </w:p>
        </w:tc>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4"/>
              </w:rPr>
              <w:t>Press release issued by Veracyte, Inc. dated November 1, 2016.</w:t>
            </w:r>
          </w:p>
        </w:tc>
        <w:tc>
          <w:tcPr>
            <w:tcW w:w="4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40" w:type="dxa"/>
            <w:vAlign w:val="bottom"/>
            <w:gridSpan w:val="2"/>
          </w:tcPr>
          <w:p>
            <w:pPr>
              <w:spacing w:after="0"/>
              <w:rPr>
                <w:sz w:val="20"/>
                <w:szCs w:val="20"/>
                <w:color w:val="auto"/>
              </w:rPr>
            </w:pPr>
            <w:r>
              <w:rPr>
                <w:rFonts w:ascii="Arial" w:cs="Arial" w:eastAsia="Arial" w:hAnsi="Arial"/>
                <w:sz w:val="18"/>
                <w:szCs w:val="18"/>
                <w:color w:val="auto"/>
              </w:rPr>
              <w:t>99.2</w:t>
            </w:r>
          </w:p>
        </w:tc>
        <w:tc>
          <w:tcPr>
            <w:tcW w:w="2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Disclosures.</w:t>
            </w:r>
          </w:p>
        </w:tc>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60" w:type="dxa"/>
            <w:vAlign w:val="bottom"/>
          </w:tcPr>
          <w:p>
            <w:pPr>
              <w:jc w:val="center"/>
              <w:ind w:left="3232"/>
              <w:spacing w:after="0"/>
              <w:rPr>
                <w:sz w:val="20"/>
                <w:szCs w:val="20"/>
                <w:color w:val="auto"/>
              </w:rPr>
            </w:pPr>
            <w:r>
              <w:rPr>
                <w:rFonts w:ascii="Arial" w:cs="Arial" w:eastAsia="Arial" w:hAnsi="Arial"/>
                <w:sz w:val="18"/>
                <w:szCs w:val="18"/>
                <w:color w:val="auto"/>
                <w:w w:val="99"/>
              </w:rPr>
              <w:t>4</w:t>
            </w:r>
          </w:p>
        </w:tc>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6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-1409700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-1409700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Proposed Public Offering of Common Stock</w:t>
      </w:r>
    </w:p>
    <w:p>
      <w:pPr>
        <w:spacing w:after="0" w:line="22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SOUTH SAN FRANCISCO, Calif., November 1</w:t>
      </w:r>
      <w:r>
        <w:rPr>
          <w:rFonts w:ascii="Arial" w:cs="Arial" w:eastAsia="Arial" w:hAnsi="Arial"/>
          <w:sz w:val="16"/>
          <w:szCs w:val="16"/>
          <w:color w:val="auto"/>
        </w:rPr>
        <w:t>, 2016 — Veracyte, Inc. (NASDAQ: VCYT) today announced that it has commenced an underwritten public</w:t>
      </w:r>
      <w:r>
        <w:rPr>
          <w:rFonts w:ascii="Arial" w:cs="Arial" w:eastAsia="Arial" w:hAnsi="Arial"/>
          <w:sz w:val="17"/>
          <w:szCs w:val="17"/>
          <w:color w:val="auto"/>
        </w:rPr>
        <w:t xml:space="preserve"> </w:t>
      </w:r>
      <w:r>
        <w:rPr>
          <w:rFonts w:ascii="Arial" w:cs="Arial" w:eastAsia="Arial" w:hAnsi="Arial"/>
          <w:sz w:val="16"/>
          <w:szCs w:val="16"/>
          <w:color w:val="auto"/>
        </w:rPr>
        <w:t>offering of its common stock. All of the shares are being offered by Veracyte. In addition, Veracyte expects to grant the underwriters a 30-day option to purchase additional shares of its common stock at the public offering price, less underwriting discounts and commissions. The offering is subject to market and other conditions, and there can be no assurance as to whether or when the offering may be completed, or as to the actual size or terms of the offering.</w:t>
      </w:r>
    </w:p>
    <w:p>
      <w:pPr>
        <w:spacing w:after="0" w:line="16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Veracyte intends to use the net proceeds from the offering for working capital and other general corporate purposes. Veracyte may also use a portion of the net proceeds from the offering to acquire or invest in complementary businesses, technologies or other assets, although it has no present commitments or agreements to do so.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 is acting as the sole book-running manager for the offering and BTIG, LLC is acting as lead manager.</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shares will be issued pursuant to a shelf registration statement previously filed with and subsequently declared effective by the Securities and Exchange Commission (SEC). A preliminary prospectus supplement and accompanying prospectus relating to the offering will be filed with the SEC and will be available on the SEC’s website. A copy of the preliminary prospectus supplement and accompanying prospectus relating to the offering, when available, may be obtained by contacting Leerink Partners LLC, Attention: Syndicate Department, One Federal Street, 37th Floor, Boston, MA, 02110, by email at syndicate@leerink.com, or by telephone at (800) 808-7525, ext. 6142.</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press release does not and shall not constitute an offer to sell or the solicitation of an offer to buy any securities, nor shall there be any sale of these securities in any state or other jurisdiction in which such offer, solicitation or sale would be unlawful prior to registration or qualification under the securities laws of any such state or other jurisdiction. Any offer, if at all, will be made only by means of a prospectus, including a prospectus supplement, forming a part of the effective registration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Veracyte (NASDAQ: VCYT) is pioneering the field of molecular cytology, offering genomic solutions that resolve diagnostic ambiguity and enable physicians to make more informed treatment decisions at an early stage in patient care. By improving diagnostic accuracy, the company aims to help patients avoid unnecessary invasive procedures while reducing healthcare costs. Veracyte’s Afirma</w:t>
      </w:r>
      <w:r>
        <w:rPr>
          <w:rFonts w:ascii="Arial" w:cs="Arial" w:eastAsia="Arial" w:hAnsi="Arial"/>
          <w:sz w:val="22"/>
          <w:szCs w:val="22"/>
          <w:b w:val="1"/>
          <w:bCs w:val="1"/>
          <w:color w:val="auto"/>
          <w:vertAlign w:val="superscript"/>
        </w:rPr>
        <w:t>®</w:t>
      </w:r>
      <w:r>
        <w:rPr>
          <w:rFonts w:ascii="Arial" w:cs="Arial" w:eastAsia="Arial" w:hAnsi="Arial"/>
          <w:sz w:val="17"/>
          <w:szCs w:val="17"/>
          <w:color w:val="auto"/>
        </w:rPr>
        <w:t xml:space="preserve"> Thyroid FNA Analysis centers on the proprietary Afirma Gene Expression Classifier (GEC) and is becoming a new standard of care in thyroid nodule assessment. Veracyte is expanding its molecular cytology franchise to other clinical areas, beginning with difficult-to-diagnose lung diseases. In 2015, the company launched the Percepta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Bronchial Genomic Classifier, a test to evaluate patients with lung nodules that are suspicious for cancer. In October 2016, Veracyte launched its second pulmonology product, the Envisia™ Genomic Classifier, to improve diagnosis of interstitial lung diseases, including idiopathic pulmonary fibrosis.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relating to Veracyte’s expectations regarding the completion, timing and size of the proposed public offering,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expectations with respect to granting the underwriters a 30-day option to purchase additional shares, and its intentions with respect to the use of net proceeds from the proposed offering.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those relating to related to completion of the public offering on the anticipated terms or at all, market conditions, the satisfaction of conditions to closing of the proposed offering,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and other risks set forth in the company’s filings with the Securities and Exchange Commission, including the risks set forth in the company’s Quarterly Report on Form 10-Q for the quarter ended June 30, 2016. These forward-looking statements speak only as of the date hereof and Veracyte specifically disclaims any obligation to update these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Canale Communications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pam@canalecomm.com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We are a molecular diagnostics company that focuses on genomic solutions that resolve diagnostic ambiguity, thus enabling physicians to make more informed treatment decisions at an early stage in patient care. By improving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cancer diagnosis. The Afirma GEC helps physicians reduce the number of unnecessary surgeries by approximately 50% by employing a proprietary 142-gene signature to identify benign thyroid nodules among those deemed indeterminate by cytopathology alone. An additional 25 genes are used to differentiate uncommon neoplasm subtypes. We established the Afirma GEC’s clinical validity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and have demonstrated the test’s clinical utility, cost effectiveness and analytical validity in over 20 studies published in peer-reviewed journals. The Afirma GEC is recommended in leading practice guidelines and is covered as a medically necessary test by payers for 185 million lives in the United States, including through Medicare and many commercial insurance plans. As of September 30, 2016, we had 155 million lives under contract. Since the commercial launch of Afirma in January 2011 through September 30, 2016, we have received 290,000 fine needle aspiration, or FNA, samples for evaluation using Afirma and performed over 65,000 GECs to resolve indeterminate cytopathology results. We estimate the addressable thyroid nodule diagnostic market opportunity today is approximately $500 million per year in the United States, and we believe that there is an estimated $300 million additional market opportunity for the Afirma GEC internationally.</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April 2015, we accelerated our entry into pulmonology with the launch of the Percepta Bronchial Genomic Classifier, which we obtained through our acquisition of Allegro Diagnostics Corp. in September 2014. The Percepta classifier is designed to improve lung cancer screening and diagnosis by helping to reduce unnecessary, invasive, risky and costly procedures in patients with suspicious lung nodules and lesions, typically found on CT scans. The 23-gene classifier identifies patients with lung nodules who are at low or very low risk of cancer following an inconclusive bronchoscopy result, making it possible to monitor these patients with CT scans in lieu of invasive diagnostic procedures. Clinical validation data from two prospective, multicenter studies, AEGIS I and II, were published in July 2015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February 2016, the first clinical utility study for the Percepta classifier was published in </w:t>
      </w:r>
      <w:r>
        <w:rPr>
          <w:rFonts w:ascii="Arial" w:cs="Arial" w:eastAsia="Arial" w:hAnsi="Arial"/>
          <w:sz w:val="16"/>
          <w:szCs w:val="16"/>
          <w:i w:val="1"/>
          <w:iCs w:val="1"/>
          <w:color w:val="auto"/>
        </w:rPr>
        <w:t>CHEST</w:t>
      </w:r>
      <w:r>
        <w:rPr>
          <w:rFonts w:ascii="Arial" w:cs="Arial" w:eastAsia="Arial" w:hAnsi="Arial"/>
          <w:sz w:val="16"/>
          <w:szCs w:val="16"/>
          <w:color w:val="auto"/>
        </w:rPr>
        <w:t xml:space="preserve">, the official journal of the American College of Chest Physicians, suggesting that use of the Percepta test could reduce unnecessary surgeries and other invasive procedures by as much as 50% in the evaluated patient population. Also in February 2016, analytical verification data for the Percepta classifier were published online in </w:t>
      </w:r>
      <w:r>
        <w:rPr>
          <w:rFonts w:ascii="Arial" w:cs="Arial" w:eastAsia="Arial" w:hAnsi="Arial"/>
          <w:sz w:val="16"/>
          <w:szCs w:val="16"/>
          <w:i w:val="1"/>
          <w:iCs w:val="1"/>
          <w:color w:val="auto"/>
        </w:rPr>
        <w:t>BMC Cancer,</w:t>
      </w:r>
      <w:r>
        <w:rPr>
          <w:rFonts w:ascii="Arial" w:cs="Arial" w:eastAsia="Arial" w:hAnsi="Arial"/>
          <w:sz w:val="16"/>
          <w:szCs w:val="16"/>
          <w:color w:val="auto"/>
        </w:rPr>
        <w:t xml:space="preserve"> establishing the quality and reproducibility of our testing processes. As of September 2016, three Medicare Administrative Contractors have issued draft local coverage policies that, if finalized, would cover Percepta for Medicare-eligible patients in those regions. As of September 2016, more than 40 thought-leading academic and other institutions around the country are offering Percepta to their patients during this initial stage of commercialization. We estimate the U.S. market opportunity for Percepta to be $425 million to $525 million today and expect the market to increase in size as lung cancer screening expands. The European market opportunity for Percepta is estimated to be $220 million.</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October 2016, we announced the launch of our third commercial test, the Envisia Genomic Classifier, which is also in pulmonology. This test is designed to enable improved diagnosis of idiopathic pulmonary fibrosis, or IPF, among patients presenting with a suspected interstitial lung disease, or ILD, without the need for surgery. The 190-gene classifier uses machine learning coupled with powerful, deep RNA sequencing to detect the presence or absence of usual interstitial pneumonia, or UIP, a classic diagnostic pattern that is essential for the diagnosis of IPF. In an independent test set, the Envisia classifier demonstrated high specificity (88%) and sensitivity (67%) for UIP on patient samples obtained through less-invasive bronchoscopy. The test’s results showed high concordance with review of surgical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samples by surgical pathology. Our initial focus for the Envisia classifier is on building the clinical evidence needed to secure coverage and reimbursement from Medicare and private payers. We estimate the addressable market for our Envisia test to be over $500 million in the United States and Europe.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commercialization efforts may not be successful. We also launched Envisia for improved diagnosis of Idiopathic Pulmonary Fibrosis in October 2016, and our commercialization efforts for Envisia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solutions for these diseases. If we are unable to increase sales and expand reimbursement for Afirma, or successfully commercialize and obtain coverage and reimbursement for Percepta and Envisia and develop and commercialize other solutions, our revenue and our ability to achieve and sustain profitability would be impaired, and the market price of our common stock could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1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2019-12-08T13:01:42Z</dcterms:created>
  <dcterms:modified xsi:type="dcterms:W3CDTF">2019-12-08T13:01:42Z</dcterms:modified>
</cp:coreProperties>
</file>