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49549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954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McGuire Annie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6000 SHORELINE COURT, SUITE 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VERACYTE,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VCYT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4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03/06/2023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8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SVP, General Counsel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9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80" w:type="dxa"/>
            <w:vAlign w:val="bottom"/>
            <w:gridSpan w:val="9"/>
          </w:tcPr>
          <w:p>
            <w:pPr>
              <w:jc w:val="center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03/06/2023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23,413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54,818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jc w:val="center"/>
              <w:ind w:left="4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23.73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03/06/2023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38,660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03/06/2033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38,660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38,660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awarded on March 6, 2023 vest 25% on March 2, 2024 and 1/16 per quarter thereafter subject to continuing employment of the Reporting Person on each vesting date.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2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becomes exercisable as to 25% of the shares on March 2, 2024, and the remaining shares vest at a rate of 1/48th of the total number of shares subject to the award for each month of continuous service thereafter.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Jonathan Wygant as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03/09/2023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040" w:type="dxa"/>
            <w:vAlign w:val="bottom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attorney-in-fact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0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914620" TargetMode="External"/><Relationship Id="rId13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2023-03-09T18:23:07Z</dcterms:created>
  <dcterms:modified xsi:type="dcterms:W3CDTF">2023-03-09T18:23:07Z</dcterms:modified>
</cp:coreProperties>
</file>