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0"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Date of Report (Date of earliest event reported): September 30, 2016</w:t>
      </w:r>
    </w:p>
    <w:p>
      <w:pPr>
        <w:spacing w:after="0" w:line="255" w:lineRule="exact"/>
        <w:rPr>
          <w:sz w:val="24"/>
          <w:szCs w:val="24"/>
          <w:color w:val="auto"/>
        </w:rPr>
      </w:pPr>
    </w:p>
    <w:p>
      <w:pPr>
        <w:jc w:val="center"/>
        <w:ind w:right="-519"/>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ind w:left="3680"/>
        <w:spacing w:after="0"/>
        <w:rPr>
          <w:sz w:val="20"/>
          <w:szCs w:val="20"/>
          <w:color w:val="auto"/>
        </w:rPr>
      </w:pPr>
      <w:r>
        <w:rPr>
          <w:rFonts w:ascii="Arial" w:cs="Arial" w:eastAsia="Arial" w:hAnsi="Arial"/>
          <w:sz w:val="19"/>
          <w:szCs w:val="19"/>
          <w:color w:val="auto"/>
        </w:rPr>
        <w:t>(Exact name of registrant as specified in its charter)</w:t>
      </w:r>
    </w:p>
    <w:p>
      <w:pPr>
        <w:sectPr>
          <w:pgSz w:w="11900" w:h="16838" w:orient="portrait"/>
          <w:cols w:equalWidth="0" w:num="1">
            <w:col w:w="10740"/>
          </w:cols>
          <w:pgMar w:left="320" w:top="1192" w:right="839" w:bottom="1440" w:gutter="0" w:footer="0" w:header="0"/>
        </w:sectPr>
      </w:pPr>
    </w:p>
    <w:p>
      <w:pPr>
        <w:spacing w:after="0" w:line="364" w:lineRule="exact"/>
        <w:rPr>
          <w:sz w:val="24"/>
          <w:szCs w:val="24"/>
          <w:color w:val="auto"/>
        </w:rPr>
      </w:pPr>
    </w:p>
    <w:p>
      <w:pPr>
        <w:ind w:left="11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90" w:lineRule="exact"/>
        <w:rPr>
          <w:sz w:val="24"/>
          <w:szCs w:val="24"/>
          <w:color w:val="auto"/>
        </w:rPr>
      </w:pPr>
    </w:p>
    <w:p>
      <w:pPr>
        <w:sectPr>
          <w:pgSz w:w="11900" w:h="16838" w:orient="portrait"/>
          <w:cols w:equalWidth="0" w:num="3">
            <w:col w:w="4420" w:space="720"/>
            <w:col w:w="3220" w:space="720"/>
            <w:col w:w="1660"/>
          </w:cols>
          <w:pgMar w:left="320" w:top="1192" w:right="839" w:bottom="1440" w:gutter="0" w:footer="0" w:header="0"/>
          <w:type w:val="continuous"/>
        </w:sectPr>
      </w:pPr>
    </w:p>
    <w:p>
      <w:pPr>
        <w:jc w:val="center"/>
        <w:ind w:right="6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60"/>
        <w:spacing w:after="0"/>
        <w:rPr>
          <w:sz w:val="20"/>
          <w:szCs w:val="20"/>
          <w:color w:val="auto"/>
        </w:rPr>
      </w:pPr>
      <w:r>
        <w:rPr>
          <w:rFonts w:ascii="Arial" w:cs="Arial" w:eastAsia="Arial" w:hAnsi="Arial"/>
          <w:sz w:val="17"/>
          <w:szCs w:val="17"/>
          <w:color w:val="auto"/>
        </w:rPr>
        <w:t>(IRS Employer Identification</w:t>
      </w:r>
    </w:p>
    <w:p>
      <w:pPr>
        <w:spacing w:after="0" w:line="35"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3880" w:space="720"/>
            <w:col w:w="3140" w:space="720"/>
            <w:col w:w="2280"/>
          </w:cols>
          <w:pgMar w:left="320" w:top="1192" w:right="839" w:bottom="1440" w:gutter="0" w:footer="0" w:header="0"/>
          <w:type w:val="continuous"/>
        </w:sectPr>
      </w:pPr>
    </w:p>
    <w:p>
      <w:pPr>
        <w:spacing w:after="0" w:line="196" w:lineRule="exact"/>
        <w:rPr>
          <w:sz w:val="24"/>
          <w:szCs w:val="24"/>
          <w:color w:val="auto"/>
        </w:rPr>
      </w:pPr>
    </w:p>
    <w:p>
      <w:pPr>
        <w:ind w:left="70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94080</w:t>
      </w:r>
    </w:p>
    <w:p>
      <w:pPr>
        <w:spacing w:after="0" w:line="101" w:lineRule="exact"/>
        <w:rPr>
          <w:sz w:val="24"/>
          <w:szCs w:val="24"/>
          <w:color w:val="auto"/>
        </w:rPr>
      </w:pPr>
    </w:p>
    <w:p>
      <w:pPr>
        <w:sectPr>
          <w:pgSz w:w="11900" w:h="16838" w:orient="portrait"/>
          <w:cols w:equalWidth="0" w:num="2">
            <w:col w:w="8120" w:space="720"/>
            <w:col w:w="1900"/>
          </w:cols>
          <w:pgMar w:left="320" w:top="1192" w:right="839" w:bottom="1440" w:gutter="0" w:footer="0" w:header="0"/>
          <w:type w:val="continuous"/>
        </w:sectPr>
      </w:pPr>
    </w:p>
    <w:p>
      <w:pPr>
        <w:ind w:left="1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940" w:space="720"/>
            <w:col w:w="2080"/>
          </w:cols>
          <w:pgMar w:left="320" w:top="1192" w:right="839" w:bottom="1440" w:gutter="0" w:footer="0" w:header="0"/>
          <w:type w:val="continuous"/>
        </w:sectPr>
      </w:pPr>
    </w:p>
    <w:p>
      <w:pPr>
        <w:spacing w:after="0" w:line="71"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line="25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ind w:left="460" w:hanging="451"/>
        <w:spacing w:after="0" w:line="200" w:lineRule="auto"/>
        <w:tabs>
          <w:tab w:leader="none" w:pos="46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MS PGothic" w:cs="MS PGothic" w:eastAsia="MS PGothic" w:hAnsi="MS PGothic"/>
          <w:sz w:val="34"/>
          <w:szCs w:val="34"/>
          <w:color w:val="auto"/>
          <w:vertAlign w:val="subscript"/>
        </w:rPr>
      </w:pPr>
    </w:p>
    <w:p>
      <w:pPr>
        <w:ind w:left="460" w:hanging="451"/>
        <w:spacing w:after="0" w:line="205" w:lineRule="auto"/>
        <w:tabs>
          <w:tab w:leader="none" w:pos="46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color w:val="auto"/>
        </w:rPr>
        <w:t>Soliciting material pursuant to Rule 14a-12 under the Exchange Act (17 CFR 240.14a-12)</w:t>
      </w:r>
    </w:p>
    <w:p>
      <w:pPr>
        <w:spacing w:after="0" w:line="87" w:lineRule="exact"/>
        <w:rPr>
          <w:rFonts w:ascii="MS PGothic" w:cs="MS PGothic" w:eastAsia="MS PGothic" w:hAnsi="MS PGothic"/>
          <w:sz w:val="34"/>
          <w:szCs w:val="34"/>
          <w:color w:val="auto"/>
          <w:vertAlign w:val="subscript"/>
        </w:rPr>
      </w:pPr>
    </w:p>
    <w:p>
      <w:pPr>
        <w:ind w:left="460" w:hanging="451"/>
        <w:spacing w:after="0" w:line="205" w:lineRule="auto"/>
        <w:tabs>
          <w:tab w:leader="none" w:pos="46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color w:val="auto"/>
        </w:rPr>
        <w:t>Pre-commencement communications pursuant to Rule 14d-2(b) under the Exchange Act (17 CFR 240.14d-2(b))</w:t>
      </w:r>
    </w:p>
    <w:p>
      <w:pPr>
        <w:spacing w:after="0" w:line="87" w:lineRule="exact"/>
        <w:rPr>
          <w:rFonts w:ascii="MS PGothic" w:cs="MS PGothic" w:eastAsia="MS PGothic" w:hAnsi="MS PGothic"/>
          <w:sz w:val="34"/>
          <w:szCs w:val="34"/>
          <w:color w:val="auto"/>
          <w:vertAlign w:val="subscript"/>
        </w:rPr>
      </w:pPr>
    </w:p>
    <w:p>
      <w:pPr>
        <w:ind w:left="460" w:hanging="451"/>
        <w:spacing w:after="0" w:line="205" w:lineRule="auto"/>
        <w:tabs>
          <w:tab w:leader="none" w:pos="46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290195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453390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40"/>
          </w:cols>
          <w:pgMar w:left="320" w:top="1192"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2016, Veracyte, Inc. (the Company) issued a press release on the Centers for Medicare and Medicaid Services’ (CMS) final 2017 “gapfill” Medicare reimbursement rate for the Afirma Gene Expression Classifier (GEC). The full text of the press release is furnished as Exhibit 99.1 to this Current Report on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On September 30, 2016, the CMS’ final 2017 gapfill Medicare reimbursement rate for the Afirma GEC was released. The final 2017 gapfill rate for the Afirma GEC as published is $2,864.45. The Company plans to file a reconsideration request with CMS regarding this 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40"/>
        <w:spacing w:after="0"/>
        <w:tabs>
          <w:tab w:leader="none" w:pos="60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September 30, 2016.</w:t>
      </w:r>
    </w:p>
    <w:p>
      <w:pPr>
        <w:sectPr>
          <w:pgSz w:w="11900" w:h="16838" w:orient="portrait"/>
          <w:cols w:equalWidth="0" w:num="1">
            <w:col w:w="11320"/>
          </w:cols>
          <w:pgMar w:left="24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64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October 3, 2016</w:t>
      </w:r>
    </w:p>
    <w:p>
      <w:pPr>
        <w:spacing w:after="0" w:line="33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Pr>
          <w:p>
            <w:pPr>
              <w:ind w:left="20"/>
              <w:spacing w:after="0"/>
              <w:rPr>
                <w:sz w:val="20"/>
                <w:szCs w:val="20"/>
                <w:color w:val="auto"/>
              </w:rPr>
            </w:pPr>
            <w:r>
              <w:rPr>
                <w:rFonts w:ascii="Arial" w:cs="Arial" w:eastAsia="Arial" w:hAnsi="Arial"/>
                <w:sz w:val="18"/>
                <w:szCs w:val="18"/>
                <w:color w:val="auto"/>
              </w:rPr>
              <w:t>/s/ Julie A. Brooks</w:t>
            </w:r>
          </w:p>
        </w:tc>
        <w:tc>
          <w:tcPr>
            <w:tcW w:w="0" w:type="dxa"/>
            <w:vAlign w:val="bottom"/>
          </w:tcPr>
          <w:p>
            <w:pPr>
              <w:spacing w:after="0"/>
              <w:rPr>
                <w:sz w:val="1"/>
                <w:szCs w:val="1"/>
                <w:color w:val="auto"/>
              </w:rPr>
            </w:pPr>
          </w:p>
        </w:tc>
      </w:tr>
      <w:tr>
        <w:trPr>
          <w:trHeight w:val="27"/>
        </w:trPr>
        <w:tc>
          <w:tcPr>
            <w:tcW w:w="7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Julie A. Brooks</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7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154940</wp:posOffset>
            </wp:positionV>
            <wp:extent cx="118364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36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Releases Statement on CMS’s Final 2017 Gapfill Rate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Afirma</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Gene Expression Classifier</w:t>
      </w:r>
    </w:p>
    <w:p>
      <w:pPr>
        <w:spacing w:after="0" w:line="348"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 xml:space="preserve">SOUTH SAN FRANCISCO, Calif., September 30, 2016 -- </w:t>
      </w:r>
      <w:r>
        <w:rPr>
          <w:rFonts w:ascii="Arial" w:cs="Arial" w:eastAsia="Arial" w:hAnsi="Arial"/>
          <w:sz w:val="18"/>
          <w:szCs w:val="18"/>
          <w:color w:val="auto"/>
        </w:rPr>
        <w:t>Veracyte, Inc.</w:t>
      </w:r>
      <w:r>
        <w:rPr>
          <w:rFonts w:ascii="Arial" w:cs="Arial" w:eastAsia="Arial" w:hAnsi="Arial"/>
          <w:sz w:val="17"/>
          <w:szCs w:val="17"/>
          <w:color w:val="auto"/>
        </w:rPr>
        <w:t xml:space="preserve"> (NASDAQ: VCYT), a genomic diagnostics company focused on reducing diagnostic uncertainty, today issued the statement below on the Centers for Medicare and Medicaid Services’ (CMS) final 2017 “gapfill” Medicare reimbursement rate for the Afirma Gene Expression Classifier (GEC), which the agency released this afternoon. The rate is intended to be in effect for one year before new Medicare rates based on private-payer reimbursement amounts are instated on January 1, 2018.</w:t>
      </w:r>
    </w:p>
    <w:p>
      <w:pPr>
        <w:spacing w:after="0" w:line="15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Medicare has covered the Afirma GEC since 2012 at a rate of $3,200. To date, the genomic test has helped an estimated more than 25,000 patients avoid unnecessary thyroid surgery and the often-resulting lifelong need for daily hormone replacement therapy. The final 2017 gapfill rate for the Afirma GEC as published is $2,864.45, which is based on the median rate submitted by all Medicare Administrative Contractors (MACs), regardless of whether they have experience with the genomic test or not. Medicare represents approximately 20 percent of Afirma GEC test volume.</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pleased that the final Afirma GEC rate is higher than the preliminary rate announced by CMS in June,” said Bonnie Anderson, Veracyte’s president and chief executive officer. “However, we believe this new rate is still based on a flawed application of the CMS gapfill criteria. We plan to file a reconsideration request with CMS because we believe the data that we provided to the MACs support a higher rate, based on CMS’s gapfill criteria. We are hopeful that CMS will override this misguided result and uphold its commitment to bring more transparency to its rate-setting processes, which is at the heart of PAMA (the Protecting Access to Medicare Act).”</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Through the current gapfill process, the price of a test is determined by the median price submitted by each of the MACs. The MAC (Noridian) that currently processes Medicare claims for the Afirma GEC submitted a rate that matches the test’s current rate of $3,200; other MACs, which have no experience with the test, submitted lower rates.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Beginning January 1, 2018, through PAMA, Medicare reimbursement for advanced genomic tests such as the Afirma GEC will be based on the median price paid by commercial payers, which Veracyte calculates as above $3,200 for the Afirma GEC. Under PAMA, the new market-based Medicare rates will override any prior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w:t>
      </w:r>
      <w:r>
        <w:rPr>
          <w:rFonts w:ascii="Arial" w:cs="Arial" w:eastAsia="Arial" w:hAnsi="Arial"/>
          <w:sz w:val="24"/>
          <w:szCs w:val="24"/>
          <w:b w:val="1"/>
          <w:bCs w:val="1"/>
          <w:color w:val="auto"/>
          <w:vertAlign w:val="superscript"/>
        </w:rPr>
        <w:t>®</w:t>
      </w:r>
      <w:r>
        <w:rPr>
          <w:rFonts w:ascii="Arial" w:cs="Arial" w:eastAsia="Arial" w:hAnsi="Arial"/>
          <w:sz w:val="17"/>
          <w:szCs w:val="17"/>
          <w:color w:val="auto"/>
        </w:rPr>
        <w:t xml:space="preserve"> Thyroid FNA Analysis centers on the proprietary Afirma Gene Expression Classifier (GEC) and is becoming a new standard of care in thyroid nodule assessment. The Afirma test is recommended in leading practice guidelines and is covered for 185 million lives in the United States, including through Medicare and many commercial insurance plans. Veracyte is expanding its molecular cytology franchise to other clinical areas, beginning with difficult-to-diagnose lung diseases. In 2015, the company launched the Percepta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Bronchial Genomic Classifier, a test to evaluate patients with lung nodules that are</w:t>
      </w:r>
    </w:p>
    <w:p>
      <w:pPr>
        <w:sectPr>
          <w:pgSz w:w="11900" w:h="16838" w:orient="portrait"/>
          <w:cols w:equalWidth="0" w:num="1">
            <w:col w:w="11420"/>
          </w:cols>
          <w:pgMar w:left="240" w:top="364" w:right="239" w:bottom="1440" w:gutter="0" w:footer="0" w:header="0"/>
        </w:sectPr>
      </w:pPr>
    </w:p>
    <w:bookmarkStart w:id="4" w:name="page5"/>
    <w:bookmarkEnd w:id="4"/>
    <w:p>
      <w:pPr>
        <w:ind w:right="140"/>
        <w:spacing w:after="0" w:line="264" w:lineRule="auto"/>
        <w:rPr>
          <w:sz w:val="20"/>
          <w:szCs w:val="20"/>
          <w:color w:val="auto"/>
        </w:rPr>
      </w:pPr>
      <w:r>
        <w:rPr>
          <w:rFonts w:ascii="Arial" w:cs="Arial" w:eastAsia="Arial" w:hAnsi="Arial"/>
          <w:sz w:val="18"/>
          <w:szCs w:val="18"/>
          <w:color w:val="auto"/>
        </w:rPr>
        <w:t>suspicious for cancer, which has already received draft Medicare coverage. In the fourth quarter of 2016, Veracyte plans to launch its second pulmonology product, the Envisia™ Genomic Classifier, to improve diagnosis of interstitial lung diseases, including idiopathic pulmonary fibrosis. For more information, please visit www.veracyte.com.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regarding full-year 2016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of commercialization; the size of the market opportunity for our products; our ability to successfully achieve adoption of and adequate reimbursement for our products; the amount by which use of our products are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obtain capital when needed; and other risks set forth in the company's filings with the Securities and Exchange Commission, including the risks set forth in the company's Quarterly Report on Form 10-Q for the quarter ended June 30, 2016. These forward-looking statements speak only as of the date hereof and Veracyte specifically disclaims any obligation to update these forward-looking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2019-12-08T13:39:06Z</dcterms:created>
  <dcterms:modified xsi:type="dcterms:W3CDTF">2019-12-08T13:39:06Z</dcterms:modified>
</cp:coreProperties>
</file>