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333-231173</w:t>
      </w:r>
    </w:p>
    <w:p>
      <w:pPr>
        <w:spacing w:after="0" w:line="139" w:lineRule="exact"/>
        <w:rPr>
          <w:sz w:val="24"/>
          <w:szCs w:val="24"/>
          <w:color w:val="auto"/>
        </w:rPr>
      </w:pPr>
    </w:p>
    <w:p>
      <w:pPr>
        <w:ind w:left="200" w:right="100"/>
        <w:spacing w:after="0" w:line="266" w:lineRule="auto"/>
        <w:rPr>
          <w:sz w:val="20"/>
          <w:szCs w:val="20"/>
          <w:color w:val="auto"/>
        </w:rPr>
      </w:pPr>
      <w:r>
        <w:rPr>
          <w:rFonts w:ascii="Arial" w:cs="Arial" w:eastAsia="Arial" w:hAnsi="Arial"/>
          <w:sz w:val="18"/>
          <w:szCs w:val="18"/>
          <w:b w:val="1"/>
          <w:bCs w:val="1"/>
          <w:color w:val="EB0029"/>
        </w:rPr>
        <w:t>The information contained in this preliminary prospectus supplement is not complete and may be changed. This preliminary prospectus supplement and the accompanying prospectus are not an offer to sell nor do they seek an offer to buy these securities in any jurisdiction where such offer or sale is not permitted.</w:t>
      </w:r>
    </w:p>
    <w:p>
      <w:pPr>
        <w:spacing w:after="0" w:line="10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EB0029"/>
        </w:rPr>
        <w:t>Subject to completion, dated May 2, 2019</w:t>
      </w:r>
    </w:p>
    <w:p>
      <w:pPr>
        <w:spacing w:after="0" w:line="117"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(To Prospectus dated May 2, 2019)</w:t>
      </w:r>
    </w:p>
    <w:p>
      <w:pPr>
        <w:spacing w:after="0" w:line="18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178435</wp:posOffset>
            </wp:positionV>
            <wp:extent cx="1920875" cy="138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875" cy="1389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Veracyte, Inc.</w:t>
      </w:r>
    </w:p>
    <w:p>
      <w:pPr>
        <w:spacing w:after="0" w:line="242"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We are offering 5,000,000 shares of our common stock.</w:t>
      </w:r>
    </w:p>
    <w:p>
      <w:pPr>
        <w:spacing w:after="0" w:line="225" w:lineRule="exact"/>
        <w:rPr>
          <w:sz w:val="24"/>
          <w:szCs w:val="24"/>
          <w:color w:val="auto"/>
        </w:rPr>
      </w:pPr>
    </w:p>
    <w:p>
      <w:pPr>
        <w:ind w:left="200" w:right="26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April 30, 2019, the last reported sale price of our shares of common stock on The Nasdaq Global Market was $22.87 per share.</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We are a smaller reporting company under the federal securities laws and are subject to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200" w:right="86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 of this prospectus supplement.</w:t>
      </w:r>
    </w:p>
    <w:p>
      <w:pPr>
        <w:spacing w:after="0" w:line="182" w:lineRule="exact"/>
        <w:rPr>
          <w:sz w:val="24"/>
          <w:szCs w:val="24"/>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32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2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(Conflict of Interest)” for a description of compensation payable to the underwriters.</w:t>
      </w:r>
    </w:p>
    <w:p>
      <w:pPr>
        <w:spacing w:after="0" w:line="225" w:lineRule="exact"/>
        <w:rPr>
          <w:sz w:val="24"/>
          <w:szCs w:val="24"/>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We have granted the underwriters the right to purchase up to 750,000 additional shares of our common stock. The underwriters may exercise this right at any time within 30 days after the date of this prospectus supplement.</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or about May 7, 2019.</w:t>
      </w:r>
    </w:p>
    <w:p>
      <w:pPr>
        <w:spacing w:after="0" w:line="329" w:lineRule="exact"/>
        <w:rPr>
          <w:sz w:val="24"/>
          <w:szCs w:val="24"/>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217805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tbl>
      <w:tblPr>
        <w:tblLayout w:type="fixed"/>
        <w:tblInd w:w="20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7860" w:type="dxa"/>
            <w:vAlign w:val="bottom"/>
            <w:gridSpan w:val="3"/>
          </w:tcPr>
          <w:p>
            <w:pPr>
              <w:jc w:val="center"/>
              <w:ind w:right="3014"/>
              <w:spacing w:after="0"/>
              <w:rPr>
                <w:sz w:val="20"/>
                <w:szCs w:val="20"/>
                <w:color w:val="auto"/>
              </w:rPr>
            </w:pPr>
            <w:r>
              <w:rPr>
                <w:rFonts w:ascii="Arial" w:cs="Arial" w:eastAsia="Arial" w:hAnsi="Arial"/>
                <w:sz w:val="18"/>
                <w:szCs w:val="18"/>
                <w:b w:val="1"/>
                <w:bCs w:val="1"/>
                <w:i w:val="1"/>
                <w:iCs w:val="1"/>
                <w:color w:val="auto"/>
                <w:w w:val="89"/>
              </w:rPr>
              <w:t>Lead Book-Running Managers</w:t>
            </w:r>
          </w:p>
        </w:tc>
      </w:tr>
      <w:tr>
        <w:trPr>
          <w:trHeight w:val="586"/>
        </w:trPr>
        <w:tc>
          <w:tcPr>
            <w:tcW w:w="3160" w:type="dxa"/>
            <w:vAlign w:val="bottom"/>
          </w:tcPr>
          <w:p>
            <w:pPr>
              <w:spacing w:after="0"/>
              <w:rPr>
                <w:sz w:val="20"/>
                <w:szCs w:val="20"/>
                <w:color w:val="auto"/>
              </w:rPr>
            </w:pPr>
            <w:r>
              <w:rPr>
                <w:rFonts w:ascii="Arial" w:cs="Arial" w:eastAsia="Arial" w:hAnsi="Arial"/>
                <w:sz w:val="29"/>
                <w:szCs w:val="29"/>
                <w:b w:val="1"/>
                <w:bCs w:val="1"/>
                <w:color w:val="auto"/>
              </w:rPr>
              <w:t>Morgan Stanley</w:t>
            </w:r>
          </w:p>
        </w:tc>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60" w:type="dxa"/>
            <w:vAlign w:val="bottom"/>
          </w:tcPr>
          <w:p>
            <w:pPr>
              <w:ind w:left="2960"/>
              <w:spacing w:after="0"/>
              <w:rPr>
                <w:sz w:val="20"/>
                <w:szCs w:val="20"/>
                <w:color w:val="auto"/>
              </w:rPr>
            </w:pPr>
            <w:r>
              <w:rPr>
                <w:rFonts w:ascii="Arial" w:cs="Arial" w:eastAsia="Arial" w:hAnsi="Arial"/>
                <w:sz w:val="25"/>
                <w:szCs w:val="25"/>
                <w:b w:val="1"/>
                <w:bCs w:val="1"/>
                <w:color w:val="auto"/>
                <w:w w:val="93"/>
              </w:rPr>
              <w:t>SVB Leerink</w:t>
            </w:r>
          </w:p>
        </w:tc>
      </w:tr>
      <w:tr>
        <w:trPr>
          <w:trHeight w:val="346"/>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26"/>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60" w:type="dxa"/>
            <w:vAlign w:val="bottom"/>
            <w:gridSpan w:val="2"/>
          </w:tcPr>
          <w:p>
            <w:pPr>
              <w:jc w:val="center"/>
              <w:ind w:right="4214"/>
              <w:spacing w:after="0"/>
              <w:rPr>
                <w:sz w:val="20"/>
                <w:szCs w:val="20"/>
                <w:color w:val="auto"/>
              </w:rPr>
            </w:pPr>
            <w:r>
              <w:rPr>
                <w:rFonts w:ascii="Arial" w:cs="Arial" w:eastAsia="Arial" w:hAnsi="Arial"/>
                <w:sz w:val="18"/>
                <w:szCs w:val="18"/>
                <w:b w:val="1"/>
                <w:bCs w:val="1"/>
                <w:i w:val="1"/>
                <w:iCs w:val="1"/>
                <w:color w:val="auto"/>
                <w:w w:val="90"/>
              </w:rPr>
              <w:t>Book-Running Manager</w:t>
            </w:r>
          </w:p>
        </w:tc>
      </w:tr>
      <w:tr>
        <w:trPr>
          <w:trHeight w:val="522"/>
        </w:trPr>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60" w:type="dxa"/>
            <w:vAlign w:val="bottom"/>
            <w:gridSpan w:val="2"/>
          </w:tcPr>
          <w:p>
            <w:pPr>
              <w:jc w:val="center"/>
              <w:ind w:right="4214"/>
              <w:spacing w:after="0"/>
              <w:rPr>
                <w:sz w:val="20"/>
                <w:szCs w:val="20"/>
                <w:color w:val="auto"/>
              </w:rPr>
            </w:pPr>
            <w:r>
              <w:rPr>
                <w:rFonts w:ascii="Arial" w:cs="Arial" w:eastAsia="Arial" w:hAnsi="Arial"/>
                <w:sz w:val="25"/>
                <w:szCs w:val="25"/>
                <w:b w:val="1"/>
                <w:bCs w:val="1"/>
                <w:color w:val="auto"/>
                <w:w w:val="98"/>
              </w:rPr>
              <w:t>William Blair</w:t>
            </w:r>
          </w:p>
        </w:tc>
      </w:tr>
    </w:tbl>
    <w:p>
      <w:pPr>
        <w:sectPr>
          <w:pgSz w:w="11900" w:h="16838" w:orient="portrait"/>
          <w:cols w:equalWidth="0" w:num="1">
            <w:col w:w="11220"/>
          </w:cols>
          <w:pgMar w:left="240" w:top="230" w:right="439" w:bottom="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3047365</wp:posOffset>
            </wp:positionH>
            <wp:positionV relativeFrom="page">
              <wp:posOffset>157480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t>Co-Managers</w:t>
      </w:r>
    </w:p>
    <w:p>
      <w:pPr>
        <w:sectPr>
          <w:pgSz w:w="11900" w:h="16838" w:orient="portrait"/>
          <w:cols w:equalWidth="0" w:num="1">
            <w:col w:w="11020"/>
          </w:cols>
          <w:pgMar w:left="440" w:top="463" w:right="439" w:bottom="144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BTIG</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Janney Montgomery Scott</w:t>
      </w:r>
    </w:p>
    <w:p>
      <w:pPr>
        <w:spacing w:after="0" w:line="234" w:lineRule="exact"/>
        <w:rPr>
          <w:sz w:val="20"/>
          <w:szCs w:val="20"/>
          <w:color w:val="auto"/>
        </w:rPr>
      </w:pPr>
    </w:p>
    <w:p>
      <w:pPr>
        <w:sectPr>
          <w:pgSz w:w="11900" w:h="16838" w:orient="portrait"/>
          <w:cols w:equalWidth="0" w:num="2">
            <w:col w:w="7860" w:space="720"/>
            <w:col w:w="2440"/>
          </w:cols>
          <w:pgMar w:left="440" w:top="463" w:right="439" w:bottom="1440" w:gutter="0" w:footer="0" w:header="0"/>
          <w:type w:val="continuous"/>
        </w:sectPr>
      </w:pPr>
    </w:p>
    <w:p>
      <w:pPr>
        <w:spacing w:after="0" w:line="15" w:lineRule="exact"/>
        <w:rPr>
          <w:sz w:val="20"/>
          <w:szCs w:val="20"/>
          <w:color w:val="auto"/>
        </w:rPr>
      </w:pPr>
    </w:p>
    <w:p>
      <w:pPr>
        <w:ind w:left="3300"/>
        <w:spacing w:after="0"/>
        <w:rPr>
          <w:sz w:val="20"/>
          <w:szCs w:val="20"/>
          <w:color w:val="auto"/>
        </w:rPr>
      </w:pPr>
      <w:r>
        <w:rPr>
          <w:rFonts w:ascii="Arial" w:cs="Arial" w:eastAsia="Arial" w:hAnsi="Arial"/>
          <w:sz w:val="15"/>
          <w:szCs w:val="15"/>
          <w:b w:val="1"/>
          <w:bCs w:val="1"/>
          <w:color w:val="auto"/>
        </w:rPr>
        <w:t>The date of this prospectus supplement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2019.</w:t>
      </w:r>
    </w:p>
    <w:p>
      <w:pPr>
        <w:sectPr>
          <w:pgSz w:w="11900" w:h="16838" w:orient="portrait"/>
          <w:cols w:equalWidth="0" w:num="2">
            <w:col w:w="6520" w:space="720"/>
            <w:col w:w="3780"/>
          </w:cols>
          <w:pgMar w:left="440" w:top="463"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This preliminary prospectus supplement, dated May 2, 2019, is replacing a previously filed preliminary prospectus supplement, dated May 1, 2019, due to an administrative error in the filing process related to the underlying shelf registration statement, initially dated May 1, 2019, and refiled on May 2, 2019. The shelf registration statement that includes the accompanying prospectus to this preliminary prospectus supplement is dated May 2, 2019.</w:t>
      </w:r>
    </w:p>
    <w:p>
      <w:pPr>
        <w:sectPr>
          <w:pgSz w:w="11900" w:h="16838" w:orient="portrait"/>
          <w:cols w:equalWidth="0" w:num="1">
            <w:col w:w="11140"/>
          </w:cols>
          <w:pgMar w:left="240" w:top="459"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54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6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gridSpan w:val="2"/>
          </w:tcPr>
          <w:p>
            <w:pPr>
              <w:ind w:left="1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344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 SUPPLEMENT</w:t>
              </w:r>
            </w:hyperlink>
          </w:p>
        </w:tc>
        <w:tc>
          <w:tcPr>
            <w:tcW w:w="690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200" w:type="dxa"/>
            <w:vAlign w:val="bottom"/>
          </w:tcPr>
          <w:p>
            <w:pPr>
              <w:spacing w:after="0"/>
              <w:rPr>
                <w:sz w:val="17"/>
                <w:szCs w:val="17"/>
                <w:color w:val="auto"/>
              </w:rPr>
            </w:pPr>
          </w:p>
        </w:tc>
        <w:tc>
          <w:tcPr>
            <w:tcW w:w="330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SUPPLEMENT SUMMARY</w:t>
              </w:r>
            </w:hyperlink>
          </w:p>
        </w:tc>
        <w:tc>
          <w:tcPr>
            <w:tcW w:w="704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20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THE OFFERING</w:t>
              </w:r>
            </w:hyperlink>
          </w:p>
        </w:tc>
        <w:tc>
          <w:tcPr>
            <w:tcW w:w="9060" w:type="dxa"/>
            <w:vAlign w:val="bottom"/>
            <w:gridSpan w:val="2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20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RISK FACTORS</w:t>
              </w:r>
            </w:hyperlink>
          </w:p>
        </w:tc>
        <w:tc>
          <w:tcPr>
            <w:tcW w:w="9080" w:type="dxa"/>
            <w:vAlign w:val="bottom"/>
            <w:gridSpan w:val="2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FORWARD-LOOKING STATEMENTS</w:t>
              </w:r>
            </w:hyperlink>
          </w:p>
        </w:tc>
        <w:tc>
          <w:tcPr>
            <w:tcW w:w="740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200" w:type="dxa"/>
            <w:vAlign w:val="bottom"/>
          </w:tcPr>
          <w:p>
            <w:pPr>
              <w:spacing w:after="0"/>
              <w:rPr>
                <w:sz w:val="17"/>
                <w:szCs w:val="17"/>
                <w:color w:val="auto"/>
              </w:rPr>
            </w:pPr>
          </w:p>
        </w:tc>
        <w:tc>
          <w:tcPr>
            <w:tcW w:w="15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DILUTION</w:t>
              </w:r>
            </w:hyperlink>
          </w:p>
        </w:tc>
        <w:tc>
          <w:tcPr>
            <w:tcW w:w="876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DIVIDEND POLICY</w:t>
              </w:r>
            </w:hyperlink>
          </w:p>
        </w:tc>
        <w:tc>
          <w:tcPr>
            <w:tcW w:w="876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w w:val="98"/>
              </w:rPr>
            </w:pPr>
            <w:hyperlink w:anchor="page18">
              <w:r>
                <w:rPr>
                  <w:rFonts w:ascii="Arial" w:cs="Arial" w:eastAsia="Arial" w:hAnsi="Arial"/>
                  <w:sz w:val="18"/>
                  <w:szCs w:val="18"/>
                  <w:color w:val="0000EE"/>
                  <w:w w:val="98"/>
                </w:rPr>
                <w:t>MATERIAL UNITED STATES FEDERAL INCOME TAX CONSEQUENCES FOR NON-U.S. HOLDERS OF OUR COMMON STOCK</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200" w:type="dxa"/>
            <w:vAlign w:val="bottom"/>
          </w:tcPr>
          <w:p>
            <w:pPr>
              <w:spacing w:after="0"/>
              <w:rPr>
                <w:sz w:val="17"/>
                <w:szCs w:val="17"/>
                <w:color w:val="auto"/>
              </w:rPr>
            </w:pPr>
          </w:p>
        </w:tc>
        <w:tc>
          <w:tcPr>
            <w:tcW w:w="100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UNDERWRITING (CONFLICT OF INTEREST)</w:t>
              </w:r>
            </w:hyperlink>
          </w:p>
        </w:tc>
        <w:tc>
          <w:tcPr>
            <w:tcW w:w="2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S-19</w:t>
            </w:r>
          </w:p>
        </w:tc>
      </w:tr>
      <w:tr>
        <w:trPr>
          <w:trHeight w:val="196"/>
        </w:trPr>
        <w:tc>
          <w:tcPr>
            <w:tcW w:w="20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LEGAL MATTERS</w:t>
              </w:r>
            </w:hyperlink>
          </w:p>
        </w:tc>
        <w:tc>
          <w:tcPr>
            <w:tcW w:w="2140" w:type="dxa"/>
            <w:vAlign w:val="bottom"/>
            <w:tcBorders>
              <w:top w:val="single" w:sz="8" w:color="0000EE"/>
            </w:tcBorders>
            <w:gridSpan w:val="16"/>
          </w:tcPr>
          <w:p>
            <w:pPr>
              <w:spacing w:after="0"/>
              <w:rPr>
                <w:sz w:val="17"/>
                <w:szCs w:val="17"/>
                <w:color w:val="auto"/>
              </w:rPr>
            </w:pPr>
          </w:p>
        </w:tc>
        <w:tc>
          <w:tcPr>
            <w:tcW w:w="674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EXPERTS</w:t>
              </w:r>
            </w:hyperlink>
          </w:p>
        </w:tc>
        <w:tc>
          <w:tcPr>
            <w:tcW w:w="9560" w:type="dxa"/>
            <w:vAlign w:val="bottom"/>
            <w:gridSpan w:val="2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30">
              <w:r>
                <w:rPr>
                  <w:rFonts w:ascii="Arial" w:cs="Arial" w:eastAsia="Arial" w:hAnsi="Arial"/>
                  <w:sz w:val="18"/>
                  <w:szCs w:val="18"/>
                  <w:color w:val="0000EE"/>
                  <w:w w:val="97"/>
                </w:rPr>
                <w:t>WHERE YOU CAN FIND MORE INFORMATION</w:t>
              </w:r>
            </w:hyperlink>
          </w:p>
        </w:tc>
        <w:tc>
          <w:tcPr>
            <w:tcW w:w="65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453"/>
        </w:trPr>
        <w:tc>
          <w:tcPr>
            <w:tcW w:w="200" w:type="dxa"/>
            <w:vAlign w:val="bottom"/>
          </w:tcPr>
          <w:p>
            <w:pPr>
              <w:spacing w:after="0"/>
              <w:rPr>
                <w:sz w:val="24"/>
                <w:szCs w:val="24"/>
                <w:color w:val="auto"/>
              </w:rPr>
            </w:pPr>
          </w:p>
        </w:tc>
        <w:tc>
          <w:tcPr>
            <w:tcW w:w="10340" w:type="dxa"/>
            <w:vAlign w:val="bottom"/>
            <w:gridSpan w:val="26"/>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ABOUT THIS PROSPECTUS</w:t>
              </w:r>
            </w:hyperlink>
          </w:p>
        </w:tc>
        <w:tc>
          <w:tcPr>
            <w:tcW w:w="8100" w:type="dxa"/>
            <w:vAlign w:val="bottom"/>
            <w:gridSpan w:val="1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PROSPECTUS SUMMARY</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RISK FACTORS</w:t>
              </w:r>
            </w:hyperlink>
          </w:p>
        </w:tc>
        <w:tc>
          <w:tcPr>
            <w:tcW w:w="820" w:type="dxa"/>
            <w:vAlign w:val="bottom"/>
            <w:tcBorders>
              <w:top w:val="single" w:sz="8" w:color="0000EE"/>
            </w:tcBorders>
            <w:gridSpan w:val="6"/>
          </w:tcPr>
          <w:p>
            <w:pPr>
              <w:spacing w:after="0"/>
              <w:rPr>
                <w:sz w:val="17"/>
                <w:szCs w:val="17"/>
                <w:color w:val="auto"/>
              </w:rPr>
            </w:pPr>
          </w:p>
        </w:tc>
        <w:tc>
          <w:tcPr>
            <w:tcW w:w="8260" w:type="dxa"/>
            <w:vAlign w:val="bottom"/>
            <w:gridSpan w:val="1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FORWARD-LOOKING STATEMENTS</w:t>
              </w:r>
            </w:hyperlink>
          </w:p>
        </w:tc>
        <w:tc>
          <w:tcPr>
            <w:tcW w:w="740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158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SECURITIES WE MAY OFFER</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DESCRIPTION OF COMMON STOCK</w:t>
              </w:r>
            </w:hyperlink>
          </w:p>
        </w:tc>
        <w:tc>
          <w:tcPr>
            <w:tcW w:w="7380" w:type="dxa"/>
            <w:vAlign w:val="bottom"/>
            <w:gridSpan w:val="1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DESCRIPTION OF PREFERRED STOCK</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140" w:type="dxa"/>
            <w:vAlign w:val="bottom"/>
            <w:tcBorders>
              <w:top w:val="single" w:sz="8" w:color="0000EE"/>
            </w:tcBorders>
            <w:gridSpan w:val="18"/>
          </w:tcPr>
          <w:p>
            <w:pPr>
              <w:spacing w:after="0" w:line="196"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DESCRIPTION OF DEBT SECURITIES</w:t>
              </w:r>
            </w:hyperlink>
          </w:p>
        </w:tc>
        <w:tc>
          <w:tcPr>
            <w:tcW w:w="7200" w:type="dxa"/>
            <w:vAlign w:val="bottom"/>
            <w:gridSpan w:val="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3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WARRANTS</w:t>
              </w:r>
            </w:hyperlink>
          </w:p>
        </w:tc>
        <w:tc>
          <w:tcPr>
            <w:tcW w:w="7320" w:type="dxa"/>
            <w:vAlign w:val="bottom"/>
            <w:gridSpan w:val="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SUBSCRIPTION RIGHTS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34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UNITS</w:t>
              </w:r>
            </w:hyperlink>
          </w:p>
        </w:tc>
        <w:tc>
          <w:tcPr>
            <w:tcW w:w="688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SELLING SECURITYHOLDERS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PLAN OF DISTRIBUTION</w:t>
              </w:r>
            </w:hyperlink>
          </w:p>
        </w:tc>
        <w:tc>
          <w:tcPr>
            <w:tcW w:w="440" w:type="dxa"/>
            <w:vAlign w:val="bottom"/>
            <w:tcBorders>
              <w:top w:val="single" w:sz="8" w:color="0000EE"/>
            </w:tcBorders>
            <w:gridSpan w:val="5"/>
          </w:tcPr>
          <w:p>
            <w:pPr>
              <w:spacing w:after="0"/>
              <w:rPr>
                <w:sz w:val="17"/>
                <w:szCs w:val="17"/>
                <w:color w:val="auto"/>
              </w:rPr>
            </w:pPr>
          </w:p>
        </w:tc>
        <w:tc>
          <w:tcPr>
            <w:tcW w:w="784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LEGAL MATTERS</w:t>
              </w:r>
            </w:hyperlink>
          </w:p>
        </w:tc>
        <w:tc>
          <w:tcPr>
            <w:tcW w:w="8880" w:type="dxa"/>
            <w:vAlign w:val="bottom"/>
            <w:gridSpan w:val="2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EXPERTS</w:t>
              </w:r>
            </w:hyperlink>
          </w:p>
        </w:tc>
        <w:tc>
          <w:tcPr>
            <w:tcW w:w="9560" w:type="dxa"/>
            <w:vAlign w:val="bottom"/>
            <w:gridSpan w:val="2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WHERE YOU CAN FIND MORE INFORMATION</w:t>
              </w:r>
            </w:hyperlink>
          </w:p>
        </w:tc>
        <w:tc>
          <w:tcPr>
            <w:tcW w:w="65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1034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INCORPORATION OF INFORMATION BY REFERENCE</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400"/>
        <w:spacing w:after="0" w:line="312" w:lineRule="auto"/>
        <w:rPr>
          <w:sz w:val="20"/>
          <w:szCs w:val="20"/>
          <w:color w:val="auto"/>
        </w:rPr>
      </w:pPr>
      <w:r>
        <w:rPr>
          <w:rFonts w:ascii="Arial" w:cs="Arial" w:eastAsia="Arial" w:hAnsi="Arial"/>
          <w:sz w:val="16"/>
          <w:szCs w:val="16"/>
          <w:color w:val="auto"/>
        </w:rPr>
        <w:t>On May 2, 2019, we filed with the Securities and Exchange Commission, or SEC, a registration statement on Form S-3 utilizing a shelf registration process relating to the securities described in this prospectus supplement, which registration statement became automatically effective upon filing. Under this shelf registration process, we may, from time to time, sell common stock and other securities, of which this offering is a part.</w:t>
      </w:r>
    </w:p>
    <w:p>
      <w:pPr>
        <w:spacing w:after="0" w:line="147"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73"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87"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7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82"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70" w:lineRule="exact"/>
        <w:rPr>
          <w:sz w:val="20"/>
          <w:szCs w:val="20"/>
          <w:color w:val="auto"/>
        </w:rPr>
      </w:pPr>
    </w:p>
    <w:p>
      <w:pPr>
        <w:ind w:left="200" w:right="380"/>
        <w:spacing w:after="0" w:line="302" w:lineRule="auto"/>
        <w:rPr>
          <w:sz w:val="20"/>
          <w:szCs w:val="20"/>
          <w:color w:val="auto"/>
        </w:rPr>
      </w:pPr>
      <w:r>
        <w:rPr>
          <w:rFonts w:ascii="Arial" w:cs="Arial" w:eastAsia="Arial" w:hAnsi="Arial"/>
          <w:sz w:val="16"/>
          <w:szCs w:val="16"/>
          <w:color w:val="auto"/>
        </w:rPr>
        <w:t>Veracyte, Afirma, Percepta, Envisia, Know by Design, the Veracyte logo and the Afirma logo are our trademarks.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98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2145" cy="6298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spacing w:after="0" w:line="297" w:lineRule="auto"/>
        <w:rPr>
          <w:sz w:val="20"/>
          <w:szCs w:val="20"/>
          <w:color w:val="auto"/>
        </w:rPr>
      </w:pPr>
      <w:r>
        <w:rPr>
          <w:rFonts w:ascii="Arial" w:cs="Arial" w:eastAsia="Arial" w:hAnsi="Arial"/>
          <w:sz w:val="16"/>
          <w:szCs w:val="16"/>
          <w:i w:val="1"/>
          <w:iCs w:val="1"/>
          <w:color w:val="auto"/>
        </w:rPr>
        <w:t>This summary highlights selected information about us and this offering. Because it is a summary, it does not contain all of the information that you should consider before investing. Before you decide to invest in our common stock, you should read carefully and in their entirety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80" w:right="20"/>
        <w:spacing w:after="0" w:line="279" w:lineRule="auto"/>
        <w:rPr>
          <w:sz w:val="20"/>
          <w:szCs w:val="20"/>
          <w:color w:val="auto"/>
        </w:rPr>
      </w:pPr>
      <w:r>
        <w:rPr>
          <w:rFonts w:ascii="Arial" w:cs="Arial" w:eastAsia="Arial" w:hAnsi="Arial"/>
          <w:sz w:val="17"/>
          <w:szCs w:val="17"/>
          <w:color w:val="auto"/>
        </w:rPr>
        <w:t>We are a leading genomic diagnostics company that is creating value through innovation. We were founded in 2008 with a mission to improve diagnostic accuracy. Today, through our innovative scientific platform which utilizes ribonucleic acid, or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71" w:lineRule="exact"/>
        <w:rPr>
          <w:sz w:val="20"/>
          <w:szCs w:val="20"/>
          <w:color w:val="auto"/>
        </w:rPr>
      </w:pPr>
    </w:p>
    <w:p>
      <w:pPr>
        <w:ind w:left="380"/>
        <w:spacing w:after="0" w:line="293" w:lineRule="auto"/>
        <w:rPr>
          <w:sz w:val="20"/>
          <w:szCs w:val="20"/>
          <w:color w:val="auto"/>
        </w:rPr>
      </w:pPr>
      <w:r>
        <w:rPr>
          <w:rFonts w:ascii="Arial" w:cs="Arial" w:eastAsia="Arial" w:hAnsi="Arial"/>
          <w:sz w:val="16"/>
          <w:szCs w:val="16"/>
          <w:color w:val="auto"/>
        </w:rPr>
        <w:t>We have commercialized five leading, first-to-market tests that we believe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use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65" w:lineRule="exact"/>
        <w:rPr>
          <w:sz w:val="20"/>
          <w:szCs w:val="20"/>
          <w:color w:val="auto"/>
        </w:rPr>
      </w:pPr>
    </w:p>
    <w:p>
      <w:pPr>
        <w:ind w:left="380" w:right="80"/>
        <w:spacing w:after="0" w:line="279" w:lineRule="auto"/>
        <w:rPr>
          <w:sz w:val="20"/>
          <w:szCs w:val="20"/>
          <w:color w:val="auto"/>
        </w:rPr>
      </w:pPr>
      <w:r>
        <w:rPr>
          <w:rFonts w:ascii="Arial" w:cs="Arial" w:eastAsia="Arial" w:hAnsi="Arial"/>
          <w:sz w:val="17"/>
          <w:szCs w:val="17"/>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cancer indications, diagnosis can be ambiguous in 15% to 70% of cases.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date, we have commercialized five genomic tests that we believe are changing disease diagnosis:</w:t>
      </w:r>
    </w:p>
    <w:p>
      <w:pPr>
        <w:spacing w:after="0" w:line="131" w:lineRule="exact"/>
        <w:rPr>
          <w:sz w:val="20"/>
          <w:szCs w:val="20"/>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Afirma Genomic Sequencing Classifier, or GSC, for thyroid cancer;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Afirma Gene Expression Classifier, which was the Afirma GSC’s predecessor;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Percepta Bronchial Genomic Classifier for lung cancer;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Envisia Genomic Classifier for IPF; and</w:t>
      </w:r>
    </w:p>
    <w:p>
      <w:pPr>
        <w:spacing w:after="0" w:line="130" w:lineRule="exact"/>
        <w:rPr>
          <w:rFonts w:ascii="Arial" w:cs="Arial" w:eastAsia="Arial" w:hAnsi="Arial"/>
          <w:sz w:val="18"/>
          <w:szCs w:val="18"/>
          <w:color w:val="auto"/>
        </w:rPr>
      </w:pPr>
    </w:p>
    <w:p>
      <w:pPr>
        <w:ind w:left="1220" w:right="220" w:hanging="307"/>
        <w:spacing w:after="0" w:line="277"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Afirma Xpression Atlas, which provides information on the most common and emerging gene alterations associated with thyroid cancer, enabling physicians to confidently tailor surgical and treatment decisions at time of diagnosis.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Collectively, we believe the four tests we are currently offering address a $2 billion global market opportunity.</w:t>
      </w:r>
    </w:p>
    <w:p>
      <w:pPr>
        <w:spacing w:after="0" w:line="225" w:lineRule="exact"/>
        <w:rPr>
          <w:sz w:val="20"/>
          <w:szCs w:val="20"/>
          <w:color w:val="auto"/>
        </w:rPr>
      </w:pPr>
    </w:p>
    <w:p>
      <w:pPr>
        <w:ind w:left="380" w:right="160"/>
        <w:spacing w:after="0" w:line="279" w:lineRule="auto"/>
        <w:rPr>
          <w:sz w:val="20"/>
          <w:szCs w:val="20"/>
          <w:color w:val="auto"/>
        </w:rPr>
      </w:pPr>
      <w:r>
        <w:rPr>
          <w:rFonts w:ascii="Arial" w:cs="Arial" w:eastAsia="Arial" w:hAnsi="Arial"/>
          <w:sz w:val="17"/>
          <w:szCs w:val="17"/>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We continue to build upon our extensive library of clinical evidence.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00"/>
          </w:cols>
          <w:pgMar w:left="24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620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26200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76" w:lineRule="auto"/>
        <w:rPr>
          <w:sz w:val="20"/>
          <w:szCs w:val="20"/>
          <w:color w:val="auto"/>
        </w:rPr>
      </w:pPr>
      <w:r>
        <w:rPr>
          <w:rFonts w:ascii="Arial" w:cs="Arial" w:eastAsia="Arial" w:hAnsi="Arial"/>
          <w:sz w:val="17"/>
          <w:szCs w:val="17"/>
          <w:color w:val="auto"/>
        </w:rPr>
        <w:t>We believe our focus on developing clinically useful tests that change patient care is enabling us to set new standards in genomic test reimbursement. Our Afirma genomic classifier is now covered by every major health plan in the United States, which collectively insure more than 275 million people for use in thyroid cancer diagnosis. We are now contracted as an in-network 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380" w:right="180"/>
        <w:spacing w:after="0" w:line="297" w:lineRule="auto"/>
        <w:rPr>
          <w:sz w:val="20"/>
          <w:szCs w:val="20"/>
          <w:color w:val="auto"/>
        </w:rPr>
      </w:pPr>
      <w:r>
        <w:rPr>
          <w:rFonts w:ascii="Arial" w:cs="Arial" w:eastAsia="Arial" w:hAnsi="Arial"/>
          <w:sz w:val="16"/>
          <w:szCs w:val="16"/>
          <w:color w:val="auto"/>
        </w:rPr>
        <w:t>We were incorporated in the state of Delaware on August 15, 2006 as Calderome, Inc.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supplement or the accompanying prospectus, and you should not consider any information on, or accessible through, our website as part of this prospectus supplement or the accompanying prospectus.</w:t>
      </w:r>
    </w:p>
    <w:p>
      <w:pPr>
        <w:spacing w:after="0" w:line="158" w:lineRule="exact"/>
        <w:rPr>
          <w:sz w:val="20"/>
          <w:szCs w:val="20"/>
          <w:color w:val="auto"/>
        </w:rPr>
      </w:pPr>
    </w:p>
    <w:p>
      <w:pPr>
        <w:ind w:left="380" w:right="60"/>
        <w:spacing w:after="0" w:line="264" w:lineRule="auto"/>
        <w:rPr>
          <w:sz w:val="20"/>
          <w:szCs w:val="20"/>
          <w:color w:val="auto"/>
        </w:rPr>
      </w:pPr>
      <w:r>
        <w:rPr>
          <w:rFonts w:ascii="Arial" w:cs="Arial" w:eastAsia="Arial" w:hAnsi="Arial"/>
          <w:sz w:val="18"/>
          <w:szCs w:val="18"/>
          <w:color w:val="auto"/>
        </w:rPr>
        <w:t>We are a “smaller reporting company” as defined in the Securities Exchange Act of 1934, as amended, or the Exchange Act, and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6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2145"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40"/>
          </w:cols>
          <w:pgMar w:left="240" w:top="459" w:right="619" w:bottom="1440" w:gutter="0" w:footer="0" w:header="0"/>
        </w:sect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Veracyte, Inc.</w:t>
      </w:r>
    </w:p>
    <w:p>
      <w:pPr>
        <w:spacing w:after="0" w:line="200"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5,000,000 shares</w:t>
      </w:r>
    </w:p>
    <w:p>
      <w:pPr>
        <w:spacing w:after="0" w:line="211"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89"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46,509,240 shares (or 47,259,240 shares if the underwriters exercise in full their option to purchase additional shares of our common stock).</w:t>
      </w:r>
    </w:p>
    <w:p>
      <w:pPr>
        <w:spacing w:after="0" w:line="197" w:lineRule="exact"/>
        <w:rPr>
          <w:sz w:val="20"/>
          <w:szCs w:val="20"/>
          <w:color w:val="auto"/>
        </w:rPr>
      </w:pPr>
    </w:p>
    <w:p>
      <w:pPr>
        <w:sectPr>
          <w:pgSz w:w="11900" w:h="16838" w:orient="portrait"/>
          <w:cols w:equalWidth="0" w:num="2">
            <w:col w:w="4020" w:space="400"/>
            <w:col w:w="662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We have granted the underwriters a 30-day option to purchase up to an additional 750,000 shares of our common stock.</w:t>
      </w:r>
    </w:p>
    <w:p>
      <w:pPr>
        <w:spacing w:after="0" w:line="197"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40"/>
        <w:spacing w:after="0" w:line="272" w:lineRule="auto"/>
        <w:rPr>
          <w:sz w:val="20"/>
          <w:szCs w:val="20"/>
          <w:color w:val="auto"/>
        </w:rPr>
      </w:pPr>
      <w:r>
        <w:rPr>
          <w:rFonts w:ascii="Arial" w:cs="Arial" w:eastAsia="Arial" w:hAnsi="Arial"/>
          <w:sz w:val="17"/>
          <w:szCs w:val="17"/>
          <w:color w:val="auto"/>
        </w:rPr>
        <w:t>We currently intend to use the net proceeds from this offering for working capital and other general corporate purposes. We also intend to use a portion of the net proceeds we receive from this offering to repay approximately $12.4 million of the term loan outstanding under our loan and security agreement, or Loan and Security Agreement. We may also use a portion of the net proceeds from this offering to acquire or invest in complementary businesses, technologies or other assets, although we have no present commitments or agreements to do so. See the section entitled “Use of Proceeds.”</w:t>
      </w:r>
    </w:p>
    <w:p>
      <w:pPr>
        <w:spacing w:after="0" w:line="200"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See the section entitled “Risk Factors” for a discussion of factors you should consider carefully before deciding to invest in our common stock.</w:t>
      </w:r>
    </w:p>
    <w:p>
      <w:pPr>
        <w:spacing w:after="0" w:line="197"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“VCYT”</w:t>
      </w:r>
    </w:p>
    <w:p>
      <w:pPr>
        <w:spacing w:after="0" w:line="200"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Affiliates of SVB Leerink LLC, an underwriter in this offering, will receive at least 5% of the net proceeds of this offering in connection with the repayment of approximately $12.4 million of the term loan outstanding under our Loan and Security Agreement. Therefore, SVB Leerink LLC is deemed to have a “conflict of interest” under Rule 5121 (“Rule 5121”) of the Financial Industry Regulatory Authority, Inc. (“FINRA”). Accordingly, this offering is being made in compliance with the requirements of Rule 5121. The appointment of a “qualified independent underwriter” is not required in connection with this offering as a “bona fide public market,” as defined in Rule 5121, exists for our common stock. See “Use of Proceeds” and “Underwriting (Conflicts of Interest).”</w:t>
      </w:r>
    </w:p>
    <w:p>
      <w:pPr>
        <w:spacing w:after="0" w:line="195" w:lineRule="exact"/>
        <w:rPr>
          <w:sz w:val="20"/>
          <w:szCs w:val="20"/>
          <w:color w:val="auto"/>
        </w:rPr>
      </w:pPr>
    </w:p>
    <w:p>
      <w:pPr>
        <w:sectPr>
          <w:pgSz w:w="11900" w:h="16838" w:orient="portrait"/>
          <w:cols w:equalWidth="0" w:num="2">
            <w:col w:w="3700" w:space="720"/>
            <w:col w:w="6620"/>
          </w:cols>
          <w:pgMar w:left="240" w:top="459" w:right="619" w:bottom="1440" w:gutter="0" w:footer="0" w:header="0"/>
          <w:type w:val="continuous"/>
        </w:sectPr>
      </w:pPr>
    </w:p>
    <w:p>
      <w:pPr>
        <w:ind w:left="380"/>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41,509,240 shares outstanding as of March 31, 2019 and excludes:</w:t>
      </w:r>
    </w:p>
    <w:p>
      <w:pPr>
        <w:spacing w:after="0" w:line="76" w:lineRule="exact"/>
        <w:rPr>
          <w:sz w:val="20"/>
          <w:szCs w:val="20"/>
          <w:color w:val="auto"/>
        </w:rPr>
      </w:pPr>
    </w:p>
    <w:p>
      <w:pPr>
        <w:ind w:left="1220" w:right="140" w:hanging="307"/>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5,847,645 shares of our common stock issuable upon the exercise of stock options outstanding as of March 31, 2019, with a weighted-average exercise price of $9.48 per share;</w:t>
      </w:r>
    </w:p>
    <w:p>
      <w:pPr>
        <w:spacing w:after="0" w:line="75" w:lineRule="exact"/>
        <w:rPr>
          <w:rFonts w:ascii="Arial" w:cs="Arial" w:eastAsia="Arial" w:hAnsi="Arial"/>
          <w:sz w:val="18"/>
          <w:szCs w:val="18"/>
          <w:color w:val="auto"/>
        </w:rPr>
      </w:pPr>
    </w:p>
    <w:p>
      <w:pPr>
        <w:ind w:left="1220" w:right="40" w:hanging="307"/>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110,300 shares of our common stock issuable upon the exercise of stock options granted after March 31, 2019, with a weighted-average exercise price of $24.14 per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40"/>
          </w:cols>
          <w:pgMar w:left="240" w:top="459" w:right="6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264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12649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307"/>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561,304 shares of common stock issuable upon the settlement of restricted stock units, or RSUs, outstanding as of March 31, 2019;</w:t>
      </w:r>
    </w:p>
    <w:p>
      <w:pPr>
        <w:spacing w:after="0" w:line="153" w:lineRule="exact"/>
        <w:rPr>
          <w:rFonts w:ascii="Arial" w:cs="Arial" w:eastAsia="Arial" w:hAnsi="Arial"/>
          <w:sz w:val="16"/>
          <w:szCs w:val="16"/>
          <w:color w:val="auto"/>
        </w:rPr>
      </w:pPr>
    </w:p>
    <w:p>
      <w:pPr>
        <w:ind w:left="1220" w:hanging="307"/>
        <w:spacing w:after="0"/>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2,141,658 shares of common stock reserved for future issuance under our 2013 Stock Incentive Plan, as amended; and</w:t>
      </w:r>
    </w:p>
    <w:p>
      <w:pPr>
        <w:spacing w:after="0" w:line="142" w:lineRule="exact"/>
        <w:rPr>
          <w:rFonts w:ascii="Arial" w:cs="Arial" w:eastAsia="Arial" w:hAnsi="Arial"/>
          <w:sz w:val="17"/>
          <w:szCs w:val="17"/>
          <w:color w:val="auto"/>
        </w:rPr>
      </w:pPr>
    </w:p>
    <w:p>
      <w:pPr>
        <w:ind w:left="1220" w:hanging="30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229,218 shares of common stock reserved for future issuance under our Employee Stock Purchase Plan.</w:t>
      </w:r>
    </w:p>
    <w:p>
      <w:pPr>
        <w:spacing w:after="0" w:line="225" w:lineRule="exact"/>
        <w:rPr>
          <w:sz w:val="20"/>
          <w:szCs w:val="20"/>
          <w:color w:val="auto"/>
        </w:rPr>
      </w:pPr>
    </w:p>
    <w:p>
      <w:pPr>
        <w:ind w:left="380"/>
        <w:spacing w:after="0" w:line="308" w:lineRule="auto"/>
        <w:rPr>
          <w:sz w:val="20"/>
          <w:szCs w:val="20"/>
          <w:color w:val="auto"/>
        </w:rPr>
      </w:pPr>
      <w:r>
        <w:rPr>
          <w:rFonts w:ascii="Arial" w:cs="Arial" w:eastAsia="Arial" w:hAnsi="Arial"/>
          <w:sz w:val="17"/>
          <w:szCs w:val="17"/>
          <w:color w:val="auto"/>
        </w:rPr>
        <w:t>Except as otherwise indicated, all information in this prospectus supplement assumes no exercise or settlement of the outstanding stock options, RSUs or other equity awards described above and no exercise by the underwriters of their option to purchase additional shares.</w:t>
      </w:r>
    </w:p>
    <w:p>
      <w:pPr>
        <w:spacing w:after="0" w:line="200" w:lineRule="exact"/>
        <w:rPr>
          <w:sz w:val="20"/>
          <w:szCs w:val="20"/>
          <w:color w:val="auto"/>
        </w:rPr>
      </w:pPr>
    </w:p>
    <w:p>
      <w:pPr>
        <w:spacing w:after="0" w:line="3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740"/>
          </w:cols>
          <w:pgMar w:left="240" w:top="459" w:right="9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consider carefully the risks and uncertainties described below and in our Quarterly Report on Form 10-Q for the quarter ended March 31, 2019 incorporated by reference in this prospectus supplement and the accompanying prospectus, any amendment or update thereto reflected in our subsequent filings with the SEC,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6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297" w:lineRule="exact"/>
        <w:rPr>
          <w:sz w:val="20"/>
          <w:szCs w:val="20"/>
          <w:color w:val="auto"/>
        </w:rPr>
      </w:pPr>
    </w:p>
    <w:p>
      <w:pPr>
        <w:ind w:left="200" w:right="340"/>
        <w:spacing w:after="0" w:line="375" w:lineRule="auto"/>
        <w:rPr>
          <w:sz w:val="20"/>
          <w:szCs w:val="20"/>
          <w:color w:val="auto"/>
        </w:rPr>
      </w:pPr>
      <w:r>
        <w:rPr>
          <w:rFonts w:ascii="Arial" w:cs="Arial" w:eastAsia="Arial" w:hAnsi="Arial"/>
          <w:sz w:val="15"/>
          <w:szCs w:val="15"/>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price per share of our common stock being offered may be higher than the net tangible book value per share of our outstanding common stock prior to this offering. Based on an assumed public offering price of $22.87 per share, which was the last reported sale price of our shares of common stock on The Nasdaq Global Market on April 30, 2019, and our net tangible book value as of March 31, 2019 of approximately $1.71 per share, if you purchase shares of common stock in this offering, you will suffer immediate and substantial dilution of $19.04 per share, representing the difference between the assumed public offering price and the as adjusted net tangible book value per share of our common stock as of March 31, 2019 after giving effect to this offering. See the section entitled “Dilution” below for a more detailed discussion of the dilution you will incur if you purchase common stock in this offering.</w:t>
      </w:r>
    </w:p>
    <w:p>
      <w:pPr>
        <w:spacing w:after="0" w:line="189"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In addition, we have a significant number of stock options to purchase common stock and RSUs outstanding, and may choose to issue additional common stock, or securities convertible into or exchangeable for common stock, in the future. In the event that the outstanding stock options or RSUs are exercised or settled,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sales of shares of our common stock by our existing stockholders could cause our stock price to decline.</w:t>
      </w:r>
    </w:p>
    <w:p>
      <w:pPr>
        <w:spacing w:after="0" w:line="117"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Further, we have a significant number of stock options and RSUs outstanding. As of March 31, 2019, we had 41,509,240 shares of outstanding common stock, of which approximately 424,425 shares and an additional 3,293,710 shares underlying stock options and RSUs are subject to restrictions on transfer under 90-day lock-up arrangements with the underwriters of this offering. These shares will become eligible for public sale at the expiration of the lock-up period, subject to vesting requirements and volume limitations applicable to affiliates. If a substantial number of shares of common stock, including shares of common stock underlying outstanding stock options and RSUs, are sold, or if it is perceived that they will be sold, in the public market, it could have an adverse impact on the market price of our common stock.</w:t>
      </w:r>
    </w:p>
    <w:p>
      <w:pPr>
        <w:spacing w:after="0" w:line="17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Furthermore, certain of our executive officers have adopted, and other directors and executive officers may in the future adopt, written trading plans that are intended to comply with Rule 10b5-1 under the Exchange Act, under which they have contracted, or may in the future contract, with a broker to sell shares of our common stock. Sales of substantial amounts of our common stock in the public markets during the lock-up period pursuant to existing Rule 10b5-1 plans or pursuant to new Rule 10b5-1 plans following the expiration of the lock-up period or otherwise, or the perception that these sales could occur, could cause the market price of our common stock to decline. We are unable to predict the effect that sales may have on the prevailing market price of our common stock.</w:t>
      </w:r>
    </w:p>
    <w:p>
      <w:pPr>
        <w:spacing w:after="0" w:line="30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Affiliates of SVB Leerink LLC, an underwriter in this offering, may receive at least 5% of the net proceeds of this offering and may have an interest in this offering beyond customary underwriting discounts and commissions.</w:t>
      </w:r>
    </w:p>
    <w:p>
      <w:pPr>
        <w:spacing w:after="0" w:line="62"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Affiliates of SVB Leerink LLC, an underwriter in this offering, will receive at least 5% of the net proceeds of this offering in connection with the repayment of approximately $12.4 million of the term loan outstanding under our Loan and Security Agreement. Therefore, SVB Leerink LLC is deemed to have a “conflict of interest” under Rule 5121. Accordingly, this offering is being made in compliance with the requirements of Rule 5121. Although the appointment of a “qualified independent underwriter” is not required in connection with this offering, as a “bona fide public market,” as defined in Rule 5121, exists for our common stock, we cannot assure you that this will adequately address all potential conflicts of interest. In accordance with Rule 5121, SVB Leerink LLC will not confirm sales of securities to any account over which it exercises discretionary authority without the prior written approval of the accountholder. See the section titled “Use of Proceeds” for additional information.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This prospectus supplement, the accompanying prospectus and the documents we have filed with the SEC that are incorporated by reference in this prospectus supplement and the accompanying prospectus contain forward-looking statements that involve risks and uncertainties. These statements relate to future periods, future events or our future operating or financial plans or performance. These statements can often be identified by the use of forward-looking terminology such as “expects,” “believes,” “anticipates,” “estimates,” “plans,” “may,” “could,” “will,” “intends” or the negative of these terms, and other similar expressions and include statements as to the estimated market opportunities for our products, and our intentions with respect to the use of the net proceeds from this offering.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statements are subject to known and unknown risks, uncertainties and assumptions that could cause actual results to differ materially from those projected or otherwise implied by the forward-looking statements, including the following: our expectations regarding our ability to expand commercialization of our Percepta and Envisia Genomic Classifiers, our expectations regarding our strategic collaboration with Johnson &amp; Johnson; the future performance and acceptance of our Afirma, Percepta and Envisia classifiers and our Afirma Xpression Atlas platform; our dependence on a few payers for reimbursements and payments of our tests and a significant portion of our revenue; the complexity, time and expense associated with billing and collecting from payers for our classifiers; our ability to increase usage of and reimbursement for the Afirma, Percepta and Envisia classifiers, as well as any future products we may develop or sell; our dependence on physicians and patients who decide whether to order and use our tests; the fluctuation of our quarterly operating results; our ability to comply with federal and state licensing requirements and other laws and regulations applicable to our business, including potential regulation by the Food and Drug Administration or other regulatory bodies; our dependence on sole suppliers for equipment and other materials used for our tests; our ability to develop and commercialize new products and the timing and speed of commercialization; the amount by which use of our products may be able to reduce invasive procedures and reduce healthcare costs; our ability to attract and retain key personnel; our ability to achieve sales penetration in complex commercial accounts; the occurrence and outcome of clinical studies; the timing and publication of study results; the applicability of clinical results to actual outcomes; the continued application of clinical guidelines to our products and their inclusion in such clinical practice guidelines; our ability to compete; our ability to obtain capital when needed, the expected use of proceeds from this offering and other statements that are not historical facts. Given these risks, uncertainties and assumptions, you should not place undue reliance on these forward-looking statements. We discuss in greater detail, and incorporate by reference into this prospectus supplement and the accompanying prospectus, many of these risks, uncertainties and assumptions see the section titled “Risk Factors.” Additional cautionary statements or discussions of risks, uncertainties and assumptions that could affect our results or the achievement of the expectations described in forward-looking statements are also contained in the documents we incorporate by reference into this prospectus supplement and the accompanying prospectus.</w:t>
      </w:r>
    </w:p>
    <w:p>
      <w:pPr>
        <w:spacing w:after="0" w:line="390"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93" w:lineRule="exact"/>
        <w:rPr>
          <w:sz w:val="20"/>
          <w:szCs w:val="20"/>
          <w:color w:val="auto"/>
        </w:rPr>
      </w:pPr>
    </w:p>
    <w:p>
      <w:pPr>
        <w:ind w:left="200" w:right="160"/>
        <w:spacing w:after="0" w:line="312" w:lineRule="auto"/>
        <w:rPr>
          <w:sz w:val="20"/>
          <w:szCs w:val="20"/>
          <w:color w:val="auto"/>
        </w:rPr>
      </w:pPr>
      <w:r>
        <w:rPr>
          <w:rFonts w:ascii="Arial" w:cs="Arial" w:eastAsia="Arial" w:hAnsi="Arial"/>
          <w:sz w:val="16"/>
          <w:szCs w:val="16"/>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80"/>
          </w:cols>
          <w:pgMar w:left="240" w:top="459" w:right="5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We estimate that the net proceeds from the sale of 5,000,000 shares of our common stock in this offering, at an assumed public offering price of $22.87 per share, which was the last reported sale price of our shares of common stock on The Nasdaq Global Market on April 30, 2019, will be approximately $107.1 million, after deducting the estimated underwriting discounts and commissions and estimated offering expenses we expect to pay. If the underwriters exercise their option to purchase 750,000 additional shares in full, we estimate that our net proceeds will be approximately $123.2 million, after deducting the estimated underwriting discounts and commissions and estimated offering expenses we expect to pay.</w:t>
      </w:r>
    </w:p>
    <w:p>
      <w:pPr>
        <w:spacing w:after="0" w:line="158"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We intend to use the net proceeds from this offering for working capital and other general corporate purposes. As a result, our management will have broad discretion in the way that we use the net proceeds and investors will be relying on our judgment regarding the application of the net proceeds of this offering. We also intend to use a portion of the net proceeds we receive from this offering to repay approximately $12.4 million of the term loan outstanding under our Loan and Security Agreement. We may also use a portion of the net proceeds from this offering to acquire or invest in complementary businesses, technologies or other assets, although we have no present commitments or agreements to do so.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7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term loan outstanding under our Loan and Security Agreement bears interest at a variable rate equal to (i) the thirty-day U.S. London Interbank Offer Rate plus (ii) 4.20%, with a minimum rate of 5.43% per annum. The effective interest rate for the outstanding balance under the Loan and Security Agreement was 9.39% as of March 31, 2019, and the maturity date of the Loan and Security Agreement is October 1, 2022. See the section of our Annual Report on Form 10-K for the year ended December 31, 2018 titled “Management’s Discussion and Analysis of Financial Condition and Results of Operations — Liquidity and Capital Resources — Loan and Security Agreement” for additional information regarding our Loan and Security Agreement.</w:t>
      </w:r>
    </w:p>
    <w:p>
      <w:pPr>
        <w:spacing w:after="0" w:line="193"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Each $1.00 increase (decrease) in the assumed public offering price of $22.87 per share would increase (decrease) the net proceeds to us from this offering by approximately $4.7 million, assuming that the number of shares offered by us, as set forth on the cover page of this preliminary prospectus supplement, remains the same, and after deducting the estimated underwriting discounts and commissions. Each increase (decrease) of 1.0 million shares in the number of shares of common stock offered by us would increase (decrease) the net proceeds to us from this offering by approximately $21.5 million, assuming that the assumed public offering price remains the same, and after deducting the estimated underwriting discounts and commissions.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24"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Our net tangible book value as of March 31, 2019 was approximately $71.0 million, or $1.71 per share of our common stock. Net tangible book value per share is calculated by subtracting our total liabilities from our total tangible assets, which is total assets less intangible assets, and dividing this amount by the number of shares of our common stock outstanding.</w:t>
      </w:r>
    </w:p>
    <w:p>
      <w:pPr>
        <w:spacing w:after="0" w:line="181"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After giving effect to (i) the sale by us of 5,000,000 shares of our common stock at an assumed public offering price of $22.87 per share, which was the last reported sale price of our shares of common stock on The Nasdaq Global Market on April 30, 2019, and after deducting the estimated underwriting discounts and commissions and estimated offering expenses we expect to pay and (ii) the application of such proceeds as described in the section titled “Use of Proceeds,” our as adjusted net tangible book value as of March 31, 2019 would have been approximately $178.1 million, or $3.83 per share of our common stock. This represents an immediate increase in the net tangible book value of $2.12 per share to our existing stockholders and an immediate and substantial dilution in net tangible book value of $19.04 per share to new investors.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per share dilution:</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Net tangible book value per share as of March 31, 2019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as adjusted net tangible book value per share attributable to new investors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5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Each $1.00 increase (decrease) in the assumed public offering price of $22.87 per share, which was the last reported sale price of our shares of common stock on The Nasdaq Global Market on April 30, 2019, would increase (decrease) our as adjusted net tangible book value per share after this offering by $2.22 per share, and would increase (decrease) dilution per share to new investors participating in this offering by $19.94 per share, assuming that the number of shares offered by us, as set forth on the cover page of this preliminary prospectus supplement, remains the same, and after deducting the estimated underwriting discounts and commissions. Similarly, each increase (decrease) of 1.0 million shares in the number of shares of common stock offered by us would increase (decrease) our as adjusted net tangible book value per share after this offering by $2.49 per share, and would increase (decrease) dilution per share to new investors participating in this offering by $18.67 per share, assuming that the assumed public offering price remains the same, and after deducting the estimated underwriting discounts and commissions. The as adjusted information discussed above is illustrative only and will be adjusted based on the actual public offering price and other terms of this offering determined at pricing.</w:t>
      </w:r>
    </w:p>
    <w:p>
      <w:pPr>
        <w:spacing w:after="0" w:line="16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If the underwriters exercise in full their option to purchase up to 750,000 additional shares from us at an assumed public offering price of $22.87 per share, the as adjusted net tangible book value per share after this offering would be $4.11 per share and the dilution to new investors participating in this offering would be $18.76 per share.</w:t>
      </w:r>
    </w:p>
    <w:p>
      <w:pPr>
        <w:spacing w:after="0" w:line="18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calculations above are based on 41,509,240 shares of our common stock outstanding as of March 31, 2019. The number of shares of common stock outstanding as of March 31, 2019 excludes:</w:t>
      </w:r>
    </w:p>
    <w:p>
      <w:pPr>
        <w:spacing w:after="0" w:line="76" w:lineRule="exact"/>
        <w:rPr>
          <w:sz w:val="20"/>
          <w:szCs w:val="20"/>
          <w:color w:val="auto"/>
        </w:rPr>
      </w:pPr>
    </w:p>
    <w:p>
      <w:pPr>
        <w:ind w:left="1060" w:right="48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5,847,645 shares of our common stock issuable upon the exercise of stock options outstanding as of March 31, 2019, with a weighted-average exercise price of $9.48 per share;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110,300 shares of our common stock issuable upon the exercise of stock options granted after March 31, 2019, with a weighted-average exercise price of $24.14 per share;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561,304 shares of common stock issuable upon the settlement of restricted stock units, or RSUs, outstanding as of March 31, 2019;</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2,141,658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229,218 shares of common stock reserved for future issuance under our Employee Stock Purchase Plan.</w:t>
      </w:r>
    </w:p>
    <w:p>
      <w:pPr>
        <w:spacing w:after="0" w:line="225"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To the extent that any outstanding stock options have been or may be exercised, RSUs are settled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to investors participating in this offering.</w:t>
      </w:r>
    </w:p>
    <w:p>
      <w:pPr>
        <w:spacing w:after="0" w:line="1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40"/>
          </w:cols>
          <w:pgMar w:left="24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or Medicare Contribution tax and does not discuss state, local, U.S. federal gift and estate tax laws, except to the limited extent provided below, or non-U.S. tax consequences that may be relevant to Non-U.S. Holders in light of their particular circumstances, nor does it address U.S. federal tax consequences other than income taxes.</w:t>
      </w:r>
    </w:p>
    <w:p>
      <w:pPr>
        <w:spacing w:after="0" w:line="173"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 Internal Revenue Code of 1986, as amended, or Code, such as:</w:t>
      </w:r>
    </w:p>
    <w:p>
      <w:pPr>
        <w:spacing w:after="0" w:line="76"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right="7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or entities that are treated as disregarded entities for U.S. federal income tax purposes (regardless of their places of organization or formation); and</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Such Non-U.S. Holders are urged to consult their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of the acquisition, ownership, and disposition of our common stock, or that any such contrary position would not be sustained by a court.</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73"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For the purposes of this discussion, a “Non-U.S. Holder” is, for U.S. federal income tax purposes, a beneficial owner of common stock that is not a U.S. Holder or a partnership for U.S. federal income tax purposes. A “U.S. Holder” means a beneficial owner of our common stock that is for U.S. federal income tax purposes (a) an individual citizen or resident of the United States (as determined under U.S. federal income tax rules),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w:t>
      </w:r>
    </w:p>
    <w:p>
      <w:pPr>
        <w:spacing w:after="0" w:line="2" w:lineRule="exact"/>
        <w:rPr>
          <w:sz w:val="20"/>
          <w:szCs w:val="20"/>
          <w:color w:val="auto"/>
        </w:rPr>
      </w:pPr>
    </w:p>
    <w:p>
      <w:pPr>
        <w:ind w:left="200" w:firstLine="4"/>
        <w:spacing w:after="0" w:line="255"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9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7"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ownership or disposition of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do not expect to declare or make any distributions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 Gain on Disposition of our Common Stock.”</w:t>
      </w:r>
    </w:p>
    <w:p>
      <w:pPr>
        <w:spacing w:after="0" w:line="178"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us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us or our paying agent, either directly or through other intermediaries. If you are eligible for a reduced rate of U.S. federal withholding tax under an income tax treaty,</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you should consult with your tax advisor to determine if you are able to obtain a refund or credit of any excess amounts withheld by timely filing an appropriate claim for a refund with the IRS.</w:t>
      </w:r>
    </w:p>
    <w:p>
      <w:pPr>
        <w:spacing w:after="0" w:line="17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79"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See also the section below entitled “— Foreign Accounts” for additional withholding rules that may apply to dividends paid to foreign financial institutions or non-financial foreign entities.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Subject to the discussion below under the sections titled “— Backup Withholding and Information Reporting” and “— Foreign Accounts,” a Non-U.S. Holder generally will not be subject to U.S. federal income tax with respect to gain realized on a sale or other disposition of our common stock unless</w:t>
      </w:r>
    </w:p>
    <w:p>
      <w:pPr>
        <w:ind w:left="200" w:firstLine="4"/>
        <w:spacing w:after="0" w:line="271" w:lineRule="auto"/>
        <w:tabs>
          <w:tab w:leader="none" w:pos="44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179" w:lineRule="exact"/>
        <w:rPr>
          <w:sz w:val="20"/>
          <w:szCs w:val="20"/>
          <w:color w:val="auto"/>
        </w:rPr>
      </w:pPr>
    </w:p>
    <w:p>
      <w:pPr>
        <w:ind w:left="200" w:right="20"/>
        <w:spacing w:after="0" w:line="268" w:lineRule="auto"/>
        <w:rPr>
          <w:sz w:val="20"/>
          <w:szCs w:val="20"/>
          <w:color w:val="auto"/>
        </w:rPr>
      </w:pPr>
      <w:r>
        <w:rPr>
          <w:rFonts w:ascii="Arial" w:cs="Arial" w:eastAsia="Arial" w:hAnsi="Arial"/>
          <w:sz w:val="17"/>
          <w:szCs w:val="17"/>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 be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tax advisors regarding the U.S. federal estate tax consequences of the ownership or disposition of our common stock.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7" w:lineRule="exact"/>
        <w:rPr>
          <w:sz w:val="20"/>
          <w:szCs w:val="20"/>
          <w:color w:val="auto"/>
        </w:rPr>
      </w:pPr>
    </w:p>
    <w:p>
      <w:pPr>
        <w:jc w:val="both"/>
        <w:ind w:left="200" w:right="60"/>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W-8ECI, as applicable, or otherwise establishes an exemption, provided that the applicable withholding agent does not have actual knowledge or reason to know the holder is a U.S. person.</w:t>
      </w:r>
    </w:p>
    <w:p>
      <w:pPr>
        <w:spacing w:after="0" w:line="18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IRS Form W-8BEN-E or IRS Form W-8ECI, as applicable,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tax advisor to determine whether you have overpaid your U.S. federal income tax, and whether you are able to obtain a tax refund or credit of the overpaid amount.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 addition to, and separately from, the withholding rules described above, U.S. federal withholding taxes at a rate of 30% may apply under the law commonly known as the Foreign Account Tax Compliance Act, or FATCA, on certain types of payments, including dividends, made to (A) a “foreign financial institution” (as defined for this purpose) unless such institution (i) is exempt from FATCA withholding pursuant to an applicable intergovernmental agreement between the jurisdiction in which it is located and the United States, (ii) enters into an agreement with the U.S. government to collect and provide to the U.S. tax authorities information regarding U.S. account holders of such institution or (iii) meets other exemptions or (B) a “non-financial foreign entity” (as defined for this purpose), unless such entity (i) is exempt from FATCA withholding pursuant to an applicable intergovernmental agreement between the jurisdiction in which it is located and the United States, (ii) provides the withholding agent with a certification identifying any “substantial U.S. owners” of the entity (as defined for this purpose), (iii) certifies that it does not have any substantial U.S. owners or (iv) meets other exemptions. Foreign financial institutions located in jurisdictions that have an intergovernmental agreement with the United States governing FATCA may be subject to different rules.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Under applicable Treasury Regulations and IRS guidance, FATCA withholding as described above currently applies to payments of dividends on our common stock. Additionally, under the applicable Treasury Regulations and administrative guidance, withholding under FATCA generally also would apply to payments of gross proceeds from the sale or other disposition of common stock on or after January 1, 2019. Under recently proposed regulations, however, no withholding will apply with respect to payments of gross proceeds. The preamble to the proposed regulations specifies that taxpayers are permitted to rely on such proposed regulations pending finalization.</w:t>
      </w:r>
    </w:p>
    <w:p>
      <w:pPr>
        <w:spacing w:after="0" w:line="173"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7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EACH PROSPECTIVE INVESTOR SHOULD CONSULT ITS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20"/>
          </w:cols>
          <w:pgMar w:left="24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 (CONFLICT OF INTEREST)</w:t>
      </w:r>
    </w:p>
    <w:p>
      <w:pPr>
        <w:spacing w:after="0" w:line="22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supplement, the underwriters named below, for whom Morgan Stanley &amp; Co. LLC and SVB Leerink LLC are acting as representatives, have severally agreed to purchase, and we have agreed to sell to them, severally, the number of shares indicated below:</w:t>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6500" w:type="dxa"/>
            <w:vAlign w:val="bottom"/>
            <w:vMerge w:val="continue"/>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SVB Leerink LLC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BTIG, LLC</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9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w:t>
      </w:r>
    </w:p>
    <w:p>
      <w:pPr>
        <w:spacing w:after="0" w:line="46"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prospectus supplement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w:t>
      </w:r>
    </w:p>
    <w:p>
      <w:pPr>
        <w:spacing w:after="0" w:line="19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supplement, to purchase up to 750,000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3"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750,000 shares of common stock.</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vMerge w:val="restart"/>
          </w:tcPr>
          <w:p>
            <w:pPr>
              <w:jc w:val="right"/>
              <w:ind w:right="187"/>
              <w:spacing w:after="0"/>
              <w:rPr>
                <w:sz w:val="20"/>
                <w:szCs w:val="20"/>
                <w:color w:val="auto"/>
              </w:rPr>
            </w:pPr>
            <w:r>
              <w:rPr>
                <w:rFonts w:ascii="Arial" w:cs="Arial" w:eastAsia="Arial" w:hAnsi="Arial"/>
                <w:sz w:val="14"/>
                <w:szCs w:val="14"/>
                <w:b w:val="1"/>
                <w:bCs w:val="1"/>
                <w:color w:val="auto"/>
              </w:rPr>
              <w:t>Per</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top w:val="single" w:sz="8" w:color="auto"/>
            </w:tcBorders>
          </w:tcPr>
          <w:p>
            <w:pPr>
              <w:jc w:val="right"/>
              <w:ind w:right="209"/>
              <w:spacing w:after="0" w:line="119" w:lineRule="exact"/>
              <w:rPr>
                <w:sz w:val="20"/>
                <w:szCs w:val="20"/>
                <w:color w:val="auto"/>
              </w:rPr>
            </w:pPr>
            <w:r>
              <w:rPr>
                <w:rFonts w:ascii="Arial" w:cs="Arial" w:eastAsia="Arial" w:hAnsi="Arial"/>
                <w:sz w:val="13"/>
                <w:szCs w:val="13"/>
                <w:b w:val="1"/>
                <w:bCs w:val="1"/>
                <w:color w:val="auto"/>
              </w:rPr>
              <w:t>No</w:t>
            </w:r>
          </w:p>
        </w:tc>
        <w:tc>
          <w:tcPr>
            <w:tcW w:w="4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Arial" w:cs="Arial" w:eastAsia="Arial" w:hAnsi="Arial"/>
                <w:sz w:val="14"/>
                <w:szCs w:val="14"/>
                <w:b w:val="1"/>
                <w:bCs w:val="1"/>
                <w:color w:val="auto"/>
              </w:rPr>
              <w:t>Share</w:t>
            </w:r>
          </w:p>
        </w:tc>
        <w:tc>
          <w:tcPr>
            <w:tcW w:w="46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b w:val="1"/>
                <w:bCs w:val="1"/>
                <w:color w:val="auto"/>
              </w:rPr>
              <w:t>Exercise</w:t>
            </w:r>
          </w:p>
        </w:tc>
        <w:tc>
          <w:tcPr>
            <w:tcW w:w="46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9"/>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216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16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$365,000. We have agreed to reimburse the underwriters for expense relating to clearance of this offering with FINRA up to $15,000.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has been approved for quotation on the Nasdaq Global Market under the trading symbol “VCYT.”</w:t>
      </w:r>
    </w:p>
    <w:p>
      <w:pPr>
        <w:spacing w:after="0" w:line="22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We, and our executive officers and directors, and certain stockholders affiliated with our executive officers and directors, have agreed not to sell or transfer any common stock or securities convertible into or exchangeable or exercisable for common stock, for 90 days after the date of this prospectus supplement without first obtaining the written consent of Morgan Stanley &amp; Co. LLC and SVB Leerink LLC on behalf of the underwriters. Specifically, we and these other persons have agreed, with certain limited exceptions including sales pursuant to existing 10b5-1 trading plans, not to directly or indirectly:</w:t>
      </w:r>
    </w:p>
    <w:p>
      <w:pPr>
        <w:spacing w:after="0" w:line="94"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w:t>
      </w:r>
    </w:p>
    <w:p>
      <w:pPr>
        <w:spacing w:after="0" w:line="130"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any common stock, whether any such swap or transaction is to be settled by delivery of shares of common stock or other securities, in cash or otherwise.</w:t>
      </w:r>
    </w:p>
    <w:p>
      <w:pPr>
        <w:spacing w:after="0" w:line="181" w:lineRule="exact"/>
        <w:rPr>
          <w:sz w:val="20"/>
          <w:szCs w:val="20"/>
          <w:color w:val="auto"/>
        </w:rPr>
      </w:pPr>
    </w:p>
    <w:p>
      <w:pPr>
        <w:jc w:val="both"/>
        <w:ind w:left="200" w:right="220"/>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 Morgan Stanley &amp; Co. LLC and SVB Leerink LLC, in their sole discretion, may release the common stock and other securities subject to the lock-up agreements described above in whole or in part at any time.</w:t>
      </w:r>
    </w:p>
    <w:p>
      <w:pPr>
        <w:spacing w:after="0" w:line="187"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87"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3"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Affiliates of SVB Leerink LLC, an underwriter in this offering, will receive at least 5% of the net proceeds of this offering in connection with the repayment of approximately $12.4 million of the term loan outstanding under our Loan and Security Agreement. Therefore, SVB Leerink LLC is deemed to have a “conflict of interest” under FINRA Rule 5121. Accordingly, this offering is being made in compliance with the requirements of Rule 5121. The appointment of a “qualified independent underwriter” is not required in connection with this offering as a “bona fide public market,” as defined in Rule 5121, exists for our common stock. In accordance with Rule 5121, SVB Leerink LLC will not confirm any sales to any account over which it exercises discretionary authority without the specific written approval of the transaction from the account holder. See “Use of Proceeds.”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9"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17"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Any person offering, selling or recommending the shares (each, a distributor) should take into consideration the manufacturers’ target market assessment; however, a distributor subject to MiFID II is responsible for undertaking its own target market assessment in respect of the shares (by either adopting or refining the manufacturers’ target market assessment) and determining appropriate distribution channels.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100" w:hanging="424"/>
        <w:spacing w:after="0" w:line="259"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17" w:lineRule="exact"/>
        <w:rPr>
          <w:sz w:val="20"/>
          <w:szCs w:val="20"/>
          <w:color w:val="auto"/>
        </w:rPr>
      </w:pPr>
    </w:p>
    <w:p>
      <w:pPr>
        <w:jc w:val="both"/>
        <w:ind w:left="200"/>
        <w:spacing w:after="0" w:line="302" w:lineRule="auto"/>
        <w:rPr>
          <w:sz w:val="20"/>
          <w:szCs w:val="20"/>
          <w:color w:val="auto"/>
        </w:rPr>
      </w:pPr>
      <w:r>
        <w:rPr>
          <w:rFonts w:ascii="Arial" w:cs="Arial" w:eastAsia="Arial" w:hAnsi="Arial"/>
          <w:sz w:val="16"/>
          <w:szCs w:val="16"/>
          <w:color w:val="auto"/>
        </w:rPr>
        <w:t>Neither this prospectus supplement nor any other offering material relating to the shares described in this prospectus supplement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supplement nor any other offering material relating to the shares has been or will be:</w:t>
      </w:r>
    </w:p>
    <w:p>
      <w:pPr>
        <w:spacing w:after="0" w:line="60"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1060" w:right="4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qualified investors (investisseurs qualifiés) 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1060" w:right="260" w:hanging="316"/>
        <w:spacing w:after="0" w:line="31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investment services providers authorized to engage in portfolio management on behalf of third parties; or 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4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The shares may not be offered or sold in Hong Kong by means of any document other than (1) in circumstances which do not constitute an offer to the public within the meaning of the Companies Ordinance (Cap. 32, Laws of Hong Kong), (2) to “professional investors” within the meaning of the Securities and Futures Ordinance (Cap. 571, Laws of Hong Kong) and any rules made thereunder, or (3)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left="200" w:right="40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24"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This prospectus supplement and the accompanying prospectuses have not been registered as a prospectus with the Monetary Authority of Singapore. Accordingly, this prospectus supplement and the accompanying prospectuses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pursuant to Section 275(1),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60" w:right="180" w:hanging="316"/>
        <w:spacing w:after="0" w:line="308"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hanging="316"/>
        <w:spacing w:after="0" w:line="25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2" w:lineRule="exact"/>
        <w:rPr>
          <w:rFonts w:ascii="Arial" w:cs="Arial" w:eastAsia="Arial" w:hAnsi="Arial"/>
          <w:sz w:val="18"/>
          <w:szCs w:val="18"/>
          <w:color w:val="auto"/>
        </w:rPr>
      </w:pPr>
    </w:p>
    <w:p>
      <w:pPr>
        <w:ind w:left="1060" w:right="60" w:hanging="316"/>
        <w:spacing w:after="0" w:line="27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77" w:lineRule="exact"/>
        <w:rPr>
          <w:rFonts w:ascii="Arial" w:cs="Arial" w:eastAsia="Arial" w:hAnsi="Arial"/>
          <w:sz w:val="17"/>
          <w:szCs w:val="17"/>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the common stock has been or will be lodged with the Australian Securities &amp;</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Investments Commission, or ASIC. This document has not been lodged with ASIC and is only directed to certain categories of exempt persons.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Accordingly, if you receive this document in Australia:</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confirm and warrant that you are either:</w:t>
      </w:r>
    </w:p>
    <w:p>
      <w:pPr>
        <w:spacing w:after="0" w:line="131"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30"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30"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86"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validity of the shares of common stock being offered hereby will be passed upon for us by Fenwick &amp; West LLP, San Francisco, California. Certain legal matters in connection with this offering will be passed upon for the underwriters by Latham &amp; Watkins LLP.</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2018, and the effectiveness of our internal control over financial reporting as of December 31, 2018,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have filed a registration statement on Form S-3 with the SEC under the Securities Act.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The SEC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prospectus, and any references to this website or any other website are inactive textual references only.</w:t>
      </w:r>
    </w:p>
    <w:p>
      <w:pPr>
        <w:spacing w:after="0" w:line="178"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73" w:lineRule="exact"/>
        <w:rPr>
          <w:sz w:val="20"/>
          <w:szCs w:val="20"/>
          <w:color w:val="auto"/>
        </w:rPr>
      </w:pPr>
    </w:p>
    <w:p>
      <w:pPr>
        <w:ind w:left="1060" w:right="18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2018, filed with the SEC on February 25, 2019, including certain information incorporated by reference therein from our </w:t>
      </w:r>
      <w:hyperlink r:id="rId47">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2019 annual meeting of stockholders filed with the SEC on April 24, 2019;</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Quarterly Reports on </w:t>
      </w:r>
      <w:hyperlink r:id="rId4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April 30, 2019;</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49">
        <w:r>
          <w:rPr>
            <w:rFonts w:ascii="Arial" w:cs="Arial" w:eastAsia="Arial" w:hAnsi="Arial"/>
            <w:sz w:val="18"/>
            <w:szCs w:val="18"/>
            <w:u w:val="single" w:color="auto"/>
            <w:color w:val="0000EE"/>
          </w:rPr>
          <w:t>January 3, 2019</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February 26,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1">
        <w:r>
          <w:rPr>
            <w:rFonts w:ascii="Arial" w:cs="Arial" w:eastAsia="Arial" w:hAnsi="Arial"/>
            <w:sz w:val="18"/>
            <w:szCs w:val="18"/>
            <w:u w:val="single" w:color="auto"/>
            <w:color w:val="0000EE"/>
          </w:rPr>
          <w:t>April 26, 2019</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60" w:right="340" w:hanging="316"/>
        <w:spacing w:after="0" w:line="308"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52">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October 28, 2013 under Section 12 of the Exchange Act, including any amendment or report filed for the purpose of updating such description.</w:t>
      </w:r>
    </w:p>
    <w:p>
      <w:pPr>
        <w:spacing w:after="0" w:line="147" w:lineRule="exact"/>
        <w:rPr>
          <w:rFonts w:ascii="Arial" w:cs="Arial" w:eastAsia="Arial" w:hAnsi="Arial"/>
          <w:sz w:val="18"/>
          <w:szCs w:val="18"/>
          <w:color w:val="auto"/>
        </w:rPr>
      </w:pPr>
    </w:p>
    <w:p>
      <w:pPr>
        <w:ind w:left="200" w:right="20"/>
        <w:spacing w:after="0" w:line="277" w:lineRule="auto"/>
        <w:rPr>
          <w:sz w:val="20"/>
          <w:szCs w:val="20"/>
          <w:color w:val="auto"/>
        </w:rPr>
      </w:pPr>
      <w:r>
        <w:rPr>
          <w:rFonts w:ascii="Arial" w:cs="Arial" w:eastAsia="Arial" w:hAnsi="Arial"/>
          <w:sz w:val="18"/>
          <w:szCs w:val="18"/>
          <w:color w:val="auto"/>
        </w:rPr>
        <w:t>We also incorporate by reference all additional documents that we file with the SEC under the terms of Section 13(a), 13(c), 14 or 15(d) of the Exchange Act that are made after the initial filing date of the registration</w:t>
      </w:r>
    </w:p>
    <w:p>
      <w:pPr>
        <w:spacing w:after="0" w:line="10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8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and (650) 243-6300. We will not, however, send exhibits to those documents, unless the exhibits are specifically incorporated by reference in those documents.</w:t>
      </w:r>
    </w:p>
    <w:p>
      <w:pPr>
        <w:spacing w:after="0" w:line="187"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40"/>
          </w:cols>
          <w:pgMar w:left="24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172085</wp:posOffset>
            </wp:positionV>
            <wp:extent cx="1920875" cy="1389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92087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43"/>
          <w:szCs w:val="43"/>
          <w:b w:val="1"/>
          <w:bCs w:val="1"/>
          <w:color w:val="auto"/>
        </w:rPr>
        <w:t>VERACYTE, INC.</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Debt Securities, Warrants,</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157480</wp:posOffset>
            </wp:positionV>
            <wp:extent cx="1466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46"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7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160655</wp:posOffset>
            </wp:positionV>
            <wp:extent cx="1466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7" w:lineRule="exact"/>
        <w:rPr>
          <w:sz w:val="20"/>
          <w:szCs w:val="20"/>
          <w:color w:val="auto"/>
        </w:rPr>
      </w:pPr>
    </w:p>
    <w:p>
      <w:pPr>
        <w:ind w:left="200" w:right="100" w:firstLine="441"/>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risks. See the section entitled “</w:t>
      </w:r>
      <w:hyperlink w:anchor="page37">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4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14.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115570</wp:posOffset>
            </wp:positionV>
            <wp:extent cx="1466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5" w:lineRule="exact"/>
        <w:rPr>
          <w:sz w:val="20"/>
          <w:szCs w:val="20"/>
          <w:color w:val="auto"/>
        </w:rPr>
      </w:pPr>
    </w:p>
    <w:p>
      <w:pPr>
        <w:ind w:left="200" w:right="28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116840</wp:posOffset>
            </wp:positionV>
            <wp:extent cx="1466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date of this prospectus is May 2, 2019.</w:t>
      </w:r>
    </w:p>
    <w:p>
      <w:pPr>
        <w:sectPr>
          <w:pgSz w:w="11900" w:h="16838" w:orient="portrait"/>
          <w:cols w:equalWidth="0" w:num="1">
            <w:col w:w="11140"/>
          </w:cols>
          <w:pgMar w:left="240" w:top="459" w:right="5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8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360" w:type="dxa"/>
            <w:vAlign w:val="bottom"/>
            <w:tcBorders>
              <w:bottom w:val="single" w:sz="8" w:color="0000EE"/>
            </w:tcBorders>
            <w:gridSpan w:val="9"/>
          </w:tcPr>
          <w:p>
            <w:pPr>
              <w:spacing w:after="0"/>
              <w:rPr>
                <w:rFonts w:ascii="Arial" w:cs="Arial" w:eastAsia="Arial" w:hAnsi="Arial"/>
                <w:sz w:val="18"/>
                <w:szCs w:val="18"/>
                <w:b w:val="1"/>
                <w:bCs w:val="1"/>
                <w:color w:val="0000EE"/>
                <w:w w:val="97"/>
              </w:rPr>
            </w:pPr>
            <w:hyperlink w:anchor="page34">
              <w:r>
                <w:rPr>
                  <w:rFonts w:ascii="Arial" w:cs="Arial" w:eastAsia="Arial" w:hAnsi="Arial"/>
                  <w:sz w:val="18"/>
                  <w:szCs w:val="18"/>
                  <w:b w:val="1"/>
                  <w:bCs w:val="1"/>
                  <w:color w:val="0000EE"/>
                  <w:w w:val="97"/>
                </w:rPr>
                <w:t>ABOUT THIS PROSPECTUS</w:t>
              </w:r>
            </w:hyperlink>
          </w:p>
        </w:tc>
        <w:tc>
          <w:tcPr>
            <w:tcW w:w="6280" w:type="dxa"/>
            <w:vAlign w:val="bottom"/>
            <w:gridSpan w:val="11"/>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PROSPECTUS SUMMARY</w:t>
              </w:r>
            </w:hyperlink>
          </w:p>
        </w:tc>
        <w:tc>
          <w:tcPr>
            <w:tcW w:w="644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37">
              <w:r>
                <w:rPr>
                  <w:rFonts w:ascii="Arial" w:cs="Arial" w:eastAsia="Arial" w:hAnsi="Arial"/>
                  <w:sz w:val="18"/>
                  <w:szCs w:val="18"/>
                  <w:b w:val="1"/>
                  <w:bCs w:val="1"/>
                  <w:color w:val="0000EE"/>
                  <w:w w:val="97"/>
                </w:rPr>
                <w:t>RISK FACTORS</w:t>
              </w:r>
            </w:hyperlink>
          </w:p>
        </w:tc>
        <w:tc>
          <w:tcPr>
            <w:tcW w:w="730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31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FORWARD-LOOKING STATEMENTS</w:t>
              </w:r>
            </w:hyperlink>
          </w:p>
        </w:tc>
        <w:tc>
          <w:tcPr>
            <w:tcW w:w="552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38">
              <w:r>
                <w:rPr>
                  <w:rFonts w:ascii="Arial" w:cs="Arial" w:eastAsia="Arial" w:hAnsi="Arial"/>
                  <w:sz w:val="18"/>
                  <w:szCs w:val="18"/>
                  <w:b w:val="1"/>
                  <w:bCs w:val="1"/>
                  <w:color w:val="0000EE"/>
                  <w:w w:val="95"/>
                </w:rPr>
                <w:t>USE OF PROCEEDS</w:t>
              </w:r>
            </w:hyperlink>
          </w:p>
        </w:tc>
        <w:tc>
          <w:tcPr>
            <w:tcW w:w="696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25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SECURITIES WE MAY OFFER</w:t>
              </w:r>
            </w:hyperlink>
          </w:p>
        </w:tc>
        <w:tc>
          <w:tcPr>
            <w:tcW w:w="608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DESCRIPTION OF COMMON STOCK</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DESCRIPTION OF PREFERRED STOCK</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42">
              <w:r>
                <w:rPr>
                  <w:rFonts w:ascii="Arial" w:cs="Arial" w:eastAsia="Arial" w:hAnsi="Arial"/>
                  <w:sz w:val="18"/>
                  <w:szCs w:val="18"/>
                  <w:b w:val="1"/>
                  <w:bCs w:val="1"/>
                  <w:color w:val="0000EE"/>
                  <w:w w:val="99"/>
                </w:rPr>
                <w:t>DESCRIPTION OF DEBT SECURITIES</w:t>
              </w:r>
            </w:hyperlink>
          </w:p>
        </w:tc>
        <w:tc>
          <w:tcPr>
            <w:tcW w:w="140" w:type="dxa"/>
            <w:vAlign w:val="bottom"/>
            <w:tcBorders>
              <w:top w:val="single" w:sz="8" w:color="0000EE"/>
            </w:tcBorders>
          </w:tcPr>
          <w:p>
            <w:pPr>
              <w:spacing w:after="0"/>
              <w:rPr>
                <w:sz w:val="17"/>
                <w:szCs w:val="17"/>
                <w:color w:val="auto"/>
              </w:rPr>
            </w:pPr>
          </w:p>
        </w:tc>
        <w:tc>
          <w:tcPr>
            <w:tcW w:w="528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DESCRIPTION OF WARRANTS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DESCRIPTION OF SUBSCRIPTION RIGHTS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368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DESCRIPTION OF UNITS</w:t>
              </w:r>
            </w:hyperlink>
          </w:p>
        </w:tc>
        <w:tc>
          <w:tcPr>
            <w:tcW w:w="49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SELLING SECURITYHOLDERS</w:t>
              </w:r>
            </w:hyperlink>
          </w:p>
        </w:tc>
        <w:tc>
          <w:tcPr>
            <w:tcW w:w="59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PLAN OF DISTRIBUTION</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3"/>
          </w:tcPr>
          <w:p>
            <w:pPr>
              <w:spacing w:after="0"/>
              <w:rPr>
                <w:sz w:val="17"/>
                <w:szCs w:val="17"/>
                <w:color w:val="auto"/>
              </w:rPr>
            </w:pPr>
          </w:p>
        </w:tc>
        <w:tc>
          <w:tcPr>
            <w:tcW w:w="648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EXPERTS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2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WHERE YOU CAN FIND MORE INFORMATION</w:t>
              </w:r>
            </w:hyperlink>
          </w:p>
        </w:tc>
        <w:tc>
          <w:tcPr>
            <w:tcW w:w="46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INCORPORATION OF INFORMATION BY REFERENCE</w:t>
              </w:r>
            </w:hyperlink>
          </w:p>
        </w:tc>
        <w:tc>
          <w:tcPr>
            <w:tcW w:w="396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bl>
    <w:p>
      <w:pPr>
        <w:jc w:val="right"/>
        <w:spacing w:after="0" w:line="196"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auto"/>
        </w:rPr>
        <w:t>This prospectus is part of an automatic registration statement on Form S-3 that we filed with the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8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6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We are a leading genomic diagnostics company that is creating value through innovation. We were founded in 2008 with a mission to improve diagnostic accuracy. Today, through our innovative scientific platform which utilizes ribonucleic acid, or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7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have commercialized five leading, first-to-market tests that we believe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use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cancer indications, diagnosis can be ambiguous in 15% to 70% of cases.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date, we have commercialized five genomic tests that we believe are changing disease diagnosis:</w:t>
      </w:r>
    </w:p>
    <w:p>
      <w:pPr>
        <w:spacing w:after="0" w:line="131"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Afirma Genomic Sequencing Classifier, or GSC, for thyroid cancer;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Afirma Gene Expression Classifier, which was the Afirma GSC’s predecessor;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Percepta Bronchial Genomic Classifier for lung cancer;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Envisia Genomic Classifier for IPF; and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Afirma Xpression Atlas, which provides information on the most common and emerging gene alterations associated with thyroid cancer, enabling physicians to confidently tailor surgical and treatment decisions at time of diagnosis.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Collectively, we believe the four tests we are currently offering address a $2 billion global market opportunity.</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We continue to build upon our extensive library of clinical evidence.</w:t>
      </w:r>
    </w:p>
    <w:p>
      <w:pPr>
        <w:spacing w:after="0" w:line="187"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Afirma genomic classifier is now covered by every major health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plan in the United States, which collectively insure more than 275 million people, for use in thyroid cancer diagnosis. We are now contracted as an in-network 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March 31, 2019,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6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9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Unless otherwise indicated in the prospectus supplement, we will not receive any of the proceeds from any sale of our common stock by selling securityholders.</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5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7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have 125,000,000 shares of authorized common stock. As of March 31, 2019, there were 41,509,240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Our restated certificate of incorporation and amended and restated bylaws include provisions that:</w:t>
      </w:r>
    </w:p>
    <w:p>
      <w:pPr>
        <w:spacing w:after="0" w:line="142"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060" w:right="4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24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142" w:lineRule="exact"/>
        <w:rPr>
          <w:rFonts w:ascii="Arial" w:cs="Arial" w:eastAsia="Arial" w:hAnsi="Arial"/>
          <w:sz w:val="17"/>
          <w:szCs w:val="17"/>
          <w:color w:val="auto"/>
        </w:rPr>
      </w:pPr>
    </w:p>
    <w:p>
      <w:pPr>
        <w:ind w:left="1060" w:hanging="316"/>
        <w:spacing w:after="0" w:line="25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060" w:right="640" w:hanging="316"/>
        <w:spacing w:after="0" w:line="308"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31"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60" w:right="10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As of March 31, 2019,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7"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130" w:lineRule="exact"/>
        <w:rPr>
          <w:rFonts w:ascii="Arial" w:cs="Arial" w:eastAsia="Arial" w:hAnsi="Arial"/>
          <w:sz w:val="18"/>
          <w:szCs w:val="18"/>
          <w:color w:val="auto"/>
        </w:rPr>
      </w:pPr>
    </w:p>
    <w:p>
      <w:pPr>
        <w:ind w:left="1060" w:right="320" w:hanging="316"/>
        <w:spacing w:after="0" w:line="34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and conditions of a sinking or purchase fund for the purchase or redemption of shares of the series, if such a fund is provided;</w:t>
      </w:r>
    </w:p>
    <w:p>
      <w:pPr>
        <w:spacing w:after="0" w:line="153" w:lineRule="exact"/>
        <w:rPr>
          <w:rFonts w:ascii="Arial" w:cs="Arial" w:eastAsia="Arial" w:hAnsi="Arial"/>
          <w:sz w:val="16"/>
          <w:szCs w:val="16"/>
          <w:color w:val="auto"/>
        </w:rPr>
      </w:pPr>
    </w:p>
    <w:p>
      <w:pPr>
        <w:ind w:left="1060" w:right="64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240" w:top="459" w:right="5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78"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5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76"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6" w:lineRule="exact"/>
        <w:rPr>
          <w:rFonts w:ascii="Arial" w:cs="Arial" w:eastAsia="Arial" w:hAnsi="Arial"/>
          <w:sz w:val="18"/>
          <w:szCs w:val="18"/>
          <w:color w:val="auto"/>
        </w:rPr>
      </w:pPr>
    </w:p>
    <w:p>
      <w:pPr>
        <w:ind w:left="1060" w:right="40" w:hanging="316"/>
        <w:spacing w:after="0" w:line="342"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20" w:hanging="316"/>
        <w:spacing w:after="0" w:line="342"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29"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subordinate in right and priority of payment to our other debt;</w:t>
      </w:r>
    </w:p>
    <w:p>
      <w:pPr>
        <w:spacing w:after="0" w:line="130" w:lineRule="exact"/>
        <w:rPr>
          <w:rFonts w:ascii="Arial" w:cs="Arial" w:eastAsia="Arial" w:hAnsi="Arial"/>
          <w:sz w:val="18"/>
          <w:szCs w:val="18"/>
          <w:color w:val="auto"/>
        </w:rPr>
      </w:pPr>
    </w:p>
    <w:p>
      <w:pPr>
        <w:ind w:left="1060" w:right="40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 if other than denominations of $1,000 or any integral multiple of that number;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75" w:lineRule="exact"/>
        <w:rPr>
          <w:rFonts w:ascii="Arial" w:cs="Arial" w:eastAsia="Arial" w:hAnsi="Arial"/>
          <w:sz w:val="18"/>
          <w:szCs w:val="18"/>
          <w:color w:val="auto"/>
        </w:rPr>
      </w:pPr>
    </w:p>
    <w:p>
      <w:pPr>
        <w:ind w:left="1060" w:right="260" w:hanging="316"/>
        <w:spacing w:after="0" w:line="259"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addition to or change in the covenants and/or the acceleration provisions described in this prospectus or in the indenture;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assets or the incurrence by us of indebtedness. We will describe in the applicable prospectus supplement any material covenants in respect of a series of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200" w:right="620" w:firstLine="441"/>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29"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8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76"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30"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1"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30"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75"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for the reasonable expenses and liabilities that may be incurred by bringing the action;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94" w:lineRule="exact"/>
        <w:rPr>
          <w:sz w:val="20"/>
          <w:szCs w:val="20"/>
          <w:color w:val="auto"/>
        </w:rPr>
      </w:pPr>
    </w:p>
    <w:p>
      <w:pPr>
        <w:jc w:val="both"/>
        <w:ind w:left="1060" w:right="60" w:hanging="316"/>
        <w:spacing w:after="0" w:line="264"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6" w:lineRule="exact"/>
        <w:rPr>
          <w:rFonts w:ascii="Arial" w:cs="Arial" w:eastAsia="Arial" w:hAnsi="Arial"/>
          <w:sz w:val="18"/>
          <w:szCs w:val="18"/>
          <w:color w:val="auto"/>
        </w:rPr>
      </w:pPr>
    </w:p>
    <w:p>
      <w:pPr>
        <w:ind w:left="1060" w:right="140" w:hanging="316"/>
        <w:spacing w:after="0" w:line="25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81"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30"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hanging="316"/>
        <w:spacing w:after="0" w:line="264"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8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0"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7"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default in the payment of, any premium and any interest on, or principal of, any such debt security held by a nonconsenting holder; or</w:t>
      </w:r>
    </w:p>
    <w:p>
      <w:pPr>
        <w:spacing w:after="0" w:line="142" w:lineRule="exact"/>
        <w:rPr>
          <w:rFonts w:ascii="Arial" w:cs="Arial" w:eastAsia="Arial" w:hAnsi="Arial"/>
          <w:sz w:val="17"/>
          <w:szCs w:val="17"/>
          <w:color w:val="auto"/>
        </w:rPr>
      </w:pPr>
    </w:p>
    <w:p>
      <w:pPr>
        <w:ind w:left="1060" w:right="4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73"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76"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30" w:lineRule="exact"/>
        <w:rPr>
          <w:rFonts w:ascii="Arial" w:cs="Arial" w:eastAsia="Arial" w:hAnsi="Arial"/>
          <w:sz w:val="18"/>
          <w:szCs w:val="18"/>
          <w:color w:val="auto"/>
        </w:rPr>
      </w:pPr>
    </w:p>
    <w:p>
      <w:pPr>
        <w:ind w:left="5620" w:right="3320" w:hanging="4876"/>
        <w:spacing w:after="0" w:line="449" w:lineRule="auto"/>
        <w:tabs>
          <w:tab w:leader="none" w:pos="10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 14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7" w:lineRule="exact"/>
        <w:rPr>
          <w:sz w:val="20"/>
          <w:szCs w:val="20"/>
          <w:color w:val="auto"/>
        </w:rPr>
      </w:pPr>
    </w:p>
    <w:p>
      <w:pPr>
        <w:ind w:left="1060" w:right="320" w:hanging="316"/>
        <w:spacing w:after="0" w:line="342"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29" w:lineRule="exact"/>
        <w:rPr>
          <w:rFonts w:ascii="Arial" w:cs="Arial" w:eastAsia="Arial" w:hAnsi="Arial"/>
          <w:sz w:val="16"/>
          <w:szCs w:val="16"/>
          <w:color w:val="auto"/>
        </w:rPr>
      </w:pPr>
    </w:p>
    <w:p>
      <w:pPr>
        <w:ind w:left="1060" w:right="240" w:hanging="316"/>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dealers, underwriters, or agents participating in the distribution of the debt securities will designate the accounts to be credited; and</w:t>
      </w:r>
    </w:p>
    <w:p>
      <w:pPr>
        <w:spacing w:after="0" w:line="142" w:lineRule="exact"/>
        <w:rPr>
          <w:rFonts w:ascii="Arial" w:cs="Arial" w:eastAsia="Arial" w:hAnsi="Arial"/>
          <w:sz w:val="17"/>
          <w:szCs w:val="17"/>
          <w:color w:val="auto"/>
        </w:rPr>
      </w:pPr>
    </w:p>
    <w:p>
      <w:pPr>
        <w:ind w:left="1060" w:right="80" w:hanging="316"/>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70"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71"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8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200" w:right="220" w:firstLine="441"/>
        <w:spacing w:after="0" w:line="272" w:lineRule="auto"/>
        <w:rPr>
          <w:sz w:val="20"/>
          <w:szCs w:val="20"/>
          <w:color w:val="auto"/>
        </w:rPr>
      </w:pPr>
      <w:r>
        <w:rPr>
          <w:rFonts w:ascii="Arial" w:cs="Arial" w:eastAsia="Arial" w:hAnsi="Arial"/>
          <w:sz w:val="17"/>
          <w:szCs w:val="17"/>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7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93"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76"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153" w:lineRule="exact"/>
        <w:rPr>
          <w:rFonts w:ascii="Arial" w:cs="Arial" w:eastAsia="Arial" w:hAnsi="Arial"/>
          <w:sz w:val="16"/>
          <w:szCs w:val="16"/>
          <w:color w:val="auto"/>
        </w:rPr>
      </w:pPr>
    </w:p>
    <w:p>
      <w:pPr>
        <w:ind w:left="1060" w:right="32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75" w:lineRule="exact"/>
        <w:rPr>
          <w:rFonts w:ascii="Arial" w:cs="Arial" w:eastAsia="Arial" w:hAnsi="Arial"/>
          <w:sz w:val="18"/>
          <w:szCs w:val="18"/>
          <w:color w:val="auto"/>
        </w:rPr>
      </w:pPr>
    </w:p>
    <w:p>
      <w:pPr>
        <w:ind w:left="1060" w:right="74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preferred stock or debt securities will be separately transferable;</w:t>
      </w:r>
    </w:p>
    <w:p>
      <w:pPr>
        <w:spacing w:after="0" w:line="75" w:lineRule="exact"/>
        <w:rPr>
          <w:rFonts w:ascii="Arial" w:cs="Arial" w:eastAsia="Arial" w:hAnsi="Arial"/>
          <w:sz w:val="18"/>
          <w:szCs w:val="18"/>
          <w:color w:val="auto"/>
        </w:rPr>
      </w:pPr>
    </w:p>
    <w:p>
      <w:pPr>
        <w:ind w:left="1060" w:right="66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at which each share of common stock, preferred stock or debt securities purchasable upon exercise of the warrants may be purchased;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87"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71" w:lineRule="exact"/>
        <w:rPr>
          <w:sz w:val="20"/>
          <w:szCs w:val="20"/>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or the selling securityholders from the sale;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5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7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The validity of any securities offered by this prospectus will be passed upon for us by Fenwick &amp; West LLP, San Francisco and Mountain View, California. Counsel representing any underwriters, dealers or agents will be named in the applicable prospectus supplement.</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2018, and the effectiveness of our internal control over financial reporting as of December 31, 2018,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9"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February 25, 2019;</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47">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which was filed with the SEC on April 24, 2019;</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April 30, 2019;</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49">
        <w:r>
          <w:rPr>
            <w:rFonts w:ascii="Arial" w:cs="Arial" w:eastAsia="Arial" w:hAnsi="Arial"/>
            <w:sz w:val="18"/>
            <w:szCs w:val="18"/>
            <w:u w:val="single" w:color="auto"/>
            <w:color w:val="0000EE"/>
          </w:rPr>
          <w:t>January 3, 2019</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February 26</w:t>
        </w:r>
      </w:hyperlink>
      <w:r>
        <w:rPr>
          <w:rFonts w:ascii="Arial" w:cs="Arial" w:eastAsia="Arial" w:hAnsi="Arial"/>
          <w:sz w:val="18"/>
          <w:szCs w:val="18"/>
          <w:color w:val="auto"/>
        </w:rPr>
        <w:t xml:space="preserve">, 2019 and </w:t>
      </w:r>
      <w:hyperlink r:id="rId51">
        <w:r>
          <w:rPr>
            <w:rFonts w:ascii="Arial" w:cs="Arial" w:eastAsia="Arial" w:hAnsi="Arial"/>
            <w:sz w:val="18"/>
            <w:szCs w:val="18"/>
            <w:u w:val="single" w:color="auto"/>
            <w:color w:val="0000EE"/>
          </w:rPr>
          <w:t>April 26, 2019</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October 28, 2013, including any amendment or report filed for the purpose of updating such description.</w:t>
      </w:r>
    </w:p>
    <w:p>
      <w:pPr>
        <w:spacing w:after="0" w:line="170" w:lineRule="exact"/>
        <w:rPr>
          <w:rFonts w:ascii="Arial" w:cs="Arial" w:eastAsia="Arial" w:hAnsi="Arial"/>
          <w:sz w:val="18"/>
          <w:szCs w:val="18"/>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66" w:lineRule="exact"/>
        <w:rPr>
          <w:rFonts w:ascii="Arial" w:cs="Arial" w:eastAsia="Arial" w:hAnsi="Arial"/>
          <w:sz w:val="18"/>
          <w:szCs w:val="18"/>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11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283210</wp:posOffset>
            </wp:positionV>
            <wp:extent cx="6997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832485</wp:posOffset>
            </wp:positionV>
            <wp:extent cx="1920875" cy="1389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192087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869950</wp:posOffset>
            </wp:positionV>
            <wp:extent cx="14662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0" w:lineRule="exact"/>
        <w:rPr>
          <w:sz w:val="20"/>
          <w:szCs w:val="20"/>
          <w:color w:val="auto"/>
        </w:rPr>
      </w:pPr>
    </w:p>
    <w:p>
      <w:pPr>
        <w:sectPr>
          <w:pgSz w:w="11900" w:h="16838" w:orient="portrait"/>
          <w:cols w:equalWidth="0" w:num="2">
            <w:col w:w="8900" w:space="720"/>
            <w:col w:w="1600"/>
          </w:cols>
          <w:pgMar w:left="240" w:top="459" w:right="439" w:bottom="1440" w:gutter="0" w:footer="0" w:header="0"/>
          <w:type w:val="continuous"/>
        </w:sectPr>
      </w:pPr>
    </w:p>
    <w:p>
      <w:pPr>
        <w:spacing w:after="0" w:line="52" w:lineRule="exact"/>
        <w:rPr>
          <w:sz w:val="20"/>
          <w:szCs w:val="20"/>
          <w:color w:val="auto"/>
        </w:rPr>
      </w:pPr>
    </w:p>
    <w:p>
      <w:pPr>
        <w:jc w:val="center"/>
        <w:ind w:right="-219"/>
        <w:spacing w:after="0"/>
        <w:rPr>
          <w:sz w:val="20"/>
          <w:szCs w:val="20"/>
          <w:color w:val="auto"/>
        </w:rPr>
      </w:pPr>
      <w:r>
        <w:rPr>
          <w:rFonts w:ascii="Arial" w:cs="Arial" w:eastAsia="Arial" w:hAnsi="Arial"/>
          <w:sz w:val="24"/>
          <w:szCs w:val="24"/>
          <w:b w:val="1"/>
          <w:bCs w:val="1"/>
          <w:color w:val="auto"/>
        </w:rPr>
        <w:t>William Blair</w:t>
      </w:r>
    </w:p>
    <w:p>
      <w:pPr>
        <w:sectPr>
          <w:pgSz w:w="11900" w:h="16838" w:orient="portrait"/>
          <w:cols w:equalWidth="0" w:num="1">
            <w:col w:w="11220"/>
          </w:cols>
          <w:pgMar w:left="240" w:top="459" w:right="439" w:bottom="1440" w:gutter="0" w:footer="0" w:header="0"/>
          <w:type w:val="continuous"/>
        </w:sect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BTIG</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Janney Montgomery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882015</wp:posOffset>
            </wp:positionV>
            <wp:extent cx="14662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060" w:space="720"/>
            <w:col w:w="244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40"/>
        <w:spacing w:after="0"/>
        <w:rPr>
          <w:sz w:val="20"/>
          <w:szCs w:val="20"/>
          <w:color w:val="auto"/>
        </w:rPr>
      </w:pPr>
      <w:r>
        <w:rPr>
          <w:rFonts w:ascii="Arial" w:cs="Arial" w:eastAsia="Arial" w:hAnsi="Arial"/>
          <w:sz w:val="15"/>
          <w:szCs w:val="15"/>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476885</wp:posOffset>
            </wp:positionV>
            <wp:extent cx="6997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536575</wp:posOffset>
            </wp:positionV>
            <wp:extent cx="699770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upperLetter"/>
      <w:start w:val="1"/>
    </w:lvl>
  </w:abstractNum>
  <w:abstractNum w:abstractNumId="11">
    <w:nsid w:val="B03E0C6"/>
    <w:multiLevelType w:val="hybridMultilevel"/>
    <w:lvl w:ilvl="0">
      <w:lvlJc w:val="left"/>
      <w:lvlText w:val="%1."/>
      <w:numFmt w:val="upperLetter"/>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jpe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jpe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46" Type="http://schemas.openxmlformats.org/officeDocument/2006/relationships/hyperlink" Target="http://www.sec.gov/Archives/edgar/data/1384101/000138410119000010/vcyt-12312018x10k.htm" TargetMode="External"/><Relationship Id="rId47" Type="http://schemas.openxmlformats.org/officeDocument/2006/relationships/hyperlink" Target="http://www.sec.gov/Archives/edgar/data/1384101/000138410119000038/vcyt-proxy2019xdef14a.htm" TargetMode="External"/><Relationship Id="rId48" Type="http://schemas.openxmlformats.org/officeDocument/2006/relationships/hyperlink" Target="http://www.sec.gov/Archives/edgar/data/1384101/000138410119000046/vcyt-03312019x10q.htm" TargetMode="External"/><Relationship Id="rId49" Type="http://schemas.openxmlformats.org/officeDocument/2006/relationships/hyperlink" Target="http://www.sec.gov/Archives/edgar/data/1384101/000138410119000002/materialagreement8-k.htm" TargetMode="External"/><Relationship Id="rId50" Type="http://schemas.openxmlformats.org/officeDocument/2006/relationships/hyperlink" Target="http://www.sec.gov/Archives/edgar/data/1384101/000138410119000014/form8-k2x25x19compensation.htm" TargetMode="External"/><Relationship Id="rId51" Type="http://schemas.openxmlformats.org/officeDocument/2006/relationships/hyperlink" Target="http://www.sec.gov/Archives/edgar/data/1384101/000138410119000042/vcyt-0422198xkitem502.htm" TargetMode="External"/><Relationship Id="rId52" Type="http://schemas.openxmlformats.org/officeDocument/2006/relationships/hyperlink" Target="http://www.sec.gov/Archives/edgar/data/1384101/000110465913078343/a13-16266_15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2019-12-21T00:45:04Z</dcterms:created>
  <dcterms:modified xsi:type="dcterms:W3CDTF">2019-12-21T00:45:04Z</dcterms:modified>
</cp:coreProperties>
</file>