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11,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12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001-36156</w:t>
            </w:r>
          </w:p>
        </w:tc>
        <w:tc>
          <w:tcPr>
            <w:tcW w:w="22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120" w:type="dxa"/>
            <w:vAlign w:val="bottom"/>
          </w:tcPr>
          <w:p>
            <w:pPr>
              <w:jc w:val="center"/>
              <w:ind w:left="530"/>
              <w:spacing w:after="0"/>
              <w:rPr>
                <w:sz w:val="20"/>
                <w:szCs w:val="20"/>
                <w:color w:val="auto"/>
              </w:rPr>
            </w:pPr>
            <w:r>
              <w:rPr>
                <w:rFonts w:ascii="Arial" w:cs="Arial" w:eastAsia="Arial" w:hAnsi="Arial"/>
                <w:sz w:val="18"/>
                <w:szCs w:val="18"/>
                <w:color w:val="auto"/>
                <w:w w:val="93"/>
              </w:rPr>
              <w:t>(Commission</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5120" w:type="dxa"/>
            <w:vAlign w:val="bottom"/>
          </w:tcPr>
          <w:p>
            <w:pPr>
              <w:jc w:val="center"/>
              <w:ind w:left="530"/>
              <w:spacing w:after="0"/>
              <w:rPr>
                <w:sz w:val="20"/>
                <w:szCs w:val="20"/>
                <w:color w:val="auto"/>
              </w:rPr>
            </w:pPr>
            <w:r>
              <w:rPr>
                <w:rFonts w:ascii="Arial" w:cs="Arial" w:eastAsia="Arial" w:hAnsi="Arial"/>
                <w:sz w:val="18"/>
                <w:szCs w:val="18"/>
                <w:color w:val="auto"/>
                <w:w w:val="94"/>
              </w:rPr>
              <w:t>File Number)</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60" w:type="dxa"/>
            <w:vAlign w:val="bottom"/>
          </w:tcPr>
          <w:p>
            <w:pPr>
              <w:spacing w:after="0"/>
              <w:rPr>
                <w:sz w:val="24"/>
                <w:szCs w:val="24"/>
                <w:color w:val="auto"/>
              </w:rPr>
            </w:pPr>
          </w:p>
        </w:tc>
        <w:tc>
          <w:tcPr>
            <w:tcW w:w="5120" w:type="dxa"/>
            <w:vAlign w:val="bottom"/>
          </w:tcPr>
          <w:p>
            <w:pPr>
              <w:ind w:left="80"/>
              <w:spacing w:after="0"/>
              <w:rPr>
                <w:sz w:val="20"/>
                <w:szCs w:val="20"/>
                <w:color w:val="auto"/>
              </w:rPr>
            </w:pPr>
            <w:r>
              <w:rPr>
                <w:rFonts w:ascii="Arial" w:cs="Arial" w:eastAsia="Arial" w:hAnsi="Arial"/>
                <w:sz w:val="18"/>
                <w:szCs w:val="18"/>
                <w:b w:val="1"/>
                <w:bCs w:val="1"/>
                <w:color w:val="auto"/>
                <w:w w:val="91"/>
              </w:rPr>
              <w:t>7000 Shoreline Court, Suite 250, South San Francisco, California</w:t>
            </w:r>
          </w:p>
        </w:tc>
        <w:tc>
          <w:tcPr>
            <w:tcW w:w="2280" w:type="dxa"/>
            <w:vAlign w:val="bottom"/>
          </w:tcPr>
          <w:p>
            <w:pPr>
              <w:jc w:val="right"/>
              <w:ind w:right="1670"/>
              <w:spacing w:after="0"/>
              <w:rPr>
                <w:sz w:val="20"/>
                <w:szCs w:val="20"/>
                <w:color w:val="auto"/>
              </w:rPr>
            </w:pPr>
            <w:r>
              <w:rPr>
                <w:rFonts w:ascii="Arial" w:cs="Arial" w:eastAsia="Arial" w:hAnsi="Arial"/>
                <w:sz w:val="18"/>
                <w:szCs w:val="18"/>
                <w:b w:val="1"/>
                <w:bCs w:val="1"/>
                <w:color w:val="auto"/>
                <w:w w:val="99"/>
              </w:rPr>
              <w:t>94080</w:t>
            </w:r>
          </w:p>
        </w:tc>
      </w:tr>
      <w:tr>
        <w:trPr>
          <w:trHeight w:val="230"/>
        </w:trPr>
        <w:tc>
          <w:tcPr>
            <w:tcW w:w="1960" w:type="dxa"/>
            <w:vAlign w:val="bottom"/>
          </w:tcPr>
          <w:p>
            <w:pPr>
              <w:spacing w:after="0"/>
              <w:rPr>
                <w:sz w:val="20"/>
                <w:szCs w:val="20"/>
                <w:color w:val="auto"/>
              </w:rPr>
            </w:pPr>
          </w:p>
        </w:tc>
        <w:tc>
          <w:tcPr>
            <w:tcW w:w="5120" w:type="dxa"/>
            <w:vAlign w:val="bottom"/>
          </w:tcPr>
          <w:p>
            <w:pPr>
              <w:jc w:val="center"/>
              <w:ind w:left="490"/>
              <w:spacing w:after="0"/>
              <w:rPr>
                <w:sz w:val="20"/>
                <w:szCs w:val="20"/>
                <w:color w:val="auto"/>
              </w:rPr>
            </w:pPr>
            <w:r>
              <w:rPr>
                <w:rFonts w:ascii="Arial" w:cs="Arial" w:eastAsia="Arial" w:hAnsi="Arial"/>
                <w:sz w:val="18"/>
                <w:szCs w:val="18"/>
                <w:color w:val="auto"/>
                <w:w w:val="92"/>
              </w:rPr>
              <w:t>(Address of principal executive offices) (Zip Code)</w:t>
            </w:r>
          </w:p>
        </w:tc>
        <w:tc>
          <w:tcPr>
            <w:tcW w:w="228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4"/>
          <w:szCs w:val="24"/>
          <w:color w:val="auto"/>
        </w:rPr>
      </w:pPr>
    </w:p>
    <w:p>
      <w:pPr>
        <w:sectPr>
          <w:pgSz w:w="11900" w:h="16838" w:orient="portrait"/>
          <w:cols w:equalWidth="0" w:num="2">
            <w:col w:w="820" w:space="720"/>
            <w:col w:w="9920"/>
          </w:cols>
          <w:pgMar w:left="240" w:top="544" w:right="199" w:bottom="0" w:gutter="0" w:footer="0" w:header="0"/>
          <w:type w:val="continuous"/>
        </w:sectPr>
      </w:pPr>
    </w:p>
    <w:p>
      <w:pPr>
        <w:spacing w:after="0" w:line="182" w:lineRule="exact"/>
        <w:rPr>
          <w:sz w:val="24"/>
          <w:szCs w:val="24"/>
          <w:color w:val="auto"/>
        </w:rPr>
      </w:pPr>
    </w:p>
    <w:p>
      <w:pPr>
        <w:ind w:right="140" w:firstLine="8"/>
        <w:spacing w:after="0" w:line="308" w:lineRule="auto"/>
        <w:tabs>
          <w:tab w:leader="none" w:pos="70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November 11, 2014, Samuel D. Colella notified the Board of Directors of Veracyte, Inc. (the “Company”) that he was resigning from the Board of Directors effective November 30, 2014. In addition to serving on the Board, Mr. Colella also serves on the Compensation Committee.</w:t>
      </w:r>
    </w:p>
    <w:p>
      <w:pPr>
        <w:spacing w:after="0" w:line="147" w:lineRule="exact"/>
        <w:rPr>
          <w:sz w:val="24"/>
          <w:szCs w:val="24"/>
          <w:color w:val="auto"/>
        </w:rPr>
      </w:pPr>
    </w:p>
    <w:p>
      <w:pPr>
        <w:ind w:right="180" w:firstLine="8"/>
        <w:spacing w:after="0" w:line="255"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11, 2014, the Board of Directors elected John L. Bishop to the Company’s Board of Directors, effective December 1, 2014. In addition to serving on the Board, Mr. Bishop will also serve on the Compensation Committee of the Board of Directors. Mr. Bishop currently serves as Chairman of the Board of Directors and Chief Executive Officer of Cepheid, a global molecular diagnostics company, which he joined in 2002. Mr. Bishop served as a director of Conceptus, Inc., a medical device company, from February 2009 until June 2013 when it was acquired by Bayer HealthCare LLC. He has been a member of the Board of Directors of AdvaMedDx, a medical diagnostics industry advocacy group, since 2010 and was elected Chairman of the Board of Directors in December 2013.</w:t>
      </w:r>
    </w:p>
    <w:p>
      <w:pPr>
        <w:spacing w:after="0" w:line="193" w:lineRule="exact"/>
        <w:rPr>
          <w:sz w:val="24"/>
          <w:szCs w:val="24"/>
          <w:color w:val="auto"/>
        </w:rPr>
      </w:pPr>
    </w:p>
    <w:p>
      <w:pPr>
        <w:ind w:right="160" w:firstLine="648"/>
        <w:spacing w:after="0" w:line="342" w:lineRule="auto"/>
        <w:rPr>
          <w:sz w:val="20"/>
          <w:szCs w:val="20"/>
          <w:color w:val="auto"/>
        </w:rPr>
      </w:pPr>
      <w:r>
        <w:rPr>
          <w:rFonts w:ascii="Arial" w:cs="Arial" w:eastAsia="Arial" w:hAnsi="Arial"/>
          <w:sz w:val="16"/>
          <w:szCs w:val="16"/>
          <w:color w:val="auto"/>
        </w:rPr>
        <w:t>As a non-employee director of the Company, Mr. Bishop will be entitled to the same cash and equity compensation paid by the Company to each of its non-employee directors, as described in the Company’s proxy statement for its 2014 Annual Meeting of Stockholders filed on April 11, 2014.</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988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Press Release issued by Veracyte, Inc. dated November 12, 2014.</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10160" w:type="dxa"/>
            <w:vAlign w:val="bottom"/>
            <w:gridSpan w:val="2"/>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tcPr>
          <w:p>
            <w:pPr>
              <w:jc w:val="center"/>
              <w:ind w:right="1436"/>
              <w:spacing w:after="0"/>
              <w:rPr>
                <w:sz w:val="20"/>
                <w:szCs w:val="20"/>
                <w:color w:val="auto"/>
              </w:rPr>
            </w:pPr>
            <w:r>
              <w:rPr>
                <w:rFonts w:ascii="Arial" w:cs="Arial" w:eastAsia="Arial" w:hAnsi="Arial"/>
                <w:sz w:val="18"/>
                <w:szCs w:val="18"/>
                <w:b w:val="1"/>
                <w:bCs w:val="1"/>
                <w:color w:val="auto"/>
                <w:w w:val="98"/>
              </w:rPr>
              <w:t>SIGNATURES</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ind w:right="660" w:firstLine="50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November 13,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80" w:type="dxa"/>
            <w:vAlign w:val="bottom"/>
            <w:gridSpan w:val="3"/>
          </w:tcPr>
          <w:p>
            <w:pPr>
              <w:ind w:left="406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60" w:type="dxa"/>
            <w:vAlign w:val="bottom"/>
          </w:tcPr>
          <w:p>
            <w:pPr>
              <w:ind w:left="406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60" w:type="dxa"/>
            <w:vAlign w:val="bottom"/>
          </w:tcPr>
          <w:p>
            <w:pPr>
              <w:ind w:left="4060"/>
              <w:spacing w:after="0" w:line="195" w:lineRule="exact"/>
              <w:rPr>
                <w:sz w:val="20"/>
                <w:szCs w:val="20"/>
                <w:color w:val="auto"/>
              </w:rPr>
            </w:pPr>
            <w:r>
              <w:rPr>
                <w:rFonts w:ascii="Arial" w:cs="Arial" w:eastAsia="Arial" w:hAnsi="Arial"/>
                <w:sz w:val="18"/>
                <w:szCs w:val="18"/>
                <w:color w:val="auto"/>
                <w:w w:val="90"/>
              </w:rPr>
              <w:t>Name:</w:t>
            </w:r>
          </w:p>
        </w:tc>
        <w:tc>
          <w:tcPr>
            <w:tcW w:w="38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60" w:type="dxa"/>
            <w:vAlign w:val="bottom"/>
          </w:tcPr>
          <w:p>
            <w:pPr>
              <w:ind w:left="4060"/>
              <w:spacing w:after="0"/>
              <w:rPr>
                <w:sz w:val="20"/>
                <w:szCs w:val="20"/>
                <w:color w:val="auto"/>
              </w:rPr>
            </w:pPr>
            <w:r>
              <w:rPr>
                <w:rFonts w:ascii="Arial" w:cs="Arial" w:eastAsia="Arial" w:hAnsi="Arial"/>
                <w:sz w:val="18"/>
                <w:szCs w:val="18"/>
                <w:color w:val="auto"/>
              </w:rPr>
              <w:t>Title:</w:t>
            </w:r>
          </w:p>
        </w:tc>
        <w:tc>
          <w:tcPr>
            <w:tcW w:w="3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60" w:type="dxa"/>
            <w:vAlign w:val="bottom"/>
          </w:tcPr>
          <w:p>
            <w:pPr>
              <w:ind w:left="41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8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3"/>
          </w:tcPr>
          <w:p>
            <w:pPr>
              <w:ind w:left="328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60" w:type="dxa"/>
            <w:vAlign w:val="bottom"/>
          </w:tcPr>
          <w:p>
            <w:pPr>
              <w:spacing w:after="0"/>
              <w:rPr>
                <w:sz w:val="24"/>
                <w:szCs w:val="24"/>
                <w:color w:val="auto"/>
              </w:rPr>
            </w:pPr>
          </w:p>
        </w:tc>
        <w:tc>
          <w:tcPr>
            <w:tcW w:w="5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4560" w:type="dxa"/>
            <w:vAlign w:val="bottom"/>
          </w:tcPr>
          <w:p>
            <w:pPr>
              <w:spacing w:after="0"/>
              <w:rPr>
                <w:sz w:val="14"/>
                <w:szCs w:val="14"/>
                <w:color w:val="auto"/>
              </w:rPr>
            </w:pPr>
          </w:p>
        </w:tc>
        <w:tc>
          <w:tcPr>
            <w:tcW w:w="5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12, 2014</w:t>
            </w:r>
          </w:p>
        </w:tc>
        <w:tc>
          <w:tcPr>
            <w:tcW w:w="380" w:type="dxa"/>
            <w:vAlign w:val="bottom"/>
            <w:tcBorders>
              <w:top w:val="single" w:sz="8" w:color="auto"/>
            </w:tcBorders>
          </w:tcPr>
          <w:p>
            <w:pPr>
              <w:spacing w:after="0"/>
              <w:rPr>
                <w:sz w:val="24"/>
                <w:szCs w:val="24"/>
                <w:color w:val="auto"/>
              </w:rPr>
            </w:pPr>
          </w:p>
        </w:tc>
        <w:tc>
          <w:tcPr>
            <w:tcW w:w="4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60" w:type="dxa"/>
            <w:vAlign w:val="bottom"/>
          </w:tcPr>
          <w:p>
            <w:pPr>
              <w:ind w:left="412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Appointment of John L. Bishop to Its 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Following the Resignation of Samuel D. Colella</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South San Francisco, Calif. — November 12, 2014 — Veracyte, Inc. (Nasdaq: VCYT), a molecular diagnostics company pioneering the field of molecular cytology, announced the resignation of Samuel D. Colella from its Board of Directors, effective November 30, 2014. The Veracyte Board accepted his resignation at its November 11, 2014 meeting, during which it also approved the selection of veteran diagnostics executive John L. Bishop to fill the vacancy left by Mr. Colella, effective December 1, 2014. Mr. Bishop will also join the Board’s Compensation Committee.</w:t>
      </w:r>
    </w:p>
    <w:p>
      <w:pPr>
        <w:spacing w:after="0" w:line="17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behalf of Veracyte, I would like to thank Sam for his years of service and significant contributions as a member of the founding Veracyte Board,” said Bonnie H. Anderson, president and chief executive officer. “His guidance and depth of insight into the challenges and opportunities that emerging growth companies face have been invaluable to the company. He will be greatly missed.”</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Mr. Bishop has a distinguished career in diagnostics and the life sciences industry. He currently serves as chairman and chief executive officer of Cepheid, a leading global molecular diagnostics company, which he joined in 2002. Prior to that, he was president and chief executive officer of Vysis, Inc., a genomic disease management company that was acquired by Abbott Laboratories. From 1991 until 1993, Mr. Bishop was chairman and chief executive officer of MicroProbe Corporation, a biotechnology company, and from 1987 until 1991, of Source Scientific Systems, a biomedical instrument manufacturing company. Prior to that, from 1984 to 1986, he was president and chief operating officer of Gen-Probe, Inc., a molecular diagnostics company. Mr. Bishop served as a director of Conceptus, Inc., a medical device company, from February 2009 until June 2013 when it was acquired by Bayer HealthCare LLC. He has been a member of the AdvaMedDx Board, a medical diagnostics industry advocacy group, since 2010 and was elected chairman in December 2013.</w:t>
      </w:r>
    </w:p>
    <w:p>
      <w:pPr>
        <w:spacing w:after="0" w:line="1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delighted to have John join our team,” said Ms. Anderson. “His tremendous industry experience and insights, built over 30 years, will be instrumental as we continue to grow our business by delivering genomic solutions that improve patient care and take costs out of the healthcare system.”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Thyroid FNA Analysis, centers on the proprietary Afirma Gene Expression Classifier (GEC) to resolve ambiguity in diagnosis and is becoming a new standard of care in thyroid nodule assessment. Since launching its Afirma solution in 2011, Veracyte estimates it has helped approximately 10,000 patients with thyroid nodules avoid unnecessary surgery, reducing healthcare costs by millions of dollars. Afirma is recommended in leading practice guidelines and is covered for more than 135 million lives in the United States, including through Medicare and most commercial insurance plans. Veracyte intends to expand its molecular cytology franchise to other clinical areas, beginning with difficult-to-diagnose lung diseases. The company is in late product development for a genomic test to resolve preoperative ambiguity in lung nodules that are suspicious for cancer. Veracyte is also developing a second product in pulmonology, targeting interstitial lung diseases that include idiopathic pulmonary fibrosis. For more information, please visit www.veracyte.com.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any future products we may develop or sell;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our ability to obtain capital when needed; and other risks set forth in the company’s filings with the Securities and Exchange Commission, including the risks set forth in the company’s Quarterly Report on Form 10-Q for the quarter ended June 30, 2014. These forward-looking statements speak only as of the date hereof and Veracyte specifically disclaims any obligation to update these forward-looking statements</w:t>
      </w:r>
      <w:r>
        <w:rPr>
          <w:rFonts w:ascii="Arial" w:cs="Arial" w:eastAsia="Arial" w:hAnsi="Arial"/>
          <w:sz w:val="16"/>
          <w:szCs w:val="16"/>
          <w:i w:val="1"/>
          <w:iCs w:val="1"/>
          <w:color w:val="auto"/>
        </w:rPr>
        <w:t>.</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Angeli Kolhatkar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akolhatkar@burnsmc.com</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2019-12-07T14:33:20Z</dcterms:created>
  <dcterms:modified xsi:type="dcterms:W3CDTF">2019-12-07T14:33:20Z</dcterms:modified>
</cp:coreProperties>
</file>