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Chambers Rebecca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06/02/2023</w:t>
            </w: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06/02/2023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1,183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95,754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735 and 448 shares of common stock to satisfy the reporting person's tax withholding obligations in connection with the vesting of 2,125 and 1,295 Restricted Stock Units granted on July 19, 2021 and March 3, 2022, respectively, and does not represent a sale by the reporting person.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5"/>
              </w:rPr>
              <w:t>/s/ Jonathan Wygant as</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06/06/2023</w:t>
            </w:r>
          </w:p>
        </w:tc>
        <w:tc>
          <w:tcPr>
            <w:tcW w:w="0" w:type="dxa"/>
            <w:vAlign w:val="bottom"/>
          </w:tcPr>
          <w:p>
            <w:pPr>
              <w:spacing w:after="0"/>
              <w:rPr>
                <w:sz w:val="1"/>
                <w:szCs w:val="1"/>
                <w:color w:val="auto"/>
              </w:rPr>
            </w:pPr>
          </w:p>
        </w:tc>
      </w:tr>
      <w:tr>
        <w:trPr>
          <w:trHeight w:val="88"/>
        </w:trPr>
        <w:tc>
          <w:tcPr>
            <w:tcW w:w="16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2023-06-06T15:54:28Z</dcterms:created>
  <dcterms:modified xsi:type="dcterms:W3CDTF">2023-06-06T15:54:28Z</dcterms:modified>
</cp:coreProperties>
</file>