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26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26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1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1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12/29/2020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6,313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2.68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178,756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12/29/2020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203,756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99,085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Anderson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ANP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47,906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Anderson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MJP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47,906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Anderson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-3135630</wp:posOffset>
            </wp:positionV>
            <wp:extent cx="7033895" cy="56578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565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2.68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6,313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03/09/2022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6,313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02/04/2023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disclaims beneficial ownership of the shares held by the Trust except to the extent of her pecuniary interest therein, if any.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12/30/2020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26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897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2020-12-30T16:56:17Z</dcterms:created>
  <dcterms:modified xsi:type="dcterms:W3CDTF">2020-12-30T16:56:17Z</dcterms:modified>
</cp:coreProperties>
</file>