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676275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762000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ind w:right="-90"/>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9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90"/>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9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9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9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90"/>
        <w:spacing w:after="0"/>
        <w:rPr>
          <w:sz w:val="20"/>
          <w:szCs w:val="20"/>
          <w:color w:val="auto"/>
        </w:rPr>
      </w:pPr>
      <w:r>
        <w:rPr>
          <w:rFonts w:ascii="Arial" w:cs="Arial" w:eastAsia="Arial" w:hAnsi="Arial"/>
          <w:sz w:val="18"/>
          <w:szCs w:val="18"/>
          <w:color w:val="auto"/>
        </w:rPr>
        <w:t>Date of Report (Date of earliest event reported): April 22, 2019</w:t>
      </w:r>
    </w:p>
    <w:p>
      <w:pPr>
        <w:spacing w:after="0" w:line="255" w:lineRule="exact"/>
        <w:rPr>
          <w:sz w:val="24"/>
          <w:szCs w:val="24"/>
          <w:color w:val="auto"/>
        </w:rPr>
      </w:pPr>
    </w:p>
    <w:p>
      <w:pPr>
        <w:jc w:val="center"/>
        <w:ind w:right="-9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90"/>
        <w:spacing w:after="0"/>
        <w:rPr>
          <w:sz w:val="20"/>
          <w:szCs w:val="20"/>
          <w:color w:val="auto"/>
        </w:rPr>
      </w:pPr>
      <w:r>
        <w:rPr>
          <w:rFonts w:ascii="Arial" w:cs="Arial" w:eastAsia="Arial" w:hAnsi="Arial"/>
          <w:sz w:val="19"/>
          <w:szCs w:val="19"/>
          <w:color w:val="auto"/>
        </w:rPr>
        <w:t>(Exact name of registrant as specified in its charter)</w:t>
      </w:r>
    </w:p>
    <w:p>
      <w:pPr>
        <w:spacing w:after="0" w:line="200" w:lineRule="exact"/>
        <w:rPr>
          <w:sz w:val="24"/>
          <w:szCs w:val="24"/>
          <w:color w:val="auto"/>
        </w:rPr>
      </w:pPr>
    </w:p>
    <w:p>
      <w:pPr>
        <w:spacing w:after="0" w:line="285" w:lineRule="exact"/>
        <w:rPr>
          <w:sz w:val="24"/>
          <w:szCs w:val="24"/>
          <w:color w:val="auto"/>
        </w:rPr>
      </w:pPr>
    </w:p>
    <w:tbl>
      <w:tblPr>
        <w:tblLayout w:type="fixed"/>
        <w:tblInd w:w="131" w:type="dxa"/>
        <w:tblCellMar>
          <w:top w:w="0" w:type="dxa"/>
          <w:left w:w="0" w:type="dxa"/>
          <w:bottom w:w="0" w:type="dxa"/>
          <w:right w:w="0" w:type="dxa"/>
        </w:tblCellMar>
      </w:tblPr>
      <w:tr>
        <w:trPr>
          <w:trHeight w:val="234"/>
        </w:trPr>
        <w:tc>
          <w:tcPr>
            <w:tcW w:w="4360" w:type="dxa"/>
            <w:vAlign w:val="bottom"/>
          </w:tcPr>
          <w:p>
            <w:pPr>
              <w:jc w:val="center"/>
              <w:ind w:right="930"/>
              <w:spacing w:after="0"/>
              <w:rPr>
                <w:sz w:val="20"/>
                <w:szCs w:val="20"/>
                <w:color w:val="auto"/>
              </w:rPr>
            </w:pPr>
            <w:r>
              <w:rPr>
                <w:rFonts w:ascii="Arial" w:cs="Arial" w:eastAsia="Arial" w:hAnsi="Arial"/>
                <w:sz w:val="18"/>
                <w:szCs w:val="18"/>
                <w:b w:val="1"/>
                <w:bCs w:val="1"/>
                <w:color w:val="auto"/>
                <w:w w:val="98"/>
              </w:rPr>
              <w:t>DELAWARE</w:t>
            </w:r>
          </w:p>
        </w:tc>
        <w:tc>
          <w:tcPr>
            <w:tcW w:w="302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20-5455398</w:t>
            </w:r>
          </w:p>
        </w:tc>
      </w:tr>
      <w:tr>
        <w:trPr>
          <w:trHeight w:val="310"/>
        </w:trPr>
        <w:tc>
          <w:tcPr>
            <w:tcW w:w="4360" w:type="dxa"/>
            <w:vAlign w:val="bottom"/>
          </w:tcPr>
          <w:p>
            <w:pPr>
              <w:jc w:val="center"/>
              <w:ind w:right="910"/>
              <w:spacing w:after="0"/>
              <w:rPr>
                <w:sz w:val="20"/>
                <w:szCs w:val="20"/>
                <w:color w:val="auto"/>
              </w:rPr>
            </w:pPr>
            <w:r>
              <w:rPr>
                <w:rFonts w:ascii="Arial" w:cs="Arial" w:eastAsia="Arial" w:hAnsi="Arial"/>
                <w:sz w:val="18"/>
                <w:szCs w:val="18"/>
                <w:color w:val="auto"/>
                <w:w w:val="92"/>
              </w:rPr>
              <w:t>(State or other jurisdiction of</w:t>
            </w:r>
          </w:p>
        </w:tc>
        <w:tc>
          <w:tcPr>
            <w:tcW w:w="3020" w:type="dxa"/>
            <w:vAlign w:val="bottom"/>
          </w:tcPr>
          <w:p>
            <w:pPr>
              <w:jc w:val="center"/>
              <w:ind w:right="59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30"/>
              <w:spacing w:after="0"/>
              <w:rPr>
                <w:sz w:val="20"/>
                <w:szCs w:val="20"/>
                <w:color w:val="auto"/>
              </w:rPr>
            </w:pPr>
            <w:r>
              <w:rPr>
                <w:rFonts w:ascii="Arial" w:cs="Arial" w:eastAsia="Arial" w:hAnsi="Arial"/>
                <w:sz w:val="18"/>
                <w:szCs w:val="18"/>
                <w:color w:val="auto"/>
                <w:w w:val="95"/>
              </w:rPr>
              <w:t>(IRS Employer Identification</w:t>
            </w:r>
          </w:p>
        </w:tc>
      </w:tr>
      <w:tr>
        <w:trPr>
          <w:trHeight w:val="230"/>
        </w:trPr>
        <w:tc>
          <w:tcPr>
            <w:tcW w:w="4360" w:type="dxa"/>
            <w:vAlign w:val="bottom"/>
          </w:tcPr>
          <w:p>
            <w:pPr>
              <w:jc w:val="center"/>
              <w:ind w:right="910"/>
              <w:spacing w:after="0"/>
              <w:rPr>
                <w:sz w:val="20"/>
                <w:szCs w:val="20"/>
                <w:color w:val="auto"/>
              </w:rPr>
            </w:pPr>
            <w:r>
              <w:rPr>
                <w:rFonts w:ascii="Arial" w:cs="Arial" w:eastAsia="Arial" w:hAnsi="Arial"/>
                <w:sz w:val="18"/>
                <w:szCs w:val="18"/>
                <w:color w:val="auto"/>
                <w:w w:val="94"/>
              </w:rPr>
              <w:t>incorporation)</w:t>
            </w:r>
          </w:p>
        </w:tc>
        <w:tc>
          <w:tcPr>
            <w:tcW w:w="30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Arial" w:cs="Arial" w:eastAsia="Arial" w:hAnsi="Arial"/>
                <w:sz w:val="18"/>
                <w:szCs w:val="18"/>
                <w:color w:val="auto"/>
                <w:w w:val="93"/>
              </w:rPr>
              <w:t>No.)</w:t>
            </w:r>
          </w:p>
        </w:tc>
      </w:tr>
      <w:tr>
        <w:trPr>
          <w:trHeight w:val="806"/>
        </w:trPr>
        <w:tc>
          <w:tcPr>
            <w:tcW w:w="4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20" w:type="dxa"/>
            <w:vAlign w:val="bottom"/>
          </w:tcPr>
          <w:p>
            <w:pPr>
              <w:spacing w:after="0"/>
              <w:rPr>
                <w:sz w:val="24"/>
                <w:szCs w:val="24"/>
                <w:color w:val="auto"/>
              </w:rPr>
            </w:pPr>
          </w:p>
        </w:tc>
        <w:tc>
          <w:tcPr>
            <w:tcW w:w="3040" w:type="dxa"/>
            <w:vAlign w:val="bottom"/>
          </w:tcPr>
          <w:p>
            <w:pPr>
              <w:jc w:val="right"/>
              <w:ind w:right="117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California</w:t>
            </w:r>
          </w:p>
        </w:tc>
        <w:tc>
          <w:tcPr>
            <w:tcW w:w="302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97"/>
        </w:trPr>
        <w:tc>
          <w:tcPr>
            <w:tcW w:w="4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306" w:lineRule="exact"/>
        <w:rPr>
          <w:sz w:val="24"/>
          <w:szCs w:val="24"/>
          <w:color w:val="auto"/>
        </w:rPr>
      </w:pPr>
    </w:p>
    <w:p>
      <w:pPr>
        <w:jc w:val="center"/>
        <w:ind w:right="-9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9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9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05" w:lineRule="exact"/>
        <w:rPr>
          <w:sz w:val="24"/>
          <w:szCs w:val="24"/>
          <w:color w:val="auto"/>
        </w:rPr>
      </w:pPr>
    </w:p>
    <w:p>
      <w:pPr>
        <w:ind w:left="51" w:right="38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9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62" w:lineRule="exact"/>
        <w:rPr>
          <w:sz w:val="24"/>
          <w:szCs w:val="24"/>
          <w:color w:val="auto"/>
        </w:rPr>
      </w:pPr>
    </w:p>
    <w:p>
      <w:pPr>
        <w:ind w:left="91"/>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7"/>
          <w:szCs w:val="17"/>
          <w:color w:val="auto"/>
        </w:rPr>
        <w:t>o</w:t>
      </w:r>
    </w:p>
    <w:p>
      <w:pPr>
        <w:spacing w:after="0" w:line="117" w:lineRule="exact"/>
        <w:rPr>
          <w:sz w:val="24"/>
          <w:szCs w:val="24"/>
          <w:color w:val="auto"/>
        </w:rPr>
      </w:pPr>
    </w:p>
    <w:p>
      <w:pPr>
        <w:ind w:left="91"/>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207645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293370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51"/>
          </w:cols>
          <w:pgMar w:left="329" w:top="1440" w:right="419" w:bottom="1440" w:gutter="0" w:footer="0" w:header="0"/>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February 25, 2019, Christopher M. Hall, President and Chief Operating Officer of Veracyte,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informed the Company of his decision to retire from these roles and his employment at the Company, effective July 1, 2019 (the “</w:t>
      </w:r>
      <w:r>
        <w:rPr>
          <w:rFonts w:ascii="Arial" w:cs="Arial" w:eastAsia="Arial" w:hAnsi="Arial"/>
          <w:sz w:val="18"/>
          <w:szCs w:val="18"/>
          <w:b w:val="1"/>
          <w:bCs w:val="1"/>
          <w:i w:val="1"/>
          <w:iCs w:val="1"/>
          <w:color w:val="auto"/>
        </w:rPr>
        <w:t>Retirement Date</w:t>
      </w:r>
      <w:r>
        <w:rPr>
          <w:rFonts w:ascii="Arial" w:cs="Arial" w:eastAsia="Arial" w:hAnsi="Arial"/>
          <w:sz w:val="18"/>
          <w:szCs w:val="18"/>
          <w:color w:val="auto"/>
        </w:rPr>
        <w:t>”).</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April 22, 2019, the Company and Mr. Hall entered into an agreement (the “</w:t>
      </w:r>
      <w:r>
        <w:rPr>
          <w:rFonts w:ascii="Arial" w:cs="Arial" w:eastAsia="Arial" w:hAnsi="Arial"/>
          <w:sz w:val="18"/>
          <w:szCs w:val="18"/>
          <w:b w:val="1"/>
          <w:bCs w:val="1"/>
          <w:i w:val="1"/>
          <w:iCs w:val="1"/>
          <w:color w:val="auto"/>
        </w:rPr>
        <w:t>Hall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setting forth the terms of Mr. Hall’s separation from the Company. Pursuant to the Hall Agreement, subject to a release of claims by Mr. Hall, Mr. Hall is entitled to certain payments and benefits upon the Retirement Date (or upon an earlier termination of Mr. Hall without cause), including (i) a lump sum cash payment equal to six months of Mr. Hall’s base salary and (ii) reimbursement for any insurance premium payments paid by Mr. Hall to continue to receive coverage under the Consolidated Omnibus Budget Reconciliation Act of 1985, as amended in the six months following the Retirement Date.</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Hall Agreement also provides that Mr. Hall will provide consulting services to the Company through January 1, 2020. Pursuant to the Hall Agreement, (i) Mr. Hall’s restricted stock unit awards and time-based stock options will continue to vest through the term of his consultancy ending on January 1, 2020, and in the event of his earlier termination without cause, he will be deemed vested in such awards through January 1, 2020, and his vested stock options will remain exercisable through July 1, 2020 (or their earlier expiration date) and (ii) Mr. Hall will remain eligible to vest in 50% of his performance-based restricted stock units (the “</w:t>
      </w:r>
      <w:r>
        <w:rPr>
          <w:rFonts w:ascii="Arial" w:cs="Arial" w:eastAsia="Arial" w:hAnsi="Arial"/>
          <w:sz w:val="17"/>
          <w:szCs w:val="17"/>
          <w:b w:val="1"/>
          <w:bCs w:val="1"/>
          <w:i w:val="1"/>
          <w:iCs w:val="1"/>
          <w:color w:val="auto"/>
        </w:rPr>
        <w:t>PSU</w:t>
      </w:r>
      <w:r>
        <w:rPr>
          <w:rFonts w:ascii="Arial" w:cs="Arial" w:eastAsia="Arial" w:hAnsi="Arial"/>
          <w:sz w:val="17"/>
          <w:szCs w:val="17"/>
          <w:color w:val="auto"/>
        </w:rPr>
        <w:t>”) subject to achievement of the applicable performance metrics and subject to his continued services on December 31, 2019, the final day of the performance period (or in the event of an earlier termination of his services without cause). Additionally, all then-unvested restricted stock unit awards, then-unvested stock option awards and 50% of the PSUs will automatically terminate and forfeit to the Company on January 2, 2020 even if Mr. Hall continues to provide additional services to the Company on and after such date.</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foregoing summary of the Hall Agreement does not purport to be complete and is subject to, and qualified in its entirety by the Agreement, which will be filed as an exhibit to Veracyte’s Quarterly Report on Form 10-Q for the three months ended June 30, 2019.</w:t>
      </w:r>
    </w:p>
    <w:p>
      <w:pPr>
        <w:sectPr>
          <w:pgSz w:w="11900" w:h="16838" w:orient="portrait"/>
          <w:cols w:equalWidth="0" w:num="1">
            <w:col w:w="11420"/>
          </w:cols>
          <w:pgMar w:left="240" w:top="621"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4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26, 2019</w:t>
      </w:r>
    </w:p>
    <w:p>
      <w:pPr>
        <w:spacing w:after="0" w:line="3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6180" w:type="dxa"/>
            <w:vAlign w:val="bottom"/>
          </w:tcPr>
          <w:p>
            <w:pPr>
              <w:ind w:left="8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54"/>
        </w:trPr>
        <w:tc>
          <w:tcPr>
            <w:tcW w:w="8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20" w:type="dxa"/>
            <w:vAlign w:val="bottom"/>
            <w:vMerge w:val="continue"/>
          </w:tcPr>
          <w:p>
            <w:pPr>
              <w:spacing w:after="0"/>
              <w:rPr>
                <w:sz w:val="20"/>
                <w:szCs w:val="20"/>
                <w:color w:val="auto"/>
              </w:rPr>
            </w:pPr>
          </w:p>
        </w:tc>
        <w:tc>
          <w:tcPr>
            <w:tcW w:w="6180" w:type="dxa"/>
            <w:vAlign w:val="bottom"/>
          </w:tcPr>
          <w:p>
            <w:pPr>
              <w:ind w:left="80"/>
              <w:spacing w:after="0"/>
              <w:rPr>
                <w:sz w:val="20"/>
                <w:szCs w:val="20"/>
                <w:color w:val="auto"/>
              </w:rPr>
            </w:pPr>
            <w:r>
              <w:rPr>
                <w:rFonts w:ascii="Arial" w:cs="Arial" w:eastAsia="Arial" w:hAnsi="Arial"/>
                <w:sz w:val="18"/>
                <w:szCs w:val="18"/>
                <w:color w:val="auto"/>
              </w:rPr>
              <w:t>Keith Kennedy</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618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618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20"/>
      </w:cols>
      <w:pgMar w:left="240" w:top="6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2019-12-03T03:51:59Z</dcterms:created>
  <dcterms:modified xsi:type="dcterms:W3CDTF">2019-12-03T03:51:59Z</dcterms:modified>
</cp:coreProperties>
</file>