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0001846905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283"/>
              <w:jc w:val="left"/>
              <w:rPr/>
            </w:pPr>
            <w:r>
              <w:rPr/>
              <w:t>Name of Issuer</w:t>
            </w:r>
          </w:p>
        </w:tc>
        <w:tc>
          <w:tcPr>
            <w:tcW w:w="4277" w:type="dxa"/>
            <w:tcBorders/>
            <w:vAlign w:val="center"/>
          </w:tcPr>
          <w:p>
            <w:pPr>
              <w:pStyle w:val="TableContents"/>
              <w:bidi w:val="0"/>
              <w:spacing w:before="0" w:after="0"/>
              <w:jc w:val="left"/>
              <w:rPr/>
            </w:pPr>
            <w:r>
              <w:rPr/>
              <w:t>VERACYTE, INC.</w:t>
            </w:r>
          </w:p>
        </w:tc>
      </w:tr>
      <w:tr>
        <w:trPr/>
        <w:tc>
          <w:tcPr>
            <w:tcW w:w="5928" w:type="dxa"/>
            <w:tcBorders/>
            <w:vAlign w:val="center"/>
          </w:tcPr>
          <w:p>
            <w:pPr>
              <w:pStyle w:val="TableContents"/>
              <w:bidi w:val="0"/>
              <w:spacing w:before="0" w:after="283"/>
              <w:jc w:val="left"/>
              <w:rPr/>
            </w:pPr>
            <w:r>
              <w:rPr/>
              <w:t>SEC File Number</w:t>
            </w:r>
          </w:p>
        </w:tc>
        <w:tc>
          <w:tcPr>
            <w:tcW w:w="4277" w:type="dxa"/>
            <w:tcBorders/>
            <w:vAlign w:val="center"/>
          </w:tcPr>
          <w:p>
            <w:pPr>
              <w:pStyle w:val="TableContents"/>
              <w:bidi w:val="0"/>
              <w:spacing w:before="0" w:after="0"/>
              <w:jc w:val="left"/>
              <w:rPr/>
            </w:pPr>
            <w:r>
              <w:rPr/>
              <w:t>001-36156</w:t>
            </w:r>
          </w:p>
        </w:tc>
      </w:tr>
      <w:tr>
        <w:trPr/>
        <w:tc>
          <w:tcPr>
            <w:tcW w:w="5928" w:type="dxa"/>
            <w:tcBorders/>
            <w:vAlign w:val="center"/>
          </w:tcPr>
          <w:p>
            <w:pPr>
              <w:pStyle w:val="TableContents"/>
              <w:bidi w:val="0"/>
              <w:spacing w:before="0" w:after="283"/>
              <w:jc w:val="left"/>
              <w:rPr/>
            </w:pPr>
            <w:r>
              <w:rPr/>
              <w:t>Address of Issuer</w:t>
            </w:r>
          </w:p>
        </w:tc>
        <w:tc>
          <w:tcPr>
            <w:tcW w:w="4277" w:type="dxa"/>
            <w:tcBorders/>
            <w:vAlign w:val="center"/>
          </w:tcPr>
          <w:p>
            <w:pPr>
              <w:pStyle w:val="TableContents"/>
              <w:bidi w:val="0"/>
              <w:spacing w:before="0" w:after="0"/>
              <w:jc w:val="left"/>
              <w:rPr/>
            </w:pPr>
            <w:r>
              <w:rPr/>
              <w:t xml:space="preserve">6000 Shoreline Court, Suite 300 South </w:t>
              <w:br/>
              <w:t>San Francisco</w:t>
              <w:br/>
              <w:t xml:space="preserve">CALIFORNIA </w:t>
              <w:br/>
              <w:t>94080</w:t>
            </w:r>
          </w:p>
        </w:tc>
      </w:tr>
      <w:tr>
        <w:trPr/>
        <w:tc>
          <w:tcPr>
            <w:tcW w:w="5928" w:type="dxa"/>
            <w:tcBorders/>
            <w:vAlign w:val="center"/>
          </w:tcPr>
          <w:p>
            <w:pPr>
              <w:pStyle w:val="TableContents"/>
              <w:bidi w:val="0"/>
              <w:spacing w:before="0" w:after="283"/>
              <w:jc w:val="left"/>
              <w:rPr/>
            </w:pPr>
            <w:r>
              <w:rPr/>
              <w:t>Phone</w:t>
            </w:r>
          </w:p>
        </w:tc>
        <w:tc>
          <w:tcPr>
            <w:tcW w:w="4277" w:type="dxa"/>
            <w:tcBorders/>
            <w:vAlign w:val="center"/>
          </w:tcPr>
          <w:p>
            <w:pPr>
              <w:pStyle w:val="TableContents"/>
              <w:bidi w:val="0"/>
              <w:spacing w:before="0" w:after="0"/>
              <w:jc w:val="left"/>
              <w:rPr/>
            </w:pPr>
            <w:r>
              <w:rPr/>
              <w:t>6502436300</w:t>
            </w:r>
          </w:p>
        </w:tc>
      </w:tr>
      <w:tr>
        <w:trPr/>
        <w:tc>
          <w:tcPr>
            <w:tcW w:w="5928" w:type="dxa"/>
            <w:tcBorders/>
            <w:vAlign w:val="center"/>
          </w:tcPr>
          <w:p>
            <w:pPr>
              <w:pStyle w:val="TableContents"/>
              <w:bidi w:val="0"/>
              <w:spacing w:before="0" w:after="283"/>
              <w:jc w:val="left"/>
              <w:rPr/>
            </w:pPr>
            <w:r>
              <w:rPr/>
              <w:t>Name of Person for Whose Account the Securities are To Be Sold</w:t>
            </w:r>
          </w:p>
        </w:tc>
        <w:tc>
          <w:tcPr>
            <w:tcW w:w="4277" w:type="dxa"/>
            <w:tcBorders/>
            <w:vAlign w:val="center"/>
          </w:tcPr>
          <w:p>
            <w:pPr>
              <w:pStyle w:val="TableContents"/>
              <w:bidi w:val="0"/>
              <w:spacing w:before="0" w:after="0"/>
              <w:jc w:val="left"/>
              <w:rPr/>
            </w:pPr>
            <w:r>
              <w:rPr/>
              <w:t>MUNA BHANJI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8" w:type="dxa"/>
            <w:tcBorders/>
            <w:vAlign w:val="center"/>
          </w:tcPr>
          <w:p>
            <w:pPr>
              <w:pStyle w:val="TableContents"/>
              <w:bidi w:val="0"/>
              <w:spacing w:before="0" w:after="283"/>
              <w:jc w:val="left"/>
              <w:rPr/>
            </w:pPr>
            <w:r>
              <w:rPr/>
              <w:t>Relationship to Issuer</w:t>
            </w:r>
          </w:p>
        </w:tc>
        <w:tc>
          <w:tcPr>
            <w:tcW w:w="427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5409</w:t>
            </w:r>
          </w:p>
        </w:tc>
        <w:tc>
          <w:tcPr>
            <w:tcW w:w="1365" w:type="dxa"/>
            <w:tcBorders/>
            <w:vAlign w:val="center"/>
          </w:tcPr>
          <w:p>
            <w:pPr>
              <w:pStyle w:val="TableContents"/>
              <w:bidi w:val="0"/>
              <w:spacing w:before="0" w:after="283"/>
              <w:jc w:val="left"/>
              <w:rPr/>
            </w:pPr>
            <w:r>
              <w:rPr/>
              <w:t>112507.20</w:t>
            </w:r>
          </w:p>
        </w:tc>
        <w:tc>
          <w:tcPr>
            <w:tcW w:w="1542" w:type="dxa"/>
            <w:tcBorders/>
            <w:vAlign w:val="center"/>
          </w:tcPr>
          <w:p>
            <w:pPr>
              <w:pStyle w:val="TableContents"/>
              <w:bidi w:val="0"/>
              <w:spacing w:before="0" w:after="283"/>
              <w:jc w:val="left"/>
              <w:rPr/>
            </w:pPr>
            <w:r>
              <w:rPr/>
              <w:t>76448070</w:t>
            </w:r>
          </w:p>
        </w:tc>
        <w:tc>
          <w:tcPr>
            <w:tcW w:w="1560" w:type="dxa"/>
            <w:tcBorders/>
            <w:vAlign w:val="center"/>
          </w:tcPr>
          <w:p>
            <w:pPr>
              <w:pStyle w:val="TableContents"/>
              <w:bidi w:val="0"/>
              <w:spacing w:before="0" w:after="283"/>
              <w:jc w:val="left"/>
              <w:rPr/>
            </w:pPr>
            <w:r>
              <w:rPr/>
              <w:t>05/28/2024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03/19/2024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5409</w:t>
            </w:r>
          </w:p>
        </w:tc>
        <w:tc>
          <w:tcPr>
            <w:tcW w:w="1078" w:type="dxa"/>
            <w:tcBorders/>
            <w:vAlign w:val="center"/>
          </w:tcPr>
          <w:p>
            <w:pPr>
              <w:pStyle w:val="TableContents"/>
              <w:bidi w:val="0"/>
              <w:spacing w:before="0" w:after="283"/>
              <w:jc w:val="left"/>
              <w:rPr/>
            </w:pPr>
            <w:r>
              <w:rPr/>
              <w:t>03/19/2024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03/19/2024 through 06/09/2024.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05/28/2024</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02/27/2024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Muna Bhanji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3094</Characters>
  <CharactersWithSpaces>3653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