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(Amendment No. ________)*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ACUTA CAPITAL PARTNERS LLC, 1301 SHOREWAY ROAD, SUITE 350, BELMONT CA 94002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FEBRUARY 12,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10100" w:firstLine="8"/>
        <w:spacing w:after="0" w:line="565" w:lineRule="auto"/>
        <w:tabs>
          <w:tab w:leader="none" w:pos="2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38" w:lineRule="exact"/>
        <w:rPr>
          <w:sz w:val="24"/>
          <w:szCs w:val="24"/>
          <w:color w:val="auto"/>
        </w:rPr>
      </w:pPr>
    </w:p>
    <w:p>
      <w:pPr>
        <w:ind w:firstLine="8"/>
        <w:spacing w:after="0" w:line="194" w:lineRule="auto"/>
        <w:tabs>
          <w:tab w:leader="none" w:pos="113"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439420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 w:name="page2"/>
    <w:bookmarkEnd w:id="1"/>
    <w:p>
      <w:pPr>
        <w:spacing w:after="0"/>
        <w:tabs>
          <w:tab w:leader="none" w:pos="5560" w:val="left"/>
          <w:tab w:leader="none" w:pos="1012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600" w:hanging="59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600" w:right="524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ACUTA CAPITAL PARTNERS LLC 45-2817402</w:t>
      </w:r>
    </w:p>
    <w:p>
      <w:pPr>
        <w:ind w:left="600" w:right="5840" w:hanging="592"/>
        <w:spacing w:after="0" w:line="258"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840" w:hanging="238"/>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60" w:hanging="258"/>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1" w:lineRule="exact"/>
        <w:rPr>
          <w:rFonts w:ascii="Arial" w:cs="Arial" w:eastAsia="Arial" w:hAnsi="Arial"/>
          <w:sz w:val="18"/>
          <w:szCs w:val="18"/>
          <w:color w:val="auto"/>
        </w:rPr>
      </w:pPr>
    </w:p>
    <w:p>
      <w:pPr>
        <w:ind w:left="600" w:hanging="59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600" w:right="7140" w:hanging="592"/>
        <w:spacing w:after="0" w:line="391"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STATE OF DELAWARE</w:t>
      </w:r>
    </w:p>
    <w:p>
      <w:pPr>
        <w:ind w:left="2100" w:hanging="593"/>
        <w:spacing w:after="0"/>
        <w:tabs>
          <w:tab w:leader="none" w:pos="210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-567690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-1424940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1480" w:type="dxa"/>
            <w:vAlign w:val="bottom"/>
            <w:vMerge w:val="restart"/>
          </w:tcPr>
          <w:p>
            <w:pPr>
              <w:jc w:val="center"/>
              <w:ind w:right="130"/>
              <w:spacing w:after="0"/>
              <w:rPr>
                <w:sz w:val="20"/>
                <w:szCs w:val="20"/>
                <w:color w:val="auto"/>
              </w:rPr>
            </w:pPr>
            <w:r>
              <w:rPr>
                <w:rFonts w:ascii="Arial" w:cs="Arial" w:eastAsia="Arial" w:hAnsi="Arial"/>
                <w:sz w:val="18"/>
                <w:szCs w:val="18"/>
                <w:color w:val="auto"/>
                <w:w w:val="98"/>
              </w:rPr>
              <w:t>NUMBER OF</w:t>
            </w:r>
          </w:p>
        </w:tc>
        <w:tc>
          <w:tcPr>
            <w:tcW w:w="380" w:type="dxa"/>
            <w:vAlign w:val="bottom"/>
            <w:tcBorders>
              <w:bottom w:val="single" w:sz="8" w:color="auto"/>
            </w:tcBorders>
          </w:tcPr>
          <w:p>
            <w:pPr>
              <w:spacing w:after="0"/>
              <w:rPr>
                <w:sz w:val="20"/>
                <w:szCs w:val="20"/>
                <w:color w:val="auto"/>
              </w:rPr>
            </w:pPr>
          </w:p>
        </w:tc>
        <w:tc>
          <w:tcPr>
            <w:tcW w:w="9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1,716,000</w:t>
            </w:r>
          </w:p>
        </w:tc>
        <w:tc>
          <w:tcPr>
            <w:tcW w:w="0" w:type="dxa"/>
            <w:vAlign w:val="bottom"/>
          </w:tcPr>
          <w:p>
            <w:pPr>
              <w:spacing w:after="0"/>
              <w:rPr>
                <w:sz w:val="1"/>
                <w:szCs w:val="1"/>
                <w:color w:val="auto"/>
              </w:rPr>
            </w:pPr>
          </w:p>
        </w:tc>
      </w:tr>
      <w:tr>
        <w:trPr>
          <w:trHeight w:val="107"/>
        </w:trPr>
        <w:tc>
          <w:tcPr>
            <w:tcW w:w="1480" w:type="dxa"/>
            <w:vAlign w:val="bottom"/>
            <w:vMerge w:val="continue"/>
          </w:tcPr>
          <w:p>
            <w:pPr>
              <w:spacing w:after="0"/>
              <w:rPr>
                <w:sz w:val="9"/>
                <w:szCs w:val="9"/>
                <w:color w:val="auto"/>
              </w:rPr>
            </w:pPr>
          </w:p>
        </w:tc>
        <w:tc>
          <w:tcPr>
            <w:tcW w:w="38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6.</w:t>
            </w:r>
          </w:p>
        </w:tc>
        <w:tc>
          <w:tcPr>
            <w:tcW w:w="954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480" w:type="dxa"/>
            <w:vAlign w:val="bottom"/>
            <w:vMerge w:val="restart"/>
          </w:tcPr>
          <w:p>
            <w:pPr>
              <w:jc w:val="center"/>
              <w:ind w:right="130"/>
              <w:spacing w:after="0"/>
              <w:rPr>
                <w:sz w:val="20"/>
                <w:szCs w:val="20"/>
                <w:color w:val="auto"/>
              </w:rPr>
            </w:pPr>
            <w:r>
              <w:rPr>
                <w:rFonts w:ascii="Arial" w:cs="Arial" w:eastAsia="Arial" w:hAnsi="Arial"/>
                <w:sz w:val="18"/>
                <w:szCs w:val="18"/>
                <w:color w:val="auto"/>
                <w:w w:val="94"/>
              </w:rPr>
              <w:t>SHARES</w:t>
            </w:r>
          </w:p>
        </w:tc>
        <w:tc>
          <w:tcPr>
            <w:tcW w:w="380" w:type="dxa"/>
            <w:vAlign w:val="bottom"/>
            <w:vMerge w:val="continue"/>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48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9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30"/>
              <w:spacing w:after="0"/>
              <w:rPr>
                <w:sz w:val="20"/>
                <w:szCs w:val="20"/>
                <w:color w:val="auto"/>
              </w:rPr>
            </w:pPr>
            <w:r>
              <w:rPr>
                <w:rFonts w:ascii="Arial" w:cs="Arial" w:eastAsia="Arial" w:hAnsi="Arial"/>
                <w:sz w:val="18"/>
                <w:szCs w:val="18"/>
                <w:color w:val="auto"/>
                <w:w w:val="99"/>
              </w:rPr>
              <w:t>BENEFICIALLY</w:t>
            </w:r>
          </w:p>
        </w:tc>
        <w:tc>
          <w:tcPr>
            <w:tcW w:w="38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148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OWNED BY</w:t>
            </w:r>
          </w:p>
        </w:tc>
        <w:tc>
          <w:tcPr>
            <w:tcW w:w="380" w:type="dxa"/>
            <w:vAlign w:val="bottom"/>
            <w:tcBorders>
              <w:bottom w:val="single" w:sz="8" w:color="auto"/>
            </w:tcBorders>
          </w:tcPr>
          <w:p>
            <w:pPr>
              <w:spacing w:after="0"/>
              <w:rPr>
                <w:sz w:val="10"/>
                <w:szCs w:val="10"/>
                <w:color w:val="auto"/>
              </w:rPr>
            </w:pPr>
          </w:p>
        </w:tc>
        <w:tc>
          <w:tcPr>
            <w:tcW w:w="95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480" w:type="dxa"/>
            <w:vAlign w:val="bottom"/>
            <w:vMerge w:val="continue"/>
          </w:tcPr>
          <w:p>
            <w:pPr>
              <w:spacing w:after="0"/>
              <w:rPr>
                <w:sz w:val="6"/>
                <w:szCs w:val="6"/>
                <w:color w:val="auto"/>
              </w:rPr>
            </w:pPr>
          </w:p>
        </w:tc>
        <w:tc>
          <w:tcPr>
            <w:tcW w:w="38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7.</w:t>
            </w:r>
          </w:p>
        </w:tc>
        <w:tc>
          <w:tcPr>
            <w:tcW w:w="954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8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EACH</w:t>
            </w:r>
          </w:p>
        </w:tc>
        <w:tc>
          <w:tcPr>
            <w:tcW w:w="380" w:type="dxa"/>
            <w:vAlign w:val="bottom"/>
            <w:vMerge w:val="continue"/>
          </w:tcPr>
          <w:p>
            <w:pPr>
              <w:spacing w:after="0"/>
              <w:rPr>
                <w:sz w:val="13"/>
                <w:szCs w:val="13"/>
                <w:color w:val="auto"/>
              </w:rPr>
            </w:pPr>
          </w:p>
        </w:tc>
        <w:tc>
          <w:tcPr>
            <w:tcW w:w="9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50"/>
              <w:spacing w:after="0"/>
              <w:rPr>
                <w:sz w:val="20"/>
                <w:szCs w:val="20"/>
                <w:color w:val="auto"/>
              </w:rPr>
            </w:pPr>
            <w:r>
              <w:rPr>
                <w:rFonts w:ascii="Arial" w:cs="Arial" w:eastAsia="Arial" w:hAnsi="Arial"/>
                <w:sz w:val="18"/>
                <w:szCs w:val="18"/>
                <w:color w:val="auto"/>
                <w:w w:val="93"/>
              </w:rPr>
              <w:t>REPORTING</w:t>
            </w:r>
          </w:p>
        </w:tc>
        <w:tc>
          <w:tcPr>
            <w:tcW w:w="380" w:type="dxa"/>
            <w:vAlign w:val="bottom"/>
          </w:tcPr>
          <w:p>
            <w:pPr>
              <w:spacing w:after="0"/>
              <w:rPr>
                <w:sz w:val="18"/>
                <w:szCs w:val="18"/>
                <w:color w:val="auto"/>
              </w:rPr>
            </w:pPr>
          </w:p>
        </w:tc>
        <w:tc>
          <w:tcPr>
            <w:tcW w:w="9540" w:type="dxa"/>
            <w:vAlign w:val="bottom"/>
            <w:vMerge w:val="restart"/>
          </w:tcPr>
          <w:p>
            <w:pPr>
              <w:ind w:left="220"/>
              <w:spacing w:after="0"/>
              <w:rPr>
                <w:sz w:val="20"/>
                <w:szCs w:val="20"/>
                <w:color w:val="auto"/>
              </w:rPr>
            </w:pPr>
            <w:r>
              <w:rPr>
                <w:rFonts w:ascii="Arial" w:cs="Arial" w:eastAsia="Arial" w:hAnsi="Arial"/>
                <w:sz w:val="18"/>
                <w:szCs w:val="18"/>
                <w:color w:val="auto"/>
              </w:rPr>
              <w:t>1,716,000</w:t>
            </w:r>
          </w:p>
        </w:tc>
        <w:tc>
          <w:tcPr>
            <w:tcW w:w="0" w:type="dxa"/>
            <w:vAlign w:val="bottom"/>
          </w:tcPr>
          <w:p>
            <w:pPr>
              <w:spacing w:after="0"/>
              <w:rPr>
                <w:sz w:val="1"/>
                <w:szCs w:val="1"/>
                <w:color w:val="auto"/>
              </w:rPr>
            </w:pPr>
          </w:p>
        </w:tc>
      </w:tr>
      <w:tr>
        <w:trPr>
          <w:trHeight w:val="143"/>
        </w:trPr>
        <w:tc>
          <w:tcPr>
            <w:tcW w:w="1480" w:type="dxa"/>
            <w:vAlign w:val="bottom"/>
            <w:vMerge w:val="restart"/>
          </w:tcPr>
          <w:p>
            <w:pPr>
              <w:jc w:val="center"/>
              <w:ind w:right="130"/>
              <w:spacing w:after="0"/>
              <w:rPr>
                <w:sz w:val="20"/>
                <w:szCs w:val="20"/>
                <w:color w:val="auto"/>
              </w:rPr>
            </w:pPr>
            <w:r>
              <w:rPr>
                <w:rFonts w:ascii="Arial" w:cs="Arial" w:eastAsia="Arial" w:hAnsi="Arial"/>
                <w:sz w:val="18"/>
                <w:szCs w:val="18"/>
                <w:color w:val="auto"/>
                <w:w w:val="96"/>
              </w:rPr>
              <w:t>PERSON WITH</w:t>
            </w:r>
          </w:p>
        </w:tc>
        <w:tc>
          <w:tcPr>
            <w:tcW w:w="380" w:type="dxa"/>
            <w:vAlign w:val="bottom"/>
            <w:tcBorders>
              <w:bottom w:val="single" w:sz="8" w:color="auto"/>
            </w:tcBorders>
          </w:tcPr>
          <w:p>
            <w:pPr>
              <w:spacing w:after="0"/>
              <w:rPr>
                <w:sz w:val="12"/>
                <w:szCs w:val="12"/>
                <w:color w:val="auto"/>
              </w:rPr>
            </w:pPr>
          </w:p>
        </w:tc>
        <w:tc>
          <w:tcPr>
            <w:tcW w:w="95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480" w:type="dxa"/>
            <w:vAlign w:val="bottom"/>
            <w:vMerge w:val="continue"/>
          </w:tcPr>
          <w:p>
            <w:pPr>
              <w:spacing w:after="0"/>
              <w:rPr>
                <w:sz w:val="5"/>
                <w:szCs w:val="5"/>
                <w:color w:val="auto"/>
              </w:rPr>
            </w:pPr>
          </w:p>
        </w:tc>
        <w:tc>
          <w:tcPr>
            <w:tcW w:w="38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8.</w:t>
            </w:r>
          </w:p>
        </w:tc>
        <w:tc>
          <w:tcPr>
            <w:tcW w:w="954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4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1,716,000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 w:name="page3"/>
    <w:bookmarkEnd w:id="2"/>
    <w:p>
      <w:pPr>
        <w:spacing w:after="0"/>
        <w:tabs>
          <w:tab w:leader="none" w:pos="5560" w:val="left"/>
          <w:tab w:leader="none" w:pos="1012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6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720" w:hanging="334"/>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VERACYTE INC</w:t>
      </w:r>
    </w:p>
    <w:p>
      <w:pPr>
        <w:spacing w:after="0" w:line="210" w:lineRule="exact"/>
        <w:rPr>
          <w:rFonts w:ascii="Arial" w:cs="Arial" w:eastAsia="Arial" w:hAnsi="Arial"/>
          <w:sz w:val="18"/>
          <w:szCs w:val="18"/>
          <w:color w:val="auto"/>
        </w:rPr>
      </w:pPr>
    </w:p>
    <w:p>
      <w:pPr>
        <w:ind w:left="720" w:right="7300" w:hanging="334"/>
        <w:spacing w:after="0" w:line="286"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Address of Issuer’s Principal Executive Offices 7000 SHORELINE COURT, SUITE 250 SOUTH SAN FRANCISCO, CA 94080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720" w:hanging="334"/>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ACUTA CAPITAL PARTNERS LLC</w:t>
      </w:r>
    </w:p>
    <w:p>
      <w:pPr>
        <w:spacing w:after="0" w:line="210" w:lineRule="exact"/>
        <w:rPr>
          <w:rFonts w:ascii="Arial" w:cs="Arial" w:eastAsia="Arial" w:hAnsi="Arial"/>
          <w:sz w:val="18"/>
          <w:szCs w:val="18"/>
          <w:color w:val="auto"/>
        </w:rPr>
      </w:pPr>
    </w:p>
    <w:p>
      <w:pPr>
        <w:ind w:left="720" w:right="6920" w:hanging="334"/>
        <w:spacing w:after="0" w:line="26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the Principal Office or, if none, residence 1301 SHOREWAY ROAD, SUITE 350, BELMONT, CA, 94002</w:t>
      </w:r>
    </w:p>
    <w:p>
      <w:pPr>
        <w:spacing w:after="0" w:line="181" w:lineRule="exact"/>
        <w:rPr>
          <w:rFonts w:ascii="Arial" w:cs="Arial" w:eastAsia="Arial" w:hAnsi="Arial"/>
          <w:sz w:val="18"/>
          <w:szCs w:val="18"/>
          <w:color w:val="auto"/>
        </w:rPr>
      </w:pPr>
    </w:p>
    <w:p>
      <w:pPr>
        <w:ind w:left="720" w:hanging="334"/>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210" w:lineRule="exact"/>
        <w:rPr>
          <w:rFonts w:ascii="Arial" w:cs="Arial" w:eastAsia="Arial" w:hAnsi="Arial"/>
          <w:sz w:val="18"/>
          <w:szCs w:val="18"/>
          <w:color w:val="auto"/>
        </w:rPr>
      </w:pPr>
    </w:p>
    <w:p>
      <w:pPr>
        <w:ind w:left="720" w:hanging="334"/>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COMMON SHARES</w:t>
      </w:r>
    </w:p>
    <w:p>
      <w:pPr>
        <w:spacing w:after="0" w:line="210" w:lineRule="exact"/>
        <w:rPr>
          <w:rFonts w:ascii="Arial" w:cs="Arial" w:eastAsia="Arial" w:hAnsi="Arial"/>
          <w:sz w:val="18"/>
          <w:szCs w:val="18"/>
          <w:color w:val="auto"/>
        </w:rPr>
      </w:pPr>
    </w:p>
    <w:p>
      <w:pPr>
        <w:ind w:left="720" w:right="9560" w:hanging="334"/>
        <w:spacing w:after="0" w:line="342"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CUSIP Number 92337F107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ind w:left="720" w:hanging="334"/>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Act (15 U.S.C. 78o).</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Bank as defined in section 3(a)(6) of the Act (15 U.S.C. 78c).</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Insurance company as defined in section 3(a)(19) of the Act (15 U.S.C. 78c).</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[X] An investment adviser in accordance with §240.13d-1(b)(1)(ii)(E);</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An employee benefit plan or endowment fund in accordance with §240.13d-1(b)(1)(ii)(F);</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A parent holding company or control person in accordance with §240.13d-1(b)(1)(ii)(G);</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A savings associations as defined in Section 3(b) of the Federal Deposit Insurance Act (12 U.S.C. 1813);</w:t>
      </w:r>
    </w:p>
    <w:p>
      <w:pPr>
        <w:spacing w:after="0" w:line="92" w:lineRule="exact"/>
        <w:rPr>
          <w:rFonts w:ascii="Arial" w:cs="Arial" w:eastAsia="Arial" w:hAnsi="Arial"/>
          <w:sz w:val="18"/>
          <w:szCs w:val="18"/>
          <w:color w:val="auto"/>
        </w:rPr>
      </w:pPr>
    </w:p>
    <w:p>
      <w:pPr>
        <w:ind w:left="1040" w:hanging="654"/>
        <w:spacing w:after="0" w:line="223" w:lineRule="auto"/>
        <w:tabs>
          <w:tab w:leader="none" w:pos="716" w:val="left"/>
        </w:tabs>
        <w:numPr>
          <w:ilvl w:val="0"/>
          <w:numId w:val="6"/>
        </w:numPr>
        <w:rPr>
          <w:rFonts w:ascii="Arial" w:cs="Arial" w:eastAsia="Arial" w:hAnsi="Arial"/>
          <w:sz w:val="36"/>
          <w:szCs w:val="36"/>
          <w:color w:val="auto"/>
          <w:vertAlign w:val="subscript"/>
        </w:rPr>
      </w:pPr>
      <w:r>
        <w:rPr>
          <w:rFonts w:ascii="Arial" w:cs="Arial" w:eastAsia="Arial" w:hAnsi="Arial"/>
          <w:sz w:val="36"/>
          <w:szCs w:val="36"/>
          <w:color w:val="auto"/>
          <w:vertAlign w:val="subscript"/>
        </w:rPr>
        <w:t>[ ]</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203" w:lineRule="exact"/>
        <w:rPr>
          <w:rFonts w:ascii="Arial" w:cs="Arial" w:eastAsia="Arial" w:hAnsi="Arial"/>
          <w:sz w:val="36"/>
          <w:szCs w:val="36"/>
          <w:color w:val="auto"/>
          <w:vertAlign w:val="subscript"/>
        </w:rPr>
      </w:pPr>
    </w:p>
    <w:p>
      <w:pPr>
        <w:ind w:left="720" w:hanging="334"/>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Group,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 w:name="page4"/>
    <w:bookmarkEnd w:id="3"/>
    <w:p>
      <w:pPr>
        <w:spacing w:after="0"/>
        <w:tabs>
          <w:tab w:leader="none" w:pos="5560" w:val="left"/>
          <w:tab w:leader="none" w:pos="1012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6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720" w:hanging="334"/>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1,716,000</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6.20%</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1040" w:hanging="330"/>
        <w:spacing w:after="0"/>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1,716,000</w:t>
      </w:r>
    </w:p>
    <w:p>
      <w:pPr>
        <w:spacing w:after="0" w:line="225" w:lineRule="exact"/>
        <w:rPr>
          <w:rFonts w:ascii="Arial" w:cs="Arial" w:eastAsia="Arial" w:hAnsi="Arial"/>
          <w:sz w:val="18"/>
          <w:szCs w:val="18"/>
          <w:color w:val="auto"/>
        </w:rPr>
      </w:pPr>
    </w:p>
    <w:p>
      <w:pPr>
        <w:ind w:left="1040" w:hanging="330"/>
        <w:spacing w:after="0"/>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040" w:hanging="330"/>
        <w:spacing w:after="0"/>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1,716,000</w:t>
      </w:r>
    </w:p>
    <w:p>
      <w:pPr>
        <w:spacing w:after="0" w:line="225" w:lineRule="exact"/>
        <w:rPr>
          <w:rFonts w:ascii="Arial" w:cs="Arial" w:eastAsia="Arial" w:hAnsi="Arial"/>
          <w:sz w:val="18"/>
          <w:szCs w:val="18"/>
          <w:color w:val="auto"/>
        </w:rPr>
      </w:pPr>
    </w:p>
    <w:p>
      <w:pPr>
        <w:ind w:left="1040" w:hanging="330"/>
        <w:spacing w:after="0"/>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Dissolution of a group requires a response to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 w:name="page5"/>
    <w:bookmarkEnd w:id="4"/>
    <w:p>
      <w:pPr>
        <w:spacing w:after="0"/>
        <w:tabs>
          <w:tab w:leader="none" w:pos="5560" w:val="left"/>
          <w:tab w:leader="none" w:pos="1012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6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ind w:left="720" w:hanging="334"/>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rFonts w:ascii="Arial" w:cs="Arial" w:eastAsia="Arial" w:hAnsi="Arial"/>
          <w:sz w:val="18"/>
          <w:szCs w:val="18"/>
          <w:color w:val="auto"/>
        </w:rPr>
      </w:pPr>
    </w:p>
    <w:p>
      <w:pPr>
        <w:jc w:val="both"/>
        <w:ind w:left="720"/>
        <w:spacing w:after="0" w:line="312" w:lineRule="auto"/>
        <w:rPr>
          <w:rFonts w:ascii="Arial" w:cs="Arial" w:eastAsia="Arial" w:hAnsi="Arial"/>
          <w:sz w:val="18"/>
          <w:szCs w:val="18"/>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46" w:lineRule="exact"/>
        <w:rPr>
          <w:rFonts w:ascii="Arial" w:cs="Arial" w:eastAsia="Arial" w:hAnsi="Arial"/>
          <w:sz w:val="18"/>
          <w:szCs w:val="18"/>
          <w:color w:val="auto"/>
        </w:rPr>
      </w:pPr>
    </w:p>
    <w:p>
      <w:pPr>
        <w:ind w:left="720" w:hanging="334"/>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rFonts w:ascii="Arial" w:cs="Arial" w:eastAsia="Arial" w:hAnsi="Arial"/>
          <w:sz w:val="18"/>
          <w:szCs w:val="18"/>
          <w:color w:val="auto"/>
        </w:rPr>
      </w:pPr>
    </w:p>
    <w:p>
      <w:pPr>
        <w:jc w:val="both"/>
        <w:ind w:left="720"/>
        <w:spacing w:after="0" w:line="264"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 w:name="page6"/>
    <w:bookmarkEnd w:id="5"/>
    <w:p>
      <w:pPr>
        <w:spacing w:after="0"/>
        <w:tabs>
          <w:tab w:leader="none" w:pos="5560" w:val="left"/>
          <w:tab w:leader="none" w:pos="1012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6 Pages</w:t>
      </w:r>
    </w:p>
    <w:p>
      <w:pPr>
        <w:sectPr>
          <w:pgSz w:w="11900" w:h="16838" w:orient="portrait"/>
          <w:cols w:equalWidth="0" w:num="1">
            <w:col w:w="11420"/>
          </w:cols>
          <w:pgMar w:left="240" w:top="665" w:right="239" w:bottom="1440" w:gutter="0" w:footer="0" w:header="0"/>
        </w:sect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02/12/2016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/s/ Manfred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Manfred Yu, CCO &amp; 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2019-12-08T14:07:38Z</dcterms:created>
  <dcterms:modified xsi:type="dcterms:W3CDTF">2019-12-08T14:07:38Z</dcterms:modified>
</cp:coreProperties>
</file>