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80"/>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ind w:right="580"/>
        <w:spacing w:after="0"/>
        <w:rPr>
          <w:sz w:val="20"/>
          <w:szCs w:val="20"/>
          <w:color w:val="auto"/>
        </w:rPr>
      </w:pPr>
      <w:r>
        <w:rPr>
          <w:rFonts w:ascii="Arial" w:cs="Arial" w:eastAsia="Arial" w:hAnsi="Arial"/>
          <w:sz w:val="18"/>
          <w:szCs w:val="18"/>
          <w:color w:val="auto"/>
        </w:rPr>
        <w:t>Registration Statement No. 333-204368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22, 2016)</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This prospectus supplement amends and supplements the prospectus dated March 22, 2016 (the “Prospectus”), as supplemented by that certain Prospectus Supplement No. 1 dated March 28, 2016 (“Supplement No. 1”), which forms a part of our Registration Statement on Form S-1 (Registration Statement No. 333-204368). This prospectus supplement is being filed to update and supplement the information included or incorporated by reference in the Prospectus and Supplement No. 1 with the information contained in our Current Report on Form 8-K, filed with the Securities and Exchange Commission on March 30, 2016 (the “Form 8-K”). Accordingly, we have attached the Form 8-K to this prospectus supplement.</w:t>
      </w:r>
    </w:p>
    <w:p>
      <w:pPr>
        <w:spacing w:after="0" w:line="1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No. 1 and this prospectus supplement relate to the offer and sale by the selling stockholders identified in the Prospectus of up to an aggregate of 4,907,975 shares of our common stock.</w:t>
      </w:r>
    </w:p>
    <w:p>
      <w:pPr>
        <w:spacing w:after="0" w:line="170" w:lineRule="exact"/>
        <w:rPr>
          <w:sz w:val="24"/>
          <w:szCs w:val="24"/>
          <w:color w:val="auto"/>
        </w:rPr>
      </w:pPr>
    </w:p>
    <w:p>
      <w:pPr>
        <w:ind w:right="400" w:firstLine="648"/>
        <w:spacing w:after="0" w:line="342" w:lineRule="auto"/>
        <w:rPr>
          <w:sz w:val="20"/>
          <w:szCs w:val="20"/>
          <w:color w:val="auto"/>
        </w:rPr>
      </w:pPr>
      <w:r>
        <w:rPr>
          <w:rFonts w:ascii="Arial" w:cs="Arial" w:eastAsia="Arial" w:hAnsi="Arial"/>
          <w:sz w:val="16"/>
          <w:szCs w:val="16"/>
          <w:color w:val="auto"/>
        </w:rPr>
        <w:t>This prospectus supplement should be read in conjunction with the Prospectus and Supplement No. 1. If there is any inconsistency between the information in the Prospectus, Supplement No. 1 and this prospectus supplement, you should rely on the information in this prospectus supplement.</w:t>
      </w:r>
    </w:p>
    <w:p>
      <w:pPr>
        <w:spacing w:after="0" w:line="124" w:lineRule="exact"/>
        <w:rPr>
          <w:sz w:val="24"/>
          <w:szCs w:val="24"/>
          <w:color w:val="auto"/>
        </w:rPr>
      </w:pPr>
    </w:p>
    <w:p>
      <w:pPr>
        <w:ind w:right="34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March 29, 2016, the last reported sale price of our common stock on The NASDAQ Global Market was $5.40 per share.</w:t>
      </w:r>
    </w:p>
    <w:p>
      <w:pPr>
        <w:spacing w:after="0" w:line="166" w:lineRule="exact"/>
        <w:rPr>
          <w:sz w:val="24"/>
          <w:szCs w:val="24"/>
          <w:color w:val="auto"/>
        </w:rPr>
      </w:pPr>
    </w:p>
    <w:p>
      <w:pPr>
        <w:ind w:right="800"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risks. See the section entitled “Risk Factors” beginning on page 2 of the Prospectus and in the documents we incorporate by reference in the Prospectus before making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182880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both"/>
        <w:ind w:right="260" w:firstLine="648"/>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date of this prospectus supplement is March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30, 2016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1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001-36156</w:t>
            </w:r>
          </w:p>
        </w:tc>
        <w:tc>
          <w:tcPr>
            <w:tcW w:w="2640" w:type="dxa"/>
            <w:vAlign w:val="bottom"/>
          </w:tcPr>
          <w:p>
            <w:pPr>
              <w:jc w:val="right"/>
              <w:ind w:right="130"/>
              <w:spacing w:after="0"/>
              <w:rPr>
                <w:sz w:val="20"/>
                <w:szCs w:val="20"/>
                <w:color w:val="auto"/>
              </w:rPr>
            </w:pPr>
            <w:r>
              <w:rPr>
                <w:rFonts w:ascii="Arial" w:cs="Arial" w:eastAsia="Arial" w:hAnsi="Arial"/>
                <w:sz w:val="18"/>
                <w:szCs w:val="18"/>
                <w:b w:val="1"/>
                <w:bCs w:val="1"/>
                <w:color w:val="auto"/>
              </w:rPr>
              <w:t>20-5455398</w:t>
            </w:r>
          </w:p>
        </w:tc>
      </w:tr>
      <w:tr>
        <w:trPr>
          <w:trHeight w:val="216"/>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1"/>
              </w:rPr>
              <w:t>(State or other jurisdiction</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5"/>
              </w:rPr>
              <w:t>of incorporation)</w:t>
            </w:r>
          </w:p>
        </w:tc>
        <w:tc>
          <w:tcPr>
            <w:tcW w:w="360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72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2640" w:type="dxa"/>
            <w:vAlign w:val="bottom"/>
          </w:tcPr>
          <w:p>
            <w:pPr>
              <w:jc w:val="right"/>
              <w:ind w:right="350"/>
              <w:spacing w:after="0"/>
              <w:rPr>
                <w:sz w:val="20"/>
                <w:szCs w:val="20"/>
                <w:color w:val="auto"/>
              </w:rPr>
            </w:pPr>
            <w:r>
              <w:rPr>
                <w:rFonts w:ascii="Arial" w:cs="Arial" w:eastAsia="Arial" w:hAnsi="Arial"/>
                <w:sz w:val="18"/>
                <w:szCs w:val="18"/>
                <w:b w:val="1"/>
                <w:bCs w:val="1"/>
                <w:color w:val="auto"/>
              </w:rPr>
              <w:t>94080</w:t>
            </w:r>
          </w:p>
        </w:tc>
      </w:tr>
      <w:tr>
        <w:trPr>
          <w:trHeight w:val="230"/>
        </w:trPr>
        <w:tc>
          <w:tcPr>
            <w:tcW w:w="672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ectPr>
          <w:pgSz w:w="11900" w:h="16838" w:orient="portrait"/>
          <w:cols w:equalWidth="0" w:num="1">
            <w:col w:w="11360"/>
          </w:cols>
          <w:pgMar w:left="240" w:top="449" w:right="299" w:bottom="0" w:gutter="0" w:footer="0" w:header="0"/>
        </w:sectPr>
      </w:pPr>
    </w:p>
    <w:bookmarkStart w:id="1" w:name="page2"/>
    <w:bookmarkEnd w:id="1"/>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380" w:firstLine="441"/>
        <w:spacing w:after="0" w:line="259" w:lineRule="auto"/>
        <w:rPr>
          <w:sz w:val="20"/>
          <w:szCs w:val="20"/>
          <w:color w:val="auto"/>
        </w:rPr>
      </w:pPr>
      <w:r>
        <w:rPr>
          <w:rFonts w:ascii="Arial" w:cs="Arial" w:eastAsia="Arial" w:hAnsi="Arial"/>
          <w:sz w:val="18"/>
          <w:szCs w:val="18"/>
          <w:color w:val="auto"/>
        </w:rPr>
        <w:t>On March 25, 2016, Veracyte, Inc. (the “Company”) entered into a credit agreement (the “Credit Agreement”) with Visium Healthcare Partners, LP (“Visium”), as lender and administrative agent for the financial institutions or entities from time to time party to the Credit Agreement (the “Lenders”), as described in the Company’s Current Report on Form 8-K dated March 28, 2016. On March 30, 2016, the initial $25.0 million term loan under the Credit Agreement was funded.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60" w:firstLine="5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2019-12-08T13:38:31Z</dcterms:created>
  <dcterms:modified xsi:type="dcterms:W3CDTF">2019-12-08T13:38:31Z</dcterms:modified>
</cp:coreProperties>
</file>