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668020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8" w:lineRule="exact"/>
        <w:rPr>
          <w:sz w:val="24"/>
          <w:szCs w:val="24"/>
          <w:color w:val="auto"/>
        </w:rPr>
      </w:pPr>
    </w:p>
    <w:p>
      <w:pPr>
        <w:jc w:val="center"/>
        <w:ind w:right="-110"/>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110"/>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79" w:lineRule="exact"/>
        <w:rPr>
          <w:sz w:val="24"/>
          <w:szCs w:val="24"/>
          <w:color w:val="auto"/>
        </w:rPr>
      </w:pPr>
    </w:p>
    <w:p>
      <w:pPr>
        <w:jc w:val="center"/>
        <w:ind w:right="-110"/>
        <w:spacing w:after="0"/>
        <w:rPr>
          <w:sz w:val="20"/>
          <w:szCs w:val="20"/>
          <w:color w:val="auto"/>
        </w:rPr>
      </w:pPr>
      <w:r>
        <w:rPr>
          <w:rFonts w:ascii="Arial" w:cs="Arial" w:eastAsia="Arial" w:hAnsi="Arial"/>
          <w:sz w:val="32"/>
          <w:szCs w:val="32"/>
          <w:b w:val="1"/>
          <w:bCs w:val="1"/>
          <w:color w:val="auto"/>
        </w:rPr>
        <w:t>FORM 8-K</w:t>
      </w:r>
    </w:p>
    <w:p>
      <w:pPr>
        <w:spacing w:after="0" w:line="281" w:lineRule="exact"/>
        <w:rPr>
          <w:sz w:val="24"/>
          <w:szCs w:val="24"/>
          <w:color w:val="auto"/>
        </w:rPr>
      </w:pPr>
    </w:p>
    <w:p>
      <w:pPr>
        <w:jc w:val="center"/>
        <w:ind w:right="-110"/>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36" w:lineRule="exact"/>
        <w:rPr>
          <w:sz w:val="24"/>
          <w:szCs w:val="24"/>
          <w:color w:val="auto"/>
        </w:rPr>
      </w:pPr>
    </w:p>
    <w:p>
      <w:pPr>
        <w:jc w:val="center"/>
        <w:ind w:right="-110"/>
        <w:spacing w:after="0"/>
        <w:rPr>
          <w:sz w:val="20"/>
          <w:szCs w:val="20"/>
          <w:color w:val="auto"/>
        </w:rPr>
      </w:pPr>
      <w:r>
        <w:rPr>
          <w:rFonts w:ascii="Arial" w:cs="Arial" w:eastAsia="Arial" w:hAnsi="Arial"/>
          <w:sz w:val="18"/>
          <w:szCs w:val="18"/>
          <w:color w:val="auto"/>
        </w:rPr>
        <w:t>Date of Report (Date of earliest event reported): February 27, 2018</w:t>
      </w:r>
    </w:p>
    <w:p>
      <w:pPr>
        <w:spacing w:after="0" w:line="255" w:lineRule="exact"/>
        <w:rPr>
          <w:sz w:val="24"/>
          <w:szCs w:val="24"/>
          <w:color w:val="auto"/>
        </w:rPr>
      </w:pPr>
    </w:p>
    <w:p>
      <w:pPr>
        <w:jc w:val="center"/>
        <w:ind w:right="-110"/>
        <w:spacing w:after="0"/>
        <w:rPr>
          <w:sz w:val="20"/>
          <w:szCs w:val="20"/>
          <w:color w:val="auto"/>
        </w:rPr>
      </w:pPr>
      <w:r>
        <w:rPr>
          <w:rFonts w:ascii="Arial" w:cs="Arial" w:eastAsia="Arial" w:hAnsi="Arial"/>
          <w:sz w:val="36"/>
          <w:szCs w:val="36"/>
          <w:b w:val="1"/>
          <w:bCs w:val="1"/>
          <w:color w:val="auto"/>
        </w:rPr>
        <w:t>VERACYTE, INC.</w:t>
      </w:r>
    </w:p>
    <w:p>
      <w:pPr>
        <w:spacing w:after="0" w:line="37" w:lineRule="exact"/>
        <w:rPr>
          <w:sz w:val="24"/>
          <w:szCs w:val="24"/>
          <w:color w:val="auto"/>
        </w:rPr>
      </w:pPr>
    </w:p>
    <w:p>
      <w:pPr>
        <w:jc w:val="center"/>
        <w:ind w:right="-110"/>
        <w:spacing w:after="0"/>
        <w:rPr>
          <w:sz w:val="20"/>
          <w:szCs w:val="20"/>
          <w:color w:val="auto"/>
        </w:rPr>
      </w:pPr>
      <w:r>
        <w:rPr>
          <w:rFonts w:ascii="Arial" w:cs="Arial" w:eastAsia="Arial" w:hAnsi="Arial"/>
          <w:sz w:val="19"/>
          <w:szCs w:val="19"/>
          <w:color w:val="auto"/>
        </w:rPr>
        <w:t>(Exact name of registrant as specified in its charter)</w:t>
      </w:r>
    </w:p>
    <w:p>
      <w:pPr>
        <w:spacing w:after="0" w:line="364" w:lineRule="exact"/>
        <w:rPr>
          <w:sz w:val="24"/>
          <w:szCs w:val="24"/>
          <w:color w:val="auto"/>
        </w:rPr>
      </w:pPr>
    </w:p>
    <w:tbl>
      <w:tblPr>
        <w:tblLayout w:type="fixed"/>
        <w:tblInd w:w="131" w:type="dxa"/>
        <w:tblCellMar>
          <w:top w:w="0" w:type="dxa"/>
          <w:left w:w="0" w:type="dxa"/>
          <w:bottom w:w="0" w:type="dxa"/>
          <w:right w:w="0" w:type="dxa"/>
        </w:tblCellMar>
      </w:tblPr>
      <w:tr>
        <w:trPr>
          <w:trHeight w:val="234"/>
        </w:trPr>
        <w:tc>
          <w:tcPr>
            <w:tcW w:w="4380" w:type="dxa"/>
            <w:vAlign w:val="bottom"/>
          </w:tcPr>
          <w:p>
            <w:pPr>
              <w:jc w:val="center"/>
              <w:ind w:right="950"/>
              <w:spacing w:after="0"/>
              <w:rPr>
                <w:sz w:val="20"/>
                <w:szCs w:val="20"/>
                <w:color w:val="auto"/>
              </w:rPr>
            </w:pPr>
            <w:r>
              <w:rPr>
                <w:rFonts w:ascii="Arial" w:cs="Arial" w:eastAsia="Arial" w:hAnsi="Arial"/>
                <w:sz w:val="18"/>
                <w:szCs w:val="18"/>
                <w:b w:val="1"/>
                <w:bCs w:val="1"/>
                <w:color w:val="auto"/>
                <w:w w:val="98"/>
              </w:rPr>
              <w:t>DELAWARE</w:t>
            </w:r>
          </w:p>
        </w:tc>
        <w:tc>
          <w:tcPr>
            <w:tcW w:w="3000" w:type="dxa"/>
            <w:vAlign w:val="bottom"/>
          </w:tcPr>
          <w:p>
            <w:pPr>
              <w:jc w:val="right"/>
              <w:ind w:right="1370"/>
              <w:spacing w:after="0"/>
              <w:rPr>
                <w:sz w:val="20"/>
                <w:szCs w:val="20"/>
                <w:color w:val="auto"/>
              </w:rPr>
            </w:pPr>
            <w:r>
              <w:rPr>
                <w:rFonts w:ascii="Arial" w:cs="Arial" w:eastAsia="Arial" w:hAnsi="Arial"/>
                <w:sz w:val="18"/>
                <w:szCs w:val="18"/>
                <w:b w:val="1"/>
                <w:bCs w:val="1"/>
                <w:color w:val="auto"/>
              </w:rPr>
              <w:t>001-36156</w:t>
            </w:r>
          </w:p>
        </w:tc>
        <w:tc>
          <w:tcPr>
            <w:tcW w:w="3040" w:type="dxa"/>
            <w:vAlign w:val="bottom"/>
          </w:tcPr>
          <w:p>
            <w:pPr>
              <w:jc w:val="center"/>
              <w:ind w:left="850"/>
              <w:spacing w:after="0"/>
              <w:rPr>
                <w:sz w:val="20"/>
                <w:szCs w:val="20"/>
                <w:color w:val="auto"/>
              </w:rPr>
            </w:pPr>
            <w:r>
              <w:rPr>
                <w:rFonts w:ascii="Arial" w:cs="Arial" w:eastAsia="Arial" w:hAnsi="Arial"/>
                <w:sz w:val="18"/>
                <w:szCs w:val="18"/>
                <w:b w:val="1"/>
                <w:bCs w:val="1"/>
                <w:color w:val="auto"/>
                <w:w w:val="89"/>
              </w:rPr>
              <w:t>20-5455398</w:t>
            </w:r>
          </w:p>
        </w:tc>
      </w:tr>
      <w:tr>
        <w:trPr>
          <w:trHeight w:val="310"/>
        </w:trPr>
        <w:tc>
          <w:tcPr>
            <w:tcW w:w="4380" w:type="dxa"/>
            <w:vAlign w:val="bottom"/>
          </w:tcPr>
          <w:p>
            <w:pPr>
              <w:jc w:val="center"/>
              <w:ind w:right="930"/>
              <w:spacing w:after="0"/>
              <w:rPr>
                <w:sz w:val="20"/>
                <w:szCs w:val="20"/>
                <w:color w:val="auto"/>
              </w:rPr>
            </w:pPr>
            <w:r>
              <w:rPr>
                <w:rFonts w:ascii="Arial" w:cs="Arial" w:eastAsia="Arial" w:hAnsi="Arial"/>
                <w:sz w:val="18"/>
                <w:szCs w:val="18"/>
                <w:color w:val="auto"/>
                <w:w w:val="92"/>
              </w:rPr>
              <w:t>(State or other jurisdiction of</w:t>
            </w:r>
          </w:p>
        </w:tc>
        <w:tc>
          <w:tcPr>
            <w:tcW w:w="3000" w:type="dxa"/>
            <w:vAlign w:val="bottom"/>
          </w:tcPr>
          <w:p>
            <w:pPr>
              <w:jc w:val="center"/>
              <w:ind w:right="610"/>
              <w:spacing w:after="0"/>
              <w:rPr>
                <w:sz w:val="20"/>
                <w:szCs w:val="20"/>
                <w:color w:val="auto"/>
              </w:rPr>
            </w:pPr>
            <w:r>
              <w:rPr>
                <w:rFonts w:ascii="Arial" w:cs="Arial" w:eastAsia="Arial" w:hAnsi="Arial"/>
                <w:sz w:val="18"/>
                <w:szCs w:val="18"/>
                <w:color w:val="auto"/>
                <w:w w:val="92"/>
              </w:rPr>
              <w:t>Commission File Number</w:t>
            </w:r>
          </w:p>
        </w:tc>
        <w:tc>
          <w:tcPr>
            <w:tcW w:w="3040" w:type="dxa"/>
            <w:vAlign w:val="bottom"/>
          </w:tcPr>
          <w:p>
            <w:pPr>
              <w:jc w:val="center"/>
              <w:ind w:left="850"/>
              <w:spacing w:after="0"/>
              <w:rPr>
                <w:sz w:val="20"/>
                <w:szCs w:val="20"/>
                <w:color w:val="auto"/>
              </w:rPr>
            </w:pPr>
            <w:r>
              <w:rPr>
                <w:rFonts w:ascii="Arial" w:cs="Arial" w:eastAsia="Arial" w:hAnsi="Arial"/>
                <w:sz w:val="18"/>
                <w:szCs w:val="18"/>
                <w:color w:val="auto"/>
                <w:w w:val="94"/>
              </w:rPr>
              <w:t>(IRS Employer Identification</w:t>
            </w:r>
          </w:p>
        </w:tc>
      </w:tr>
      <w:tr>
        <w:trPr>
          <w:trHeight w:val="230"/>
        </w:trPr>
        <w:tc>
          <w:tcPr>
            <w:tcW w:w="4380" w:type="dxa"/>
            <w:vAlign w:val="bottom"/>
          </w:tcPr>
          <w:p>
            <w:pPr>
              <w:jc w:val="center"/>
              <w:ind w:right="930"/>
              <w:spacing w:after="0"/>
              <w:rPr>
                <w:sz w:val="20"/>
                <w:szCs w:val="20"/>
                <w:color w:val="auto"/>
              </w:rPr>
            </w:pPr>
            <w:r>
              <w:rPr>
                <w:rFonts w:ascii="Arial" w:cs="Arial" w:eastAsia="Arial" w:hAnsi="Arial"/>
                <w:sz w:val="18"/>
                <w:szCs w:val="18"/>
                <w:color w:val="auto"/>
                <w:w w:val="94"/>
              </w:rPr>
              <w:t>incorporation)</w:t>
            </w:r>
          </w:p>
        </w:tc>
        <w:tc>
          <w:tcPr>
            <w:tcW w:w="3000" w:type="dxa"/>
            <w:vAlign w:val="bottom"/>
          </w:tcPr>
          <w:p>
            <w:pPr>
              <w:spacing w:after="0"/>
              <w:rPr>
                <w:sz w:val="20"/>
                <w:szCs w:val="20"/>
                <w:color w:val="auto"/>
              </w:rPr>
            </w:pPr>
          </w:p>
        </w:tc>
        <w:tc>
          <w:tcPr>
            <w:tcW w:w="3040" w:type="dxa"/>
            <w:vAlign w:val="bottom"/>
          </w:tcPr>
          <w:p>
            <w:pPr>
              <w:jc w:val="center"/>
              <w:ind w:left="850"/>
              <w:spacing w:after="0"/>
              <w:rPr>
                <w:sz w:val="20"/>
                <w:szCs w:val="20"/>
                <w:color w:val="auto"/>
              </w:rPr>
            </w:pPr>
            <w:r>
              <w:rPr>
                <w:rFonts w:ascii="Arial" w:cs="Arial" w:eastAsia="Arial" w:hAnsi="Arial"/>
                <w:sz w:val="18"/>
                <w:szCs w:val="18"/>
                <w:color w:val="auto"/>
                <w:w w:val="99"/>
              </w:rPr>
              <w:t>No.)</w:t>
            </w:r>
          </w:p>
        </w:tc>
      </w:tr>
      <w:tr>
        <w:trPr>
          <w:trHeight w:val="630"/>
        </w:trPr>
        <w:tc>
          <w:tcPr>
            <w:tcW w:w="43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6000 Shoreline Court, Suite 300, South San Francisco,</w:t>
            </w:r>
          </w:p>
        </w:tc>
        <w:tc>
          <w:tcPr>
            <w:tcW w:w="3000" w:type="dxa"/>
            <w:vAlign w:val="bottom"/>
          </w:tcPr>
          <w:p>
            <w:pPr>
              <w:spacing w:after="0"/>
              <w:rPr>
                <w:sz w:val="24"/>
                <w:szCs w:val="24"/>
                <w:color w:val="auto"/>
              </w:rPr>
            </w:pPr>
          </w:p>
        </w:tc>
        <w:tc>
          <w:tcPr>
            <w:tcW w:w="3040" w:type="dxa"/>
            <w:vAlign w:val="bottom"/>
          </w:tcPr>
          <w:p>
            <w:pPr>
              <w:jc w:val="right"/>
              <w:ind w:right="1150"/>
              <w:spacing w:after="0"/>
              <w:rPr>
                <w:sz w:val="20"/>
                <w:szCs w:val="20"/>
                <w:color w:val="auto"/>
              </w:rPr>
            </w:pPr>
            <w:r>
              <w:rPr>
                <w:rFonts w:ascii="Arial" w:cs="Arial" w:eastAsia="Arial" w:hAnsi="Arial"/>
                <w:sz w:val="18"/>
                <w:szCs w:val="18"/>
                <w:b w:val="1"/>
                <w:bCs w:val="1"/>
                <w:color w:val="auto"/>
              </w:rPr>
              <w:t>94080</w:t>
            </w:r>
          </w:p>
        </w:tc>
      </w:tr>
      <w:tr>
        <w:trPr>
          <w:trHeight w:val="234"/>
        </w:trPr>
        <w:tc>
          <w:tcPr>
            <w:tcW w:w="438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California</w:t>
            </w:r>
          </w:p>
        </w:tc>
        <w:tc>
          <w:tcPr>
            <w:tcW w:w="300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297"/>
        </w:trPr>
        <w:tc>
          <w:tcPr>
            <w:tcW w:w="4380" w:type="dxa"/>
            <w:vAlign w:val="bottom"/>
          </w:tcPr>
          <w:p>
            <w:pPr>
              <w:jc w:val="center"/>
              <w:ind w:right="150"/>
              <w:spacing w:after="0"/>
              <w:rPr>
                <w:sz w:val="20"/>
                <w:szCs w:val="20"/>
                <w:color w:val="auto"/>
              </w:rPr>
            </w:pPr>
            <w:r>
              <w:rPr>
                <w:rFonts w:ascii="Arial" w:cs="Arial" w:eastAsia="Arial" w:hAnsi="Arial"/>
                <w:sz w:val="18"/>
                <w:szCs w:val="18"/>
                <w:color w:val="auto"/>
                <w:w w:val="92"/>
              </w:rPr>
              <w:t>(Address of principal executive offices)</w:t>
            </w:r>
          </w:p>
        </w:tc>
        <w:tc>
          <w:tcPr>
            <w:tcW w:w="3000" w:type="dxa"/>
            <w:vAlign w:val="bottom"/>
          </w:tcPr>
          <w:p>
            <w:pPr>
              <w:spacing w:after="0"/>
              <w:rPr>
                <w:sz w:val="24"/>
                <w:szCs w:val="24"/>
                <w:color w:val="auto"/>
              </w:rPr>
            </w:pPr>
          </w:p>
        </w:tc>
        <w:tc>
          <w:tcPr>
            <w:tcW w:w="3040" w:type="dxa"/>
            <w:vAlign w:val="bottom"/>
          </w:tcPr>
          <w:p>
            <w:pPr>
              <w:jc w:val="center"/>
              <w:ind w:left="30"/>
              <w:spacing w:after="0"/>
              <w:rPr>
                <w:sz w:val="20"/>
                <w:szCs w:val="20"/>
                <w:color w:val="auto"/>
              </w:rPr>
            </w:pPr>
            <w:r>
              <w:rPr>
                <w:rFonts w:ascii="Arial" w:cs="Arial" w:eastAsia="Arial" w:hAnsi="Arial"/>
                <w:sz w:val="18"/>
                <w:szCs w:val="18"/>
                <w:color w:val="auto"/>
                <w:w w:val="94"/>
              </w:rPr>
              <w:t>(Zip Code)</w:t>
            </w:r>
          </w:p>
        </w:tc>
      </w:tr>
    </w:tbl>
    <w:p>
      <w:pPr>
        <w:spacing w:after="0" w:line="252" w:lineRule="exact"/>
        <w:rPr>
          <w:sz w:val="24"/>
          <w:szCs w:val="24"/>
          <w:color w:val="auto"/>
        </w:rPr>
      </w:pPr>
    </w:p>
    <w:p>
      <w:pPr>
        <w:jc w:val="center"/>
        <w:ind w:right="-11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25" w:lineRule="exact"/>
        <w:rPr>
          <w:sz w:val="24"/>
          <w:szCs w:val="24"/>
          <w:color w:val="auto"/>
        </w:rPr>
      </w:pPr>
    </w:p>
    <w:p>
      <w:pPr>
        <w:jc w:val="center"/>
        <w:ind w:right="-110"/>
        <w:spacing w:after="0"/>
        <w:rPr>
          <w:sz w:val="20"/>
          <w:szCs w:val="20"/>
          <w:color w:val="auto"/>
        </w:rPr>
      </w:pPr>
      <w:r>
        <w:rPr>
          <w:rFonts w:ascii="Arial" w:cs="Arial" w:eastAsia="Arial" w:hAnsi="Arial"/>
          <w:sz w:val="18"/>
          <w:szCs w:val="18"/>
          <w:b w:val="1"/>
          <w:bCs w:val="1"/>
          <w:color w:val="auto"/>
        </w:rPr>
        <w:t>N/A</w:t>
      </w:r>
    </w:p>
    <w:p>
      <w:pPr>
        <w:spacing w:after="0" w:line="229" w:lineRule="exact"/>
        <w:rPr>
          <w:sz w:val="24"/>
          <w:szCs w:val="24"/>
          <w:color w:val="auto"/>
        </w:rPr>
      </w:pPr>
    </w:p>
    <w:p>
      <w:pPr>
        <w:jc w:val="center"/>
        <w:ind w:right="-11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84" w:lineRule="exact"/>
        <w:rPr>
          <w:sz w:val="24"/>
          <w:szCs w:val="24"/>
          <w:color w:val="auto"/>
        </w:rPr>
      </w:pPr>
    </w:p>
    <w:p>
      <w:pPr>
        <w:ind w:left="51" w:right="360"/>
        <w:spacing w:after="0" w:line="274"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40" w:lineRule="exact"/>
        <w:rPr>
          <w:sz w:val="24"/>
          <w:szCs w:val="24"/>
          <w:color w:val="auto"/>
        </w:rPr>
      </w:pPr>
    </w:p>
    <w:p>
      <w:pPr>
        <w:ind w:left="631" w:hanging="631"/>
        <w:spacing w:after="0"/>
        <w:tabs>
          <w:tab w:leader="none" w:pos="631" w:val="left"/>
        </w:tabs>
        <w:numPr>
          <w:ilvl w:val="0"/>
          <w:numId w:val="1"/>
        </w:numPr>
        <w:rPr>
          <w:rFonts w:ascii="Arial" w:cs="Arial" w:eastAsia="Arial" w:hAnsi="Arial"/>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88" w:lineRule="exact"/>
        <w:rPr>
          <w:rFonts w:ascii="Arial" w:cs="Arial" w:eastAsia="Arial" w:hAnsi="Arial"/>
          <w:sz w:val="17"/>
          <w:szCs w:val="17"/>
          <w:color w:val="auto"/>
        </w:rPr>
      </w:pPr>
    </w:p>
    <w:p>
      <w:pPr>
        <w:ind w:left="631" w:hanging="631"/>
        <w:spacing w:after="0"/>
        <w:tabs>
          <w:tab w:leader="none" w:pos="631" w:val="left"/>
        </w:tabs>
        <w:numPr>
          <w:ilvl w:val="0"/>
          <w:numId w:val="1"/>
        </w:numPr>
        <w:rPr>
          <w:rFonts w:ascii="Arial" w:cs="Arial" w:eastAsia="Arial" w:hAnsi="Arial"/>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88" w:lineRule="exact"/>
        <w:rPr>
          <w:rFonts w:ascii="Arial" w:cs="Arial" w:eastAsia="Arial" w:hAnsi="Arial"/>
          <w:sz w:val="17"/>
          <w:szCs w:val="17"/>
          <w:color w:val="auto"/>
        </w:rPr>
      </w:pPr>
    </w:p>
    <w:p>
      <w:pPr>
        <w:ind w:left="631" w:hanging="631"/>
        <w:spacing w:after="0"/>
        <w:tabs>
          <w:tab w:leader="none" w:pos="631"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88" w:lineRule="exact"/>
        <w:rPr>
          <w:rFonts w:ascii="Arial" w:cs="Arial" w:eastAsia="Arial" w:hAnsi="Arial"/>
          <w:sz w:val="17"/>
          <w:szCs w:val="17"/>
          <w:color w:val="auto"/>
        </w:rPr>
      </w:pPr>
    </w:p>
    <w:p>
      <w:pPr>
        <w:ind w:left="631" w:hanging="631"/>
        <w:spacing w:after="0"/>
        <w:tabs>
          <w:tab w:leader="none" w:pos="631"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0" w:lineRule="exact"/>
        <w:rPr>
          <w:sz w:val="24"/>
          <w:szCs w:val="24"/>
          <w:color w:val="auto"/>
        </w:rPr>
      </w:pPr>
    </w:p>
    <w:p>
      <w:pPr>
        <w:spacing w:after="0" w:line="243" w:lineRule="exact"/>
        <w:rPr>
          <w:sz w:val="24"/>
          <w:szCs w:val="24"/>
          <w:color w:val="auto"/>
        </w:rPr>
      </w:pPr>
    </w:p>
    <w:p>
      <w:pPr>
        <w:ind w:left="71" w:right="1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8" w:lineRule="exact"/>
        <w:rPr>
          <w:sz w:val="24"/>
          <w:szCs w:val="24"/>
          <w:color w:val="auto"/>
        </w:rPr>
      </w:pPr>
    </w:p>
    <w:p>
      <w:pPr>
        <w:ind w:left="71"/>
        <w:spacing w:after="0"/>
        <w:rPr>
          <w:sz w:val="20"/>
          <w:szCs w:val="20"/>
          <w:color w:val="auto"/>
        </w:rPr>
      </w:pPr>
      <w:r>
        <w:rPr>
          <w:rFonts w:ascii="Arial" w:cs="Arial" w:eastAsia="Arial" w:hAnsi="Arial"/>
          <w:sz w:val="18"/>
          <w:szCs w:val="18"/>
          <w:color w:val="auto"/>
        </w:rPr>
        <w:t>Emerging growth company x</w:t>
      </w:r>
    </w:p>
    <w:p>
      <w:pPr>
        <w:spacing w:after="0" w:line="63" w:lineRule="exact"/>
        <w:rPr>
          <w:sz w:val="24"/>
          <w:szCs w:val="24"/>
          <w:color w:val="auto"/>
        </w:rPr>
      </w:pPr>
    </w:p>
    <w:p>
      <w:pPr>
        <w:ind w:left="71"/>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-63500</wp:posOffset>
            </wp:positionH>
            <wp:positionV relativeFrom="paragraph">
              <wp:posOffset>190500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353060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31"/>
          </w:cols>
          <w:pgMar w:left="329" w:top="1422"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February 27, 2018, Veracyte, Inc. issued a press release announcing its financial results for the quarter and year ended December 31, 2017. The full text of the press release is furnished as Exhibit 99.1 to this report.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in this Current Report on Form 8-K, including Exhibit 99.1, shall not be deemed to be “filed” for purposes of Section 18 of the Securities Exchange Act of 1934 (the “Exchange Act”), or otherwise subject to the liability of that section, and shall not be incorporated by reference into any registration statement or other document filed under the Securities Act of 1933 or the Exchange Act, except as shall be expressly set forth by specific reference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83" w:lineRule="exact"/>
        <w:rPr>
          <w:sz w:val="20"/>
          <w:szCs w:val="20"/>
          <w:color w:val="auto"/>
        </w:rPr>
      </w:pPr>
    </w:p>
    <w:p>
      <w:pPr>
        <w:ind w:left="80"/>
        <w:spacing w:after="0"/>
        <w:tabs>
          <w:tab w:leader="none" w:pos="602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5" w:lineRule="exact"/>
        <w:rPr>
          <w:sz w:val="20"/>
          <w:szCs w:val="20"/>
          <w:color w:val="auto"/>
        </w:rPr>
      </w:pPr>
    </w:p>
    <w:p>
      <w:pPr>
        <w:ind w:left="1040"/>
        <w:spacing w:after="0"/>
        <w:tabs>
          <w:tab w:leader="none" w:pos="1560" w:val="left"/>
        </w:tabs>
        <w:rPr>
          <w:rFonts w:ascii="Arial" w:cs="Arial" w:eastAsia="Arial" w:hAnsi="Arial"/>
          <w:sz w:val="15"/>
          <w:szCs w:val="15"/>
          <w:u w:val="single" w:color="auto"/>
          <w:color w:val="0000FF"/>
        </w:rPr>
      </w:pPr>
      <w:hyperlink w:anchor="page4">
        <w:r>
          <w:rPr>
            <w:rFonts w:ascii="Arial" w:cs="Arial" w:eastAsia="Arial" w:hAnsi="Arial"/>
            <w:sz w:val="18"/>
            <w:szCs w:val="18"/>
            <w:u w:val="single" w:color="auto"/>
            <w:color w:val="0000FF"/>
          </w:rPr>
          <w:t>99.1</w:t>
        </w:r>
      </w:hyperlink>
      <w:r>
        <w:rPr>
          <w:rFonts w:ascii="Arial" w:cs="Arial" w:eastAsia="Arial" w:hAnsi="Arial"/>
          <w:sz w:val="18"/>
          <w:szCs w:val="18"/>
          <w:u w:val="single" w:color="auto"/>
          <w:color w:val="0000FF"/>
        </w:rPr>
        <w:tab/>
      </w:r>
      <w:hyperlink w:anchor="page4">
        <w:r>
          <w:rPr>
            <w:rFonts w:ascii="Arial" w:cs="Arial" w:eastAsia="Arial" w:hAnsi="Arial"/>
            <w:sz w:val="15"/>
            <w:szCs w:val="15"/>
            <w:u w:val="single" w:color="auto"/>
            <w:color w:val="0000FF"/>
          </w:rPr>
          <w:t>Press release issued by Veracyte, Inc. dated February 27, 2018.</w:t>
        </w:r>
      </w:hyperlink>
    </w:p>
    <w:p>
      <w:pPr>
        <w:sectPr>
          <w:pgSz w:w="11900" w:h="16838" w:orient="portrait"/>
          <w:cols w:equalWidth="0" w:num="1">
            <w:col w:w="11420"/>
          </w:cols>
          <w:pgMar w:left="240" w:top="580"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337" w:lineRule="exact"/>
        <w:rPr>
          <w:sz w:val="20"/>
          <w:szCs w:val="20"/>
          <w:color w:val="auto"/>
        </w:rPr>
      </w:pPr>
    </w:p>
    <w:p>
      <w:pPr>
        <w:ind w:right="580" w:firstLine="5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40"/>
        <w:spacing w:after="0"/>
        <w:tabs>
          <w:tab w:leader="none" w:pos="10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February 27, 2018</w:t>
      </w:r>
    </w:p>
    <w:p>
      <w:pPr>
        <w:spacing w:after="0" w:line="387"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VERACYTE, INC.</w:t>
      </w:r>
    </w:p>
    <w:p>
      <w:pPr>
        <w:spacing w:after="0" w:line="387" w:lineRule="exact"/>
        <w:rPr>
          <w:sz w:val="20"/>
          <w:szCs w:val="20"/>
          <w:color w:val="auto"/>
        </w:rPr>
      </w:pPr>
    </w:p>
    <w:tbl>
      <w:tblPr>
        <w:tblLayout w:type="fixed"/>
        <w:tblInd w:w="432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6200" w:type="dxa"/>
            <w:vAlign w:val="bottom"/>
          </w:tcPr>
          <w:p>
            <w:pPr>
              <w:ind w:left="80"/>
              <w:spacing w:after="0"/>
              <w:rPr>
                <w:sz w:val="20"/>
                <w:szCs w:val="20"/>
                <w:color w:val="auto"/>
              </w:rPr>
            </w:pPr>
            <w:r>
              <w:rPr>
                <w:rFonts w:ascii="Arial" w:cs="Arial" w:eastAsia="Arial" w:hAnsi="Arial"/>
                <w:sz w:val="18"/>
                <w:szCs w:val="18"/>
                <w:color w:val="auto"/>
              </w:rPr>
              <w:t>/s/ Keith S. Kennedy</w:t>
            </w:r>
          </w:p>
        </w:tc>
        <w:tc>
          <w:tcPr>
            <w:tcW w:w="0" w:type="dxa"/>
            <w:vAlign w:val="bottom"/>
          </w:tcPr>
          <w:p>
            <w:pPr>
              <w:spacing w:after="0"/>
              <w:rPr>
                <w:sz w:val="1"/>
                <w:szCs w:val="1"/>
                <w:color w:val="auto"/>
              </w:rPr>
            </w:pPr>
          </w:p>
        </w:tc>
      </w:tr>
      <w:tr>
        <w:trPr>
          <w:trHeight w:val="54"/>
        </w:trPr>
        <w:tc>
          <w:tcPr>
            <w:tcW w:w="8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6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840" w:type="dxa"/>
            <w:vAlign w:val="bottom"/>
            <w:vMerge w:val="continue"/>
          </w:tcPr>
          <w:p>
            <w:pPr>
              <w:spacing w:after="0"/>
              <w:rPr>
                <w:sz w:val="20"/>
                <w:szCs w:val="20"/>
                <w:color w:val="auto"/>
              </w:rPr>
            </w:pPr>
          </w:p>
        </w:tc>
        <w:tc>
          <w:tcPr>
            <w:tcW w:w="6200" w:type="dxa"/>
            <w:vAlign w:val="bottom"/>
          </w:tcPr>
          <w:p>
            <w:pPr>
              <w:ind w:left="80"/>
              <w:spacing w:after="0"/>
              <w:rPr>
                <w:sz w:val="20"/>
                <w:szCs w:val="20"/>
                <w:color w:val="auto"/>
              </w:rPr>
            </w:pPr>
            <w:r>
              <w:rPr>
                <w:rFonts w:ascii="Arial" w:cs="Arial" w:eastAsia="Arial" w:hAnsi="Arial"/>
                <w:sz w:val="18"/>
                <w:szCs w:val="18"/>
                <w:color w:val="auto"/>
              </w:rPr>
              <w:t>Keith S. Kennedy</w:t>
            </w:r>
          </w:p>
        </w:tc>
        <w:tc>
          <w:tcPr>
            <w:tcW w:w="0" w:type="dxa"/>
            <w:vAlign w:val="bottom"/>
          </w:tcPr>
          <w:p>
            <w:pPr>
              <w:spacing w:after="0"/>
              <w:rPr>
                <w:sz w:val="1"/>
                <w:szCs w:val="1"/>
                <w:color w:val="auto"/>
              </w:rPr>
            </w:pPr>
          </w:p>
        </w:tc>
      </w:tr>
      <w:tr>
        <w:trPr>
          <w:trHeight w:val="297"/>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6200" w:type="dxa"/>
            <w:vAlign w:val="bottom"/>
          </w:tcPr>
          <w:p>
            <w:pPr>
              <w:ind w:left="80"/>
              <w:spacing w:after="0"/>
              <w:rPr>
                <w:sz w:val="20"/>
                <w:szCs w:val="20"/>
                <w:color w:val="auto"/>
              </w:rPr>
            </w:pPr>
            <w:r>
              <w:rPr>
                <w:rFonts w:ascii="Arial" w:cs="Arial" w:eastAsia="Arial" w:hAnsi="Arial"/>
                <w:sz w:val="18"/>
                <w:szCs w:val="18"/>
                <w:i w:val="1"/>
                <w:iCs w:val="1"/>
                <w:color w:val="auto"/>
              </w:rPr>
              <w:t>Chief Financial Officer</w:t>
            </w:r>
          </w:p>
        </w:tc>
        <w:tc>
          <w:tcPr>
            <w:tcW w:w="0" w:type="dxa"/>
            <w:vAlign w:val="bottom"/>
          </w:tcPr>
          <w:p>
            <w:pPr>
              <w:spacing w:after="0"/>
              <w:rPr>
                <w:sz w:val="1"/>
                <w:szCs w:val="1"/>
                <w:color w:val="auto"/>
              </w:rPr>
            </w:pPr>
          </w:p>
        </w:tc>
      </w:tr>
      <w:tr>
        <w:trPr>
          <w:trHeight w:val="297"/>
        </w:trPr>
        <w:tc>
          <w:tcPr>
            <w:tcW w:w="840" w:type="dxa"/>
            <w:vAlign w:val="bottom"/>
          </w:tcPr>
          <w:p>
            <w:pPr>
              <w:spacing w:after="0"/>
              <w:rPr>
                <w:sz w:val="24"/>
                <w:szCs w:val="24"/>
                <w:color w:val="auto"/>
              </w:rPr>
            </w:pPr>
          </w:p>
        </w:tc>
        <w:tc>
          <w:tcPr>
            <w:tcW w:w="6200" w:type="dxa"/>
            <w:vAlign w:val="bottom"/>
          </w:tcPr>
          <w:p>
            <w:pPr>
              <w:ind w:left="80"/>
              <w:spacing w:after="0"/>
              <w:rPr>
                <w:sz w:val="20"/>
                <w:szCs w:val="20"/>
                <w:color w:val="auto"/>
              </w:rPr>
            </w:pPr>
            <w:r>
              <w:rPr>
                <w:rFonts w:ascii="Arial" w:cs="Arial" w:eastAsia="Arial" w:hAnsi="Arial"/>
                <w:sz w:val="18"/>
                <w:szCs w:val="18"/>
                <w:i w:val="1"/>
                <w:iCs w:val="1"/>
                <w:color w:val="auto"/>
              </w:rPr>
              <w:t>(Principal Financial and Accounting Officer)</w:t>
            </w:r>
          </w:p>
        </w:tc>
        <w:tc>
          <w:tcPr>
            <w:tcW w:w="0" w:type="dxa"/>
            <w:vAlign w:val="bottom"/>
          </w:tcPr>
          <w:p>
            <w:pPr>
              <w:spacing w:after="0"/>
              <w:rPr>
                <w:sz w:val="1"/>
                <w:szCs w:val="1"/>
                <w:color w:val="auto"/>
              </w:rPr>
            </w:pPr>
          </w:p>
        </w:tc>
      </w:tr>
    </w:tbl>
    <w:p>
      <w:pPr>
        <w:sectPr>
          <w:pgSz w:w="11900" w:h="16838" w:orient="portrait"/>
          <w:cols w:equalWidth="0" w:num="1">
            <w:col w:w="11360"/>
          </w:cols>
          <w:pgMar w:left="240" w:top="580" w:right="2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157480</wp:posOffset>
            </wp:positionV>
            <wp:extent cx="1166495" cy="875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66495"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Announces Fourth Quarter and Full-Year 2017 Financial Results,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Provides 2018 Financial Outlook</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Full-Year Revenue Grew 11%, to $72.0 Million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Announces Upcoming Launch of Afirma Xpression Atlas Platform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Conference Call and Webcast Today at 4:30 p.m. ET</w:t>
      </w:r>
    </w:p>
    <w:p>
      <w:pPr>
        <w:spacing w:after="0" w:line="200" w:lineRule="exact"/>
        <w:rPr>
          <w:sz w:val="20"/>
          <w:szCs w:val="20"/>
          <w:color w:val="auto"/>
        </w:rPr>
      </w:pPr>
    </w:p>
    <w:p>
      <w:pPr>
        <w:spacing w:after="0" w:line="259"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SOUTH SAN FRANCISCO, Calif., February 27, 2018 --- Veracyte, Inc. (Nasdaq: VCYT) today announced financial results and business progress for the quarter and full year ended December 31, 2017, and provided financial guidance for 2018.</w:t>
      </w:r>
    </w:p>
    <w:p>
      <w:pPr>
        <w:spacing w:after="0" w:line="19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delivered a solid year of growth in 2017,” said Bonnie Anderson, chairman and chief executive officer of Veracyte. “We continued to grow the Afirma franchise in thyroid cancer diagnosis and expanded payer coverage and contracts. We also launched our RNA sequencing-based Afirma Genomic Sequencing Classifier and will soon introduce our Afirma Xpression Atlas platform. We believe these advances will offer physicians a one-stop shop in thyroid cancer diagnosis and position us well for further growth and future product innovation.”</w:t>
      </w:r>
    </w:p>
    <w:p>
      <w:pPr>
        <w:spacing w:after="0" w:line="204"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 pulmonology, we built a strong foundation to advance market uptake of the Percepta classifier in lung cancer screening and diagnosis and moved our Envisia Genomic Classifier for the diagnosis of idiopathic pulmonary fibrosis toward Medicare reimbursement and expanded commercialization. We enter 2018 with a stronger, more efficient operational structure and a robust, multi-product commercial team that we believe is poised to drive revenue growth across our endocrinology and pulmonology franchises.”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and Full-Year 2017 Financial Results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twelve-month periods ended December 31, 2017, compared to the prior year:</w:t>
      </w:r>
    </w:p>
    <w:p>
      <w:pPr>
        <w:spacing w:after="0" w:line="207" w:lineRule="exact"/>
        <w:rPr>
          <w:sz w:val="20"/>
          <w:szCs w:val="20"/>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was $19.6 million and $72.0 million, respectively, an increase of 7% and 11%;</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Genomic Volume </w:t>
      </w:r>
      <w:r>
        <w:rPr>
          <w:rFonts w:ascii="Arial" w:cs="Arial" w:eastAsia="Arial" w:hAnsi="Arial"/>
          <w:sz w:val="18"/>
          <w:szCs w:val="18"/>
          <w:color w:val="auto"/>
        </w:rPr>
        <w:t>was 7,153 and 26,026 reported tests, respectively, an increase of 13% and 12%;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was 60% and 61%, respectively, a decline of 4% and flat to prior year;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Operating Expenses, Excluding Cost of Revenue, </w:t>
      </w:r>
      <w:r>
        <w:rPr>
          <w:rFonts w:ascii="Arial" w:cs="Arial" w:eastAsia="Arial" w:hAnsi="Arial"/>
          <w:sz w:val="18"/>
          <w:szCs w:val="18"/>
          <w:color w:val="auto"/>
        </w:rPr>
        <w:t>were $17.9 million and $70.3 million, respectively, an increase of 16% and 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Net Loss and Comprehensive Loss </w:t>
      </w:r>
      <w:r>
        <w:rPr>
          <w:rFonts w:ascii="Arial" w:cs="Arial" w:eastAsia="Arial" w:hAnsi="Arial"/>
          <w:sz w:val="18"/>
          <w:szCs w:val="18"/>
          <w:color w:val="auto"/>
        </w:rPr>
        <w:t>was ($8.4) million and ($31.0) million, respectively, an increase of 92% and decrease of 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Basic and Diluted Net Loss Per Common Share </w:t>
      </w:r>
      <w:r>
        <w:rPr>
          <w:rFonts w:ascii="Arial" w:cs="Arial" w:eastAsia="Arial" w:hAnsi="Arial"/>
          <w:sz w:val="18"/>
          <w:szCs w:val="18"/>
          <w:color w:val="auto"/>
        </w:rPr>
        <w:t>was ($0.24) and ($0.91), respectively, an increase of 71% and decrease of 17%;</w:t>
      </w:r>
    </w:p>
    <w:p>
      <w:pPr>
        <w:spacing w:after="0" w:line="9" w:lineRule="exact"/>
        <w:rPr>
          <w:rFonts w:ascii="Arial" w:cs="Arial" w:eastAsia="Arial" w:hAnsi="Arial"/>
          <w:sz w:val="18"/>
          <w:szCs w:val="18"/>
          <w:color w:val="auto"/>
        </w:rPr>
      </w:pPr>
    </w:p>
    <w:p>
      <w:pPr>
        <w:ind w:left="660" w:hanging="328"/>
        <w:spacing w:after="0" w:line="214"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Cash Burn</w:t>
      </w:r>
      <w:r>
        <w:rPr>
          <w:rFonts w:ascii="Arial" w:cs="Arial" w:eastAsia="Arial" w:hAnsi="Arial"/>
          <w:sz w:val="21"/>
          <w:szCs w:val="21"/>
          <w:i w:val="1"/>
          <w:iCs w:val="1"/>
          <w:color w:val="auto"/>
          <w:vertAlign w:val="superscript"/>
        </w:rPr>
        <w:t>(1)</w:t>
      </w:r>
      <w:r>
        <w:rPr>
          <w:rFonts w:ascii="Arial" w:cs="Arial" w:eastAsia="Arial" w:hAnsi="Arial"/>
          <w:sz w:val="18"/>
          <w:szCs w:val="18"/>
          <w:i w:val="1"/>
          <w:iCs w:val="1"/>
          <w:color w:val="auto"/>
        </w:rPr>
        <w:t xml:space="preserve"> </w:t>
      </w:r>
      <w:r>
        <w:rPr>
          <w:rFonts w:ascii="Arial" w:cs="Arial" w:eastAsia="Arial" w:hAnsi="Arial"/>
          <w:sz w:val="18"/>
          <w:szCs w:val="18"/>
          <w:color w:val="auto"/>
        </w:rPr>
        <w:t>was $6.1 million and $25.2 million, respectively, an increase of 31% and improvement of 22%; and</w:t>
      </w: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was $33.9 million at December 31, 2017.</w:t>
      </w:r>
    </w:p>
    <w:p>
      <w:pPr>
        <w:spacing w:after="0" w:line="211" w:lineRule="exact"/>
        <w:rPr>
          <w:rFonts w:ascii="Arial" w:cs="Arial" w:eastAsia="Arial" w:hAnsi="Arial"/>
          <w:sz w:val="18"/>
          <w:szCs w:val="18"/>
          <w:color w:val="auto"/>
        </w:rPr>
      </w:pPr>
    </w:p>
    <w:p>
      <w:pPr>
        <w:ind w:right="160" w:firstLine="8"/>
        <w:spacing w:after="0" w:line="277"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A reconciliation of net cash used in operating activities to cash burn has been provided in the financial statement tables included in this press release. An explanation of cash burn is also included below under the heading “Non-GAAP Financial Measures.”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and Recent Business Highlights</w:t>
      </w:r>
    </w:p>
    <w:p>
      <w:pPr>
        <w:sectPr>
          <w:pgSz w:w="11900" w:h="16838" w:orient="portrait"/>
          <w:cols w:equalWidth="0" w:num="1">
            <w:col w:w="11420"/>
          </w:cols>
          <w:pgMar w:left="240" w:top="576"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Commercial Expansion:</w:t>
      </w:r>
    </w:p>
    <w:p>
      <w:pPr>
        <w:spacing w:after="0" w:line="243" w:lineRule="exact"/>
        <w:rPr>
          <w:sz w:val="20"/>
          <w:szCs w:val="20"/>
          <w:color w:val="auto"/>
        </w:rPr>
      </w:pPr>
    </w:p>
    <w:p>
      <w:pPr>
        <w:ind w:left="660" w:right="3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January 2018, achieved the milestone of 100,000 Afirma tests performed to date, with an estimated 40,000 unnecessary thyroid surgeries saved, penetrating the market by an estimated 35%.</w:t>
      </w:r>
    </w:p>
    <w:p>
      <w:pPr>
        <w:ind w:left="660" w:right="3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Launched the next-generation Afirma Genomic Sequencing Classifier on our RNA sequencing platform, further improving the test’s performance and expanding our comprehensive biorepository of genomic content to fuel future product innovation.</w:t>
      </w:r>
    </w:p>
    <w:p>
      <w:pPr>
        <w:ind w:left="660" w:right="4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Announced upcoming launch of the Afirma Xpression Atlas platform, providing physicians the most comprehensive genomic data available in a single assay to further inform surgery and treatment decisions for patients with suspected thyroid cancer.</w:t>
      </w:r>
    </w:p>
    <w:p>
      <w:pPr>
        <w:ind w:left="660" w:right="3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the year, structured and significantly expanded our multi-product sales team by over 40% during the year, in preparation for driving Percepta growth in 2018.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Progress:</w:t>
      </w:r>
    </w:p>
    <w:p>
      <w:pPr>
        <w:spacing w:after="0" w:line="243" w:lineRule="exact"/>
        <w:rPr>
          <w:sz w:val="20"/>
          <w:szCs w:val="20"/>
          <w:color w:val="auto"/>
        </w:rPr>
      </w:pPr>
    </w:p>
    <w:p>
      <w:pPr>
        <w:ind w:left="660" w:right="28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Expanded the number of covered lives for Afirma by 70 million during 2017, bringing the total number of patients covered for the genomic test through their health insurers to over 275 million, including nearly 120 million Blues plan members, as of December 31, 2017.</w:t>
      </w:r>
    </w:p>
    <w:p>
      <w:pPr>
        <w:spacing w:after="0" w:line="1"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Expanded the number of contracted lives for Afirma by nearly 20 million during 2017, making the test an in-network covered benefit for over 175 million people, including nearly 45 million Blues plan members, as of December 31, 2017.</w:t>
      </w:r>
    </w:p>
    <w:p>
      <w:pPr>
        <w:ind w:left="660" w:right="18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Gained final Medicare coverage for Percepta through the MolDX program in May 2017, making it the first genomic test to be covered for use in lung cancer screening and diagnosis. The test is now available as a covered benefit for the nearly 60 million Medicare enrollees nationwide.</w:t>
      </w:r>
    </w:p>
    <w:p>
      <w:pPr>
        <w:spacing w:after="0" w:line="1" w:lineRule="exact"/>
        <w:rPr>
          <w:rFonts w:ascii="Arial" w:cs="Arial" w:eastAsia="Arial" w:hAnsi="Arial"/>
          <w:sz w:val="18"/>
          <w:szCs w:val="18"/>
          <w:color w:val="auto"/>
        </w:rPr>
      </w:pPr>
    </w:p>
    <w:p>
      <w:pPr>
        <w:ind w:left="660" w:right="30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Achieved Medicare pricing stability and transparency for Afirma through the Protecting Access to Medicare Act of 2014 (PAMA) implementation in January 2018, resulting in an increased reimbursement rate of approximately $3,600 per test from approximately $3,200 per test.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Completed the package of clinical evidence needed to target Medicare coverage for the Envisia Genomic Classifier in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Evidence Development:</w:t>
      </w:r>
    </w:p>
    <w:p>
      <w:pPr>
        <w:spacing w:after="0" w:line="243" w:lineRule="exact"/>
        <w:rPr>
          <w:sz w:val="20"/>
          <w:szCs w:val="20"/>
          <w:color w:val="auto"/>
        </w:rPr>
      </w:pPr>
    </w:p>
    <w:p>
      <w:pPr>
        <w:jc w:val="both"/>
        <w:ind w:left="660" w:right="2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Afirma - Presented 14 Afirma abstracts at four medical conferences, including four clinical utility studies demonstrating the long-term durability of a benign genomic test result during up to six years of follow-up and seven studies showing the enhanced Afirma GSC’s ability to identify significantly more benign thyroid nodules than the original Afirma test.</w:t>
      </w:r>
    </w:p>
    <w:p>
      <w:pPr>
        <w:spacing w:after="0" w:line="1"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Percepta - Presented three studies at major medical meetings demonstrating the clinical utility of the Percepta classifier and published a study in the </w:t>
      </w:r>
      <w:r>
        <w:rPr>
          <w:rFonts w:ascii="Arial" w:cs="Arial" w:eastAsia="Arial" w:hAnsi="Arial"/>
          <w:sz w:val="18"/>
          <w:szCs w:val="18"/>
          <w:i w:val="1"/>
          <w:iCs w:val="1"/>
          <w:color w:val="auto"/>
        </w:rPr>
        <w:t>Journal of Thoracic Oncology</w:t>
      </w:r>
      <w:r>
        <w:rPr>
          <w:rFonts w:ascii="Arial" w:cs="Arial" w:eastAsia="Arial" w:hAnsi="Arial"/>
          <w:sz w:val="18"/>
          <w:szCs w:val="18"/>
          <w:color w:val="auto"/>
        </w:rPr>
        <w:t xml:space="preserve"> demonstrating the genomic test’s cost-effectiveness.</w:t>
      </w:r>
    </w:p>
    <w:p>
      <w:pPr>
        <w:ind w:left="660" w:right="400" w:hanging="328"/>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Envisia - Presented five abstracts at leading pulmonology meetings and published three studies demonstrating the clinical validity, clinical utility and/or analytical verification of the Envisia classifier.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Outlook</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Veracyte expects to achieve full-year 2018 revenue in the range of $81 million to $83 million, with a cash burn in the range of $18 million to $22 million.</w:t>
      </w:r>
    </w:p>
    <w:p>
      <w:pPr>
        <w:spacing w:after="0" w:line="196"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 above guidance for the full year of 2018 includes the adoption of ASC 606, which is effective January 1, 2018. We believe that the adoption of ASC 606 will not result in a material cumulative catch-up adjustment under the modified retrospective method, or have a material impact on our financial position or results of operations. We have not reconciled our guidance with respect to cash burn to net cash used in operating activities because certain items that impact this measure are uncertain or out of our control, or cannot be reasonably predicted. Accordingly, a reconciliation of cash burn to net cash used in operating activities is not available without unreasonable effort.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 Details</w:t>
      </w:r>
    </w:p>
    <w:p>
      <w:pPr>
        <w:spacing w:after="0" w:line="247"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Veracyte will host a conference call and webcast today at 4:30 p.m. Eastern Time to discuss the company's financial results and provide a general business update. The call may be accessed as follows:</w:t>
      </w:r>
    </w:p>
    <w:p>
      <w:pPr>
        <w:sectPr>
          <w:pgSz w:w="11900" w:h="16838" w:orient="portrait"/>
          <w:cols w:equalWidth="0" w:num="1">
            <w:col w:w="11380"/>
          </w:cols>
          <w:pgMar w:left="240" w:top="580" w:right="27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u w:val="single" w:color="auto"/>
          <w:color w:val="auto"/>
        </w:rPr>
        <w:t>Veracyte Fourth Quarter 2017 Conference Call</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4:30 p.m. ET Today</w:t>
      </w:r>
    </w:p>
    <w:p>
      <w:pPr>
        <w:spacing w:after="0" w:line="3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Website: http://investor.veracyte.com</w:t>
      </w:r>
    </w:p>
    <w:p>
      <w:pPr>
        <w:spacing w:after="0" w:line="63"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Dial-in number (U.S.): (855) 541-0980</w:t>
      </w:r>
    </w:p>
    <w:p>
      <w:pPr>
        <w:spacing w:after="0" w:line="63"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International number: (970) 315-0440</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Conference ID: 6179798</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webcast replay will be available on the company’s website approximately two hours following completion of the call.</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Veracyte</w:t>
      </w:r>
    </w:p>
    <w:p>
      <w:pPr>
        <w:spacing w:after="0" w:line="3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Veracyte (Nasdaq: VCYT) is a leading genomic diagnostics company that is providing trustworthy and actionable answers that fundamentally improve patient care when current diagnostic tests are uncertain. The company's products uniquely combine genomic technology, clinical science and machine learning to provide answers that give physicians and patients a clear path forward without risky, costly surgery that is often unnecessary. Since its founding in 2008, Veracyte has commercialized three genomic tests, which are transforming the diagnosis of thyroid cancer, lung cancer and idiopathic pulmonary fibrosis and collectively target a $2 billion market opportunity. Veracyte is based in South San Francisco, California. For more information, please visit www.veracyte.com and follow the company on Twitter (@veracyte).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Veracyte, Afirma, Percepta, Envisia, the Veracyte logo, and the Afirma logo are trademarks of Veracyte, Inc.</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3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Forward-looking statements can be identified by words such as: "anticipate," "intend," "plan," "expect," "believe," "should," "may," "will" and similar references to future periods. Examples of forward-looking statements include, among others, statements we make regarding our belief that we have a strong foundation in place to drive revenue growth, our beliefs regarding momentum in our business and potential drivers of future growth, our expectations regarding full-year 2018 revenue and cash burn, our introduction of our Afirma Xpression Atlas platform, our expectations regarding our ability to receive Medicare reimbursement and expand commercialization of our Envisia Genomic Classifier and our ability to drive revenue growth across our endocrinology and pulmonology franchises. Forward-looking statements are neither historical facts nor assurances of future performance. Instead, they are based only on our current beliefs, expectations and assumptions regarding the future of our business, future plans and strategies, anticipated events and trends, the economy and other future conditions. Forward-looking statements involve risks and uncertainties, which could cause actual results to differ materially, and reported results should not be considered as an indication of future performance. These risks and uncertainties include, but are not limited to our history of losses since inception; our ability to enhance the performance of our Afirma classifier; our ability to successfully transition to our next-generation Afirma Genomic Sequencing Classifier; the performance and acceptance of our Percepta and Envisia classifiers; our ability to increase usage of and reimbursement for the Afirma and Percepta classifiers and to obtain adequate reimbursement for our Envisia classifier, as well as any future products we may develop or sell; our ability to continue our momentum and growth; our dependence on a few payers for a significant portion of our revenue; the complexity, time and expense associated with billing and collecting from payers for our classifiers; laws and regulations applicable to our business, including potential regulation by the Food and Drug Administration or other regulatory bodies; our ability to develop and commercialize new products and the timing and speed of commercialization; the amount by which use of our products is able to reduce invasive procedures and reduce healthcare costs; our ability to achieve sales penetration in complex commercial accounts; the occurrence and outcome of clinical studies; the timing and publication of study results; the applicability of clinical results to actual outcomes; the continued application of clinical guidelines to our products and their inclusion in such clinical practice guidelines; our ability to compete; our ability to obtain capital when needed; and other risks set forth in the company's filings with the Securities and Exchange Commission, including the risks set forth in the company's Annual Report on Form 10-K for the year ended December 31, 2017. These forward-looking statements speak only as of the date hereof and Veracyte specifically disclaims any obligation to update these forward-looking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3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To supplement our financial statements prepared in accordance with generally accepted accounting principles in the United States (GAAP), we monitor and consider cash burn, which is a non-GAAP financial measure. This non-</w:t>
      </w:r>
    </w:p>
    <w:p>
      <w:pPr>
        <w:sectPr>
          <w:pgSz w:w="11900" w:h="16838" w:orient="portrait"/>
          <w:cols w:equalWidth="0" w:num="1">
            <w:col w:w="11380"/>
          </w:cols>
          <w:pgMar w:left="240" w:top="738" w:right="279" w:bottom="1440" w:gutter="0" w:footer="0" w:header="0"/>
        </w:sectPr>
      </w:pPr>
    </w:p>
    <w:bookmarkStart w:id="6" w:name="page7"/>
    <w:bookmarkEnd w:id="6"/>
    <w:p>
      <w:pPr>
        <w:spacing w:after="0" w:line="251" w:lineRule="auto"/>
        <w:rPr>
          <w:sz w:val="20"/>
          <w:szCs w:val="20"/>
          <w:color w:val="auto"/>
        </w:rPr>
      </w:pPr>
      <w:r>
        <w:rPr>
          <w:rFonts w:ascii="Arial" w:cs="Arial" w:eastAsia="Arial" w:hAnsi="Arial"/>
          <w:sz w:val="18"/>
          <w:szCs w:val="18"/>
          <w:color w:val="auto"/>
        </w:rPr>
        <w:t>GAAP financial measure is not based on any standardized methodology prescribed by GAAP and is not necessarily comparable to similarly-titled measures presented by other companies. We define cash burn as net cash used in operating activities plus net capital expenditures, such as net purchases of property and equipment. We believe cash burn to be a liquidity measure that provides useful information to management and investors about the amount of cash consumed by the operations of the business, including our purchases of property and equipment. A limitation of using this non-GAAP measure is that cash burn does not represent the total change in cash and cash equivalents for the period because it excludes cash provided by or used for other investing and financing activities. We account for this limitation by providing information about our capital expenditures and other investing and financing activities in the statements of cash flows in our financial statements in our most recent Quarterly Report on Form 10-Q and Annual Report on Form 10-K and by presenting cash flows from investing and financing activities in our reconciliation of cash burn. In addition, it is important to note that other companies, including companies in our industry, may not use cash burn, may calculate cash burn in a different manner than we do or may use other financial measures to evaluate their performance, all of which could reduce the usefulness of cash burn as a comparative measure.</w:t>
      </w:r>
    </w:p>
    <w:p>
      <w:pPr>
        <w:spacing w:after="0" w:line="212"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Because of these limitations, cash burn should not be considered in isolation from, or as a substitute for, financial information prepared in accordance with GAAP. Investors are encouraged to review the reconciliation of cash burn to net cash used in operating activities provided in the tables below.</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VERACYTE, INC.</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share and per share amounts)</w:t>
      </w:r>
    </w:p>
    <w:p>
      <w:pPr>
        <w:spacing w:after="0" w:line="342"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5400" w:type="dxa"/>
            <w:vAlign w:val="bottom"/>
          </w:tcPr>
          <w:p>
            <w:pPr>
              <w:spacing w:after="0"/>
              <w:rPr>
                <w:sz w:val="17"/>
                <w:szCs w:val="17"/>
                <w:color w:val="auto"/>
              </w:rPr>
            </w:pPr>
          </w:p>
        </w:tc>
        <w:tc>
          <w:tcPr>
            <w:tcW w:w="2940" w:type="dxa"/>
            <w:vAlign w:val="bottom"/>
            <w:gridSpan w:val="6"/>
          </w:tcPr>
          <w:p>
            <w:pPr>
              <w:ind w:left="80"/>
              <w:spacing w:after="0"/>
              <w:rPr>
                <w:sz w:val="20"/>
                <w:szCs w:val="20"/>
                <w:color w:val="auto"/>
              </w:rPr>
            </w:pPr>
            <w:r>
              <w:rPr>
                <w:rFonts w:ascii="Arial" w:cs="Arial" w:eastAsia="Arial" w:hAnsi="Arial"/>
                <w:sz w:val="18"/>
                <w:szCs w:val="18"/>
                <w:b w:val="1"/>
                <w:bCs w:val="1"/>
                <w:color w:val="auto"/>
              </w:rPr>
              <w:t>Three Months Ended December</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54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31,</w:t>
            </w:r>
          </w:p>
        </w:tc>
        <w:tc>
          <w:tcPr>
            <w:tcW w:w="11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64"/>
        </w:trPr>
        <w:tc>
          <w:tcPr>
            <w:tcW w:w="54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43"/>
        </w:trPr>
        <w:tc>
          <w:tcPr>
            <w:tcW w:w="5400" w:type="dxa"/>
            <w:vAlign w:val="bottom"/>
          </w:tcPr>
          <w:p>
            <w:pPr>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19,596</w:t>
            </w:r>
          </w:p>
        </w:tc>
        <w:tc>
          <w:tcPr>
            <w:tcW w:w="100" w:type="dxa"/>
            <w:vAlign w:val="bottom"/>
          </w:tcPr>
          <w:p>
            <w:pPr>
              <w:spacing w:after="0"/>
              <w:rPr>
                <w:sz w:val="21"/>
                <w:szCs w:val="21"/>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18,257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71,953</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65,085</w:t>
            </w:r>
          </w:p>
        </w:tc>
        <w:tc>
          <w:tcPr>
            <w:tcW w:w="0" w:type="dxa"/>
            <w:vAlign w:val="bottom"/>
          </w:tcPr>
          <w:p>
            <w:pPr>
              <w:spacing w:after="0"/>
              <w:rPr>
                <w:sz w:val="1"/>
                <w:szCs w:val="1"/>
                <w:color w:val="auto"/>
              </w:rPr>
            </w:pPr>
          </w:p>
        </w:tc>
      </w:tr>
      <w:tr>
        <w:trPr>
          <w:trHeight w:val="270"/>
        </w:trPr>
        <w:tc>
          <w:tcPr>
            <w:tcW w:w="5400" w:type="dxa"/>
            <w:vAlign w:val="bottom"/>
          </w:tcPr>
          <w:p>
            <w:pPr>
              <w:ind w:left="16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00" w:type="dxa"/>
            <w:vAlign w:val="bottom"/>
          </w:tcPr>
          <w:p>
            <w:pPr>
              <w:ind w:left="160"/>
              <w:spacing w:after="0"/>
              <w:rPr>
                <w:sz w:val="20"/>
                <w:szCs w:val="20"/>
                <w:color w:val="auto"/>
              </w:rPr>
            </w:pPr>
            <w:r>
              <w:rPr>
                <w:rFonts w:ascii="Arial" w:cs="Arial" w:eastAsia="Arial" w:hAnsi="Arial"/>
                <w:sz w:val="18"/>
                <w:szCs w:val="18"/>
                <w:color w:val="auto"/>
              </w:rPr>
              <w:t>Cost of revenue</w:t>
            </w:r>
          </w:p>
        </w:tc>
        <w:tc>
          <w:tcPr>
            <w:tcW w:w="24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7,769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6,515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28,195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25,462</w:t>
            </w:r>
          </w:p>
        </w:tc>
        <w:tc>
          <w:tcPr>
            <w:tcW w:w="0" w:type="dxa"/>
            <w:vAlign w:val="bottom"/>
          </w:tcPr>
          <w:p>
            <w:pPr>
              <w:spacing w:after="0"/>
              <w:rPr>
                <w:sz w:val="1"/>
                <w:szCs w:val="1"/>
                <w:color w:val="auto"/>
              </w:rPr>
            </w:pPr>
          </w:p>
        </w:tc>
      </w:tr>
      <w:tr>
        <w:trPr>
          <w:trHeight w:val="270"/>
        </w:trPr>
        <w:tc>
          <w:tcPr>
            <w:tcW w:w="540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3,202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3,590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13,881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15,324</w:t>
            </w:r>
          </w:p>
        </w:tc>
        <w:tc>
          <w:tcPr>
            <w:tcW w:w="0" w:type="dxa"/>
            <w:vAlign w:val="bottom"/>
          </w:tcPr>
          <w:p>
            <w:pPr>
              <w:spacing w:after="0"/>
              <w:rPr>
                <w:sz w:val="1"/>
                <w:szCs w:val="1"/>
                <w:color w:val="auto"/>
              </w:rPr>
            </w:pPr>
          </w:p>
        </w:tc>
      </w:tr>
      <w:tr>
        <w:trPr>
          <w:trHeight w:val="270"/>
        </w:trPr>
        <w:tc>
          <w:tcPr>
            <w:tcW w:w="5400" w:type="dxa"/>
            <w:vAlign w:val="bottom"/>
          </w:tcPr>
          <w:p>
            <w:pPr>
              <w:ind w:left="160"/>
              <w:spacing w:after="0"/>
              <w:rPr>
                <w:sz w:val="20"/>
                <w:szCs w:val="20"/>
                <w:color w:val="auto"/>
              </w:rPr>
            </w:pPr>
            <w:r>
              <w:rPr>
                <w:rFonts w:ascii="Arial" w:cs="Arial" w:eastAsia="Arial" w:hAnsi="Arial"/>
                <w:sz w:val="18"/>
                <w:szCs w:val="18"/>
                <w:color w:val="auto"/>
              </w:rPr>
              <w:t>Selling and marketing</w:t>
            </w:r>
          </w:p>
        </w:tc>
        <w:tc>
          <w:tcPr>
            <w:tcW w:w="24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9,045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5,832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32,260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28,248</w:t>
            </w:r>
          </w:p>
        </w:tc>
        <w:tc>
          <w:tcPr>
            <w:tcW w:w="0" w:type="dxa"/>
            <w:vAlign w:val="bottom"/>
          </w:tcPr>
          <w:p>
            <w:pPr>
              <w:spacing w:after="0"/>
              <w:rPr>
                <w:sz w:val="1"/>
                <w:szCs w:val="1"/>
                <w:color w:val="auto"/>
              </w:rPr>
            </w:pPr>
          </w:p>
        </w:tc>
      </w:tr>
      <w:tr>
        <w:trPr>
          <w:trHeight w:val="270"/>
        </w:trPr>
        <w:tc>
          <w:tcPr>
            <w:tcW w:w="540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5,357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5,725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23,088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23,787</w:t>
            </w:r>
          </w:p>
        </w:tc>
        <w:tc>
          <w:tcPr>
            <w:tcW w:w="0" w:type="dxa"/>
            <w:vAlign w:val="bottom"/>
          </w:tcPr>
          <w:p>
            <w:pPr>
              <w:spacing w:after="0"/>
              <w:rPr>
                <w:sz w:val="1"/>
                <w:szCs w:val="1"/>
                <w:color w:val="auto"/>
              </w:rPr>
            </w:pPr>
          </w:p>
        </w:tc>
      </w:tr>
      <w:tr>
        <w:trPr>
          <w:trHeight w:val="277"/>
        </w:trPr>
        <w:tc>
          <w:tcPr>
            <w:tcW w:w="5400" w:type="dxa"/>
            <w:vAlign w:val="bottom"/>
          </w:tcPr>
          <w:p>
            <w:pPr>
              <w:ind w:left="160"/>
              <w:spacing w:after="0"/>
              <w:rPr>
                <w:sz w:val="20"/>
                <w:szCs w:val="20"/>
                <w:color w:val="auto"/>
              </w:rPr>
            </w:pPr>
            <w:r>
              <w:rPr>
                <w:rFonts w:ascii="Arial" w:cs="Arial" w:eastAsia="Arial" w:hAnsi="Arial"/>
                <w:sz w:val="18"/>
                <w:szCs w:val="18"/>
                <w:color w:val="auto"/>
              </w:rPr>
              <w:t>Intangible asset amortization</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1,067</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50"/>
        </w:trPr>
        <w:tc>
          <w:tcPr>
            <w:tcW w:w="540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25,640</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21,929</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98,491</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93,888</w:t>
            </w:r>
          </w:p>
        </w:tc>
        <w:tc>
          <w:tcPr>
            <w:tcW w:w="0" w:type="dxa"/>
            <w:vAlign w:val="bottom"/>
          </w:tcPr>
          <w:p>
            <w:pPr>
              <w:spacing w:after="0"/>
              <w:rPr>
                <w:sz w:val="1"/>
                <w:szCs w:val="1"/>
                <w:color w:val="auto"/>
              </w:rPr>
            </w:pPr>
          </w:p>
        </w:tc>
      </w:tr>
      <w:tr>
        <w:trPr>
          <w:trHeight w:val="243"/>
        </w:trPr>
        <w:tc>
          <w:tcPr>
            <w:tcW w:w="5400" w:type="dxa"/>
            <w:vAlign w:val="bottom"/>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(26,538)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(28,803)</w:t>
            </w:r>
          </w:p>
        </w:tc>
        <w:tc>
          <w:tcPr>
            <w:tcW w:w="0" w:type="dxa"/>
            <w:vAlign w:val="bottom"/>
          </w:tcPr>
          <w:p>
            <w:pPr>
              <w:spacing w:after="0"/>
              <w:rPr>
                <w:sz w:val="1"/>
                <w:szCs w:val="1"/>
                <w:color w:val="auto"/>
              </w:rPr>
            </w:pPr>
          </w:p>
        </w:tc>
      </w:tr>
      <w:tr>
        <w:trPr>
          <w:trHeight w:val="270"/>
        </w:trPr>
        <w:tc>
          <w:tcPr>
            <w:tcW w:w="540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(2,518)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(4,941)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(2,757)</w:t>
            </w:r>
          </w:p>
        </w:tc>
        <w:tc>
          <w:tcPr>
            <w:tcW w:w="0" w:type="dxa"/>
            <w:vAlign w:val="bottom"/>
          </w:tcPr>
          <w:p>
            <w:pPr>
              <w:spacing w:after="0"/>
              <w:rPr>
                <w:sz w:val="1"/>
                <w:szCs w:val="1"/>
                <w:color w:val="auto"/>
              </w:rPr>
            </w:pPr>
          </w:p>
        </w:tc>
      </w:tr>
      <w:tr>
        <w:trPr>
          <w:trHeight w:val="277"/>
        </w:trPr>
        <w:tc>
          <w:tcPr>
            <w:tcW w:w="5400" w:type="dxa"/>
            <w:vAlign w:val="bottom"/>
          </w:tcPr>
          <w:p>
            <w:pPr>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57"/>
        </w:trPr>
        <w:tc>
          <w:tcPr>
            <w:tcW w:w="540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(8,439)</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(4,403)</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(31,003)</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(31,358)</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00" w:type="dxa"/>
            <w:vAlign w:val="bottom"/>
          </w:tcPr>
          <w:p>
            <w:pPr>
              <w:spacing w:after="0"/>
              <w:rPr>
                <w:sz w:val="20"/>
                <w:szCs w:val="20"/>
                <w:color w:val="auto"/>
              </w:rPr>
            </w:pPr>
            <w:r>
              <w:rPr>
                <w:rFonts w:ascii="Arial" w:cs="Arial" w:eastAsia="Arial" w:hAnsi="Arial"/>
                <w:sz w:val="18"/>
                <w:szCs w:val="18"/>
                <w:color w:val="auto"/>
              </w:rPr>
              <w:t>Net loss per common share, basic and diluted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(0.91)</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color w:val="auto"/>
              </w:rPr>
              <w:t>Shares used to compute net loss per common share, basic and</w:t>
            </w: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4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color w:val="auto"/>
              </w:rPr>
              <w:t>34,055,524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vMerge w:val="restart"/>
          </w:tcPr>
          <w:p>
            <w:pPr>
              <w:jc w:val="right"/>
              <w:ind w:right="30"/>
              <w:spacing w:after="0"/>
              <w:rPr>
                <w:sz w:val="20"/>
                <w:szCs w:val="20"/>
                <w:color w:val="auto"/>
              </w:rPr>
            </w:pPr>
            <w:r>
              <w:rPr>
                <w:rFonts w:ascii="Arial" w:cs="Arial" w:eastAsia="Arial" w:hAnsi="Arial"/>
                <w:sz w:val="18"/>
                <w:szCs w:val="18"/>
                <w:color w:val="auto"/>
              </w:rPr>
              <w:t>31,705,603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vMerge w:val="restart"/>
          </w:tcPr>
          <w:p>
            <w:pPr>
              <w:jc w:val="right"/>
              <w:ind w:right="10"/>
              <w:spacing w:after="0"/>
              <w:rPr>
                <w:sz w:val="20"/>
                <w:szCs w:val="20"/>
                <w:color w:val="auto"/>
              </w:rPr>
            </w:pPr>
            <w:r>
              <w:rPr>
                <w:rFonts w:ascii="Arial" w:cs="Arial" w:eastAsia="Arial" w:hAnsi="Arial"/>
                <w:sz w:val="18"/>
                <w:szCs w:val="18"/>
                <w:color w:val="auto"/>
              </w:rPr>
              <w:t>33,925,617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vMerge w:val="restart"/>
          </w:tcPr>
          <w:p>
            <w:pPr>
              <w:jc w:val="right"/>
              <w:ind w:right="30"/>
              <w:spacing w:after="0"/>
              <w:rPr>
                <w:sz w:val="20"/>
                <w:szCs w:val="20"/>
                <w:color w:val="auto"/>
              </w:rPr>
            </w:pPr>
            <w:r>
              <w:rPr>
                <w:rFonts w:ascii="Arial" w:cs="Arial" w:eastAsia="Arial" w:hAnsi="Arial"/>
                <w:sz w:val="18"/>
                <w:szCs w:val="18"/>
                <w:color w:val="auto"/>
              </w:rPr>
              <w:t>28,830,472</w:t>
            </w:r>
          </w:p>
        </w:tc>
        <w:tc>
          <w:tcPr>
            <w:tcW w:w="0" w:type="dxa"/>
            <w:vAlign w:val="bottom"/>
          </w:tcPr>
          <w:p>
            <w:pPr>
              <w:spacing w:after="0"/>
              <w:rPr>
                <w:sz w:val="1"/>
                <w:szCs w:val="1"/>
                <w:color w:val="auto"/>
              </w:rPr>
            </w:pPr>
          </w:p>
        </w:tc>
      </w:tr>
      <w:tr>
        <w:trPr>
          <w:trHeight w:val="217"/>
        </w:trPr>
        <w:tc>
          <w:tcPr>
            <w:tcW w:w="5400" w:type="dxa"/>
            <w:vAlign w:val="bottom"/>
          </w:tcPr>
          <w:p>
            <w:pPr>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98" w:right="2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VERACYTE, INC.</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BALANCE SHEETS</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of dollars, except share and per share amounts)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63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9"/>
              </w:rPr>
              <w:t>December 31, 2017</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December 31, 2016</w:t>
            </w:r>
          </w:p>
        </w:tc>
        <w:tc>
          <w:tcPr>
            <w:tcW w:w="0" w:type="dxa"/>
            <w:vAlign w:val="bottom"/>
          </w:tcPr>
          <w:p>
            <w:pPr>
              <w:spacing w:after="0"/>
              <w:rPr>
                <w:sz w:val="1"/>
                <w:szCs w:val="1"/>
                <w:color w:val="auto"/>
              </w:rPr>
            </w:pPr>
          </w:p>
        </w:tc>
      </w:tr>
      <w:tr>
        <w:trPr>
          <w:trHeight w:val="243"/>
        </w:trPr>
        <w:tc>
          <w:tcPr>
            <w:tcW w:w="6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(Unaudited)</w:t>
            </w:r>
          </w:p>
        </w:tc>
        <w:tc>
          <w:tcPr>
            <w:tcW w:w="280" w:type="dxa"/>
            <w:vAlign w:val="bottom"/>
          </w:tcPr>
          <w:p>
            <w:pPr>
              <w:spacing w:after="0"/>
              <w:rPr>
                <w:sz w:val="21"/>
                <w:szCs w:val="21"/>
                <w:color w:val="auto"/>
              </w:rPr>
            </w:pPr>
          </w:p>
        </w:tc>
        <w:tc>
          <w:tcPr>
            <w:tcW w:w="2220" w:type="dxa"/>
            <w:vAlign w:val="bottom"/>
          </w:tcPr>
          <w:p>
            <w:pPr>
              <w:jc w:val="right"/>
              <w:ind w:right="650"/>
              <w:spacing w:after="0"/>
              <w:rPr>
                <w:sz w:val="20"/>
                <w:szCs w:val="20"/>
                <w:color w:val="auto"/>
              </w:rPr>
            </w:pPr>
            <w:r>
              <w:rPr>
                <w:rFonts w:ascii="Arial" w:cs="Arial" w:eastAsia="Arial" w:hAnsi="Arial"/>
                <w:sz w:val="18"/>
                <w:szCs w:val="18"/>
                <w:b w:val="1"/>
                <w:bCs w:val="1"/>
                <w:color w:val="auto"/>
              </w:rPr>
              <w:t>(See Note 1)</w:t>
            </w:r>
          </w:p>
        </w:tc>
        <w:tc>
          <w:tcPr>
            <w:tcW w:w="0" w:type="dxa"/>
            <w:vAlign w:val="bottom"/>
          </w:tcPr>
          <w:p>
            <w:pPr>
              <w:spacing w:after="0"/>
              <w:rPr>
                <w:sz w:val="1"/>
                <w:szCs w:val="1"/>
                <w:color w:val="auto"/>
              </w:rPr>
            </w:pPr>
          </w:p>
        </w:tc>
      </w:tr>
      <w:tr>
        <w:trPr>
          <w:trHeight w:val="270"/>
        </w:trPr>
        <w:tc>
          <w:tcPr>
            <w:tcW w:w="630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0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0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140" w:type="dxa"/>
            <w:vAlign w:val="bottom"/>
          </w:tcPr>
          <w:p>
            <w:pPr>
              <w:jc w:val="right"/>
              <w:ind w:right="30"/>
              <w:spacing w:after="0"/>
              <w:rPr>
                <w:sz w:val="20"/>
                <w:szCs w:val="20"/>
                <w:color w:val="auto"/>
              </w:rPr>
            </w:pPr>
            <w:r>
              <w:rPr>
                <w:rFonts w:ascii="Arial" w:cs="Arial" w:eastAsia="Arial" w:hAnsi="Arial"/>
                <w:sz w:val="18"/>
                <w:szCs w:val="18"/>
                <w:color w:val="auto"/>
              </w:rPr>
              <w:t>33,891</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220" w:type="dxa"/>
            <w:vAlign w:val="bottom"/>
          </w:tcPr>
          <w:p>
            <w:pPr>
              <w:jc w:val="right"/>
              <w:ind w:right="30"/>
              <w:spacing w:after="0"/>
              <w:rPr>
                <w:sz w:val="20"/>
                <w:szCs w:val="20"/>
                <w:color w:val="auto"/>
              </w:rPr>
            </w:pPr>
            <w:r>
              <w:rPr>
                <w:rFonts w:ascii="Arial" w:cs="Arial" w:eastAsia="Arial" w:hAnsi="Arial"/>
                <w:sz w:val="18"/>
                <w:szCs w:val="18"/>
                <w:color w:val="auto"/>
              </w:rPr>
              <w:t>59,219</w:t>
            </w:r>
          </w:p>
        </w:tc>
        <w:tc>
          <w:tcPr>
            <w:tcW w:w="0" w:type="dxa"/>
            <w:vAlign w:val="bottom"/>
          </w:tcPr>
          <w:p>
            <w:pPr>
              <w:spacing w:after="0"/>
              <w:rPr>
                <w:sz w:val="1"/>
                <w:szCs w:val="1"/>
                <w:color w:val="auto"/>
              </w:rPr>
            </w:pPr>
          </w:p>
        </w:tc>
      </w:tr>
      <w:tr>
        <w:trPr>
          <w:trHeight w:val="270"/>
        </w:trPr>
        <w:tc>
          <w:tcPr>
            <w:tcW w:w="630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23"/>
                <w:szCs w:val="23"/>
                <w:color w:val="auto"/>
              </w:rPr>
            </w:pPr>
          </w:p>
        </w:tc>
        <w:tc>
          <w:tcPr>
            <w:tcW w:w="2140" w:type="dxa"/>
            <w:vAlign w:val="bottom"/>
          </w:tcPr>
          <w:p>
            <w:pPr>
              <w:jc w:val="right"/>
              <w:ind w:right="30"/>
              <w:spacing w:after="0"/>
              <w:rPr>
                <w:sz w:val="20"/>
                <w:szCs w:val="20"/>
                <w:color w:val="auto"/>
              </w:rPr>
            </w:pPr>
            <w:r>
              <w:rPr>
                <w:rFonts w:ascii="Arial" w:cs="Arial" w:eastAsia="Arial" w:hAnsi="Arial"/>
                <w:sz w:val="18"/>
                <w:szCs w:val="18"/>
                <w:color w:val="auto"/>
              </w:rPr>
              <w:t>12,716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20" w:type="dxa"/>
            <w:vAlign w:val="bottom"/>
          </w:tcPr>
          <w:p>
            <w:pPr>
              <w:jc w:val="right"/>
              <w:ind w:right="30"/>
              <w:spacing w:after="0"/>
              <w:rPr>
                <w:sz w:val="20"/>
                <w:szCs w:val="20"/>
                <w:color w:val="auto"/>
              </w:rPr>
            </w:pPr>
            <w:r>
              <w:rPr>
                <w:rFonts w:ascii="Arial" w:cs="Arial" w:eastAsia="Arial" w:hAnsi="Arial"/>
                <w:sz w:val="18"/>
                <w:szCs w:val="18"/>
                <w:color w:val="auto"/>
              </w:rPr>
              <w:t>8,756</w:t>
            </w:r>
          </w:p>
        </w:tc>
        <w:tc>
          <w:tcPr>
            <w:tcW w:w="0" w:type="dxa"/>
            <w:vAlign w:val="bottom"/>
          </w:tcPr>
          <w:p>
            <w:pPr>
              <w:spacing w:after="0"/>
              <w:rPr>
                <w:sz w:val="1"/>
                <w:szCs w:val="1"/>
                <w:color w:val="auto"/>
              </w:rPr>
            </w:pPr>
          </w:p>
        </w:tc>
      </w:tr>
      <w:tr>
        <w:trPr>
          <w:trHeight w:val="270"/>
        </w:trPr>
        <w:tc>
          <w:tcPr>
            <w:tcW w:w="6300" w:type="dxa"/>
            <w:vAlign w:val="bottom"/>
          </w:tcPr>
          <w:p>
            <w:pPr>
              <w:ind w:left="160"/>
              <w:spacing w:after="0"/>
              <w:rPr>
                <w:sz w:val="20"/>
                <w:szCs w:val="20"/>
                <w:color w:val="auto"/>
              </w:rPr>
            </w:pPr>
            <w:r>
              <w:rPr>
                <w:rFonts w:ascii="Arial" w:cs="Arial" w:eastAsia="Arial" w:hAnsi="Arial"/>
                <w:sz w:val="18"/>
                <w:szCs w:val="18"/>
                <w:color w:val="auto"/>
              </w:rPr>
              <w:t>Supplies inventory</w:t>
            </w:r>
          </w:p>
        </w:tc>
        <w:tc>
          <w:tcPr>
            <w:tcW w:w="260" w:type="dxa"/>
            <w:vAlign w:val="bottom"/>
          </w:tcPr>
          <w:p>
            <w:pPr>
              <w:spacing w:after="0"/>
              <w:rPr>
                <w:sz w:val="23"/>
                <w:szCs w:val="23"/>
                <w:color w:val="auto"/>
              </w:rPr>
            </w:pPr>
          </w:p>
        </w:tc>
        <w:tc>
          <w:tcPr>
            <w:tcW w:w="2140" w:type="dxa"/>
            <w:vAlign w:val="bottom"/>
          </w:tcPr>
          <w:p>
            <w:pPr>
              <w:jc w:val="right"/>
              <w:ind w:right="30"/>
              <w:spacing w:after="0"/>
              <w:rPr>
                <w:sz w:val="20"/>
                <w:szCs w:val="20"/>
                <w:color w:val="auto"/>
              </w:rPr>
            </w:pPr>
            <w:r>
              <w:rPr>
                <w:rFonts w:ascii="Arial" w:cs="Arial" w:eastAsia="Arial" w:hAnsi="Arial"/>
                <w:sz w:val="18"/>
                <w:szCs w:val="18"/>
                <w:color w:val="auto"/>
              </w:rPr>
              <w:t>5,324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20" w:type="dxa"/>
            <w:vAlign w:val="bottom"/>
          </w:tcPr>
          <w:p>
            <w:pPr>
              <w:jc w:val="right"/>
              <w:ind w:right="30"/>
              <w:spacing w:after="0"/>
              <w:rPr>
                <w:sz w:val="20"/>
                <w:szCs w:val="20"/>
                <w:color w:val="auto"/>
              </w:rPr>
            </w:pPr>
            <w:r>
              <w:rPr>
                <w:rFonts w:ascii="Arial" w:cs="Arial" w:eastAsia="Arial" w:hAnsi="Arial"/>
                <w:sz w:val="18"/>
                <w:szCs w:val="18"/>
                <w:color w:val="auto"/>
              </w:rPr>
              <w:t>3,475</w:t>
            </w:r>
          </w:p>
        </w:tc>
        <w:tc>
          <w:tcPr>
            <w:tcW w:w="0" w:type="dxa"/>
            <w:vAlign w:val="bottom"/>
          </w:tcPr>
          <w:p>
            <w:pPr>
              <w:spacing w:after="0"/>
              <w:rPr>
                <w:sz w:val="1"/>
                <w:szCs w:val="1"/>
                <w:color w:val="auto"/>
              </w:rPr>
            </w:pPr>
          </w:p>
        </w:tc>
      </w:tr>
      <w:tr>
        <w:trPr>
          <w:trHeight w:val="270"/>
        </w:trPr>
        <w:tc>
          <w:tcPr>
            <w:tcW w:w="630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23"/>
                <w:szCs w:val="23"/>
                <w:color w:val="auto"/>
              </w:rPr>
            </w:pPr>
          </w:p>
        </w:tc>
        <w:tc>
          <w:tcPr>
            <w:tcW w:w="2140" w:type="dxa"/>
            <w:vAlign w:val="bottom"/>
          </w:tcPr>
          <w:p>
            <w:pPr>
              <w:jc w:val="right"/>
              <w:ind w:right="30"/>
              <w:spacing w:after="0"/>
              <w:rPr>
                <w:sz w:val="20"/>
                <w:szCs w:val="20"/>
                <w:color w:val="auto"/>
              </w:rPr>
            </w:pPr>
            <w:r>
              <w:rPr>
                <w:rFonts w:ascii="Arial" w:cs="Arial" w:eastAsia="Arial" w:hAnsi="Arial"/>
                <w:sz w:val="18"/>
                <w:szCs w:val="18"/>
                <w:color w:val="auto"/>
              </w:rPr>
              <w:t>1,997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20" w:type="dxa"/>
            <w:vAlign w:val="bottom"/>
          </w:tcPr>
          <w:p>
            <w:pPr>
              <w:jc w:val="right"/>
              <w:ind w:right="30"/>
              <w:spacing w:after="0"/>
              <w:rPr>
                <w:sz w:val="20"/>
                <w:szCs w:val="20"/>
                <w:color w:val="auto"/>
              </w:rPr>
            </w:pPr>
            <w:r>
              <w:rPr>
                <w:rFonts w:ascii="Arial" w:cs="Arial" w:eastAsia="Arial" w:hAnsi="Arial"/>
                <w:sz w:val="18"/>
                <w:szCs w:val="18"/>
                <w:color w:val="auto"/>
              </w:rPr>
              <w:t>2,057</w:t>
            </w:r>
          </w:p>
        </w:tc>
        <w:tc>
          <w:tcPr>
            <w:tcW w:w="0" w:type="dxa"/>
            <w:vAlign w:val="bottom"/>
          </w:tcPr>
          <w:p>
            <w:pPr>
              <w:spacing w:after="0"/>
              <w:rPr>
                <w:sz w:val="1"/>
                <w:szCs w:val="1"/>
                <w:color w:val="auto"/>
              </w:rPr>
            </w:pPr>
          </w:p>
        </w:tc>
      </w:tr>
      <w:tr>
        <w:trPr>
          <w:trHeight w:val="277"/>
        </w:trPr>
        <w:tc>
          <w:tcPr>
            <w:tcW w:w="630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24"/>
                <w:szCs w:val="24"/>
                <w:color w:val="auto"/>
              </w:rPr>
            </w:pPr>
          </w:p>
        </w:tc>
        <w:tc>
          <w:tcPr>
            <w:tcW w:w="2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2220" w:type="dxa"/>
            <w:vAlign w:val="bottom"/>
          </w:tcPr>
          <w:p>
            <w:pPr>
              <w:jc w:val="right"/>
              <w:ind w:right="3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43"/>
        </w:trPr>
        <w:tc>
          <w:tcPr>
            <w:tcW w:w="630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1"/>
                <w:szCs w:val="21"/>
                <w:color w:val="auto"/>
              </w:rPr>
            </w:pPr>
          </w:p>
        </w:tc>
        <w:tc>
          <w:tcPr>
            <w:tcW w:w="2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53,928</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2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73,627</w:t>
            </w:r>
          </w:p>
        </w:tc>
        <w:tc>
          <w:tcPr>
            <w:tcW w:w="0" w:type="dxa"/>
            <w:vAlign w:val="bottom"/>
          </w:tcPr>
          <w:p>
            <w:pPr>
              <w:spacing w:after="0"/>
              <w:rPr>
                <w:sz w:val="1"/>
                <w:szCs w:val="1"/>
                <w:color w:val="auto"/>
              </w:rPr>
            </w:pPr>
          </w:p>
        </w:tc>
      </w:tr>
      <w:tr>
        <w:trPr>
          <w:trHeight w:val="270"/>
        </w:trPr>
        <w:tc>
          <w:tcPr>
            <w:tcW w:w="63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23"/>
                <w:szCs w:val="23"/>
                <w:color w:val="auto"/>
              </w:rPr>
            </w:pPr>
          </w:p>
        </w:tc>
        <w:tc>
          <w:tcPr>
            <w:tcW w:w="2140" w:type="dxa"/>
            <w:vAlign w:val="bottom"/>
          </w:tcPr>
          <w:p>
            <w:pPr>
              <w:jc w:val="right"/>
              <w:ind w:right="30"/>
              <w:spacing w:after="0"/>
              <w:rPr>
                <w:sz w:val="20"/>
                <w:szCs w:val="20"/>
                <w:color w:val="auto"/>
              </w:rPr>
            </w:pPr>
            <w:r>
              <w:rPr>
                <w:rFonts w:ascii="Arial" w:cs="Arial" w:eastAsia="Arial" w:hAnsi="Arial"/>
                <w:sz w:val="18"/>
                <w:szCs w:val="18"/>
                <w:color w:val="auto"/>
              </w:rPr>
              <w:t>9,688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20" w:type="dxa"/>
            <w:vAlign w:val="bottom"/>
          </w:tcPr>
          <w:p>
            <w:pPr>
              <w:jc w:val="right"/>
              <w:ind w:right="30"/>
              <w:spacing w:after="0"/>
              <w:rPr>
                <w:sz w:val="20"/>
                <w:szCs w:val="20"/>
                <w:color w:val="auto"/>
              </w:rPr>
            </w:pPr>
            <w:r>
              <w:rPr>
                <w:rFonts w:ascii="Arial" w:cs="Arial" w:eastAsia="Arial" w:hAnsi="Arial"/>
                <w:sz w:val="18"/>
                <w:szCs w:val="18"/>
                <w:color w:val="auto"/>
              </w:rPr>
              <w:t>11,480</w:t>
            </w:r>
          </w:p>
        </w:tc>
        <w:tc>
          <w:tcPr>
            <w:tcW w:w="0" w:type="dxa"/>
            <w:vAlign w:val="bottom"/>
          </w:tcPr>
          <w:p>
            <w:pPr>
              <w:spacing w:after="0"/>
              <w:rPr>
                <w:sz w:val="1"/>
                <w:szCs w:val="1"/>
                <w:color w:val="auto"/>
              </w:rPr>
            </w:pPr>
          </w:p>
        </w:tc>
      </w:tr>
      <w:tr>
        <w:trPr>
          <w:trHeight w:val="270"/>
        </w:trPr>
        <w:tc>
          <w:tcPr>
            <w:tcW w:w="6300" w:type="dxa"/>
            <w:vAlign w:val="bottom"/>
          </w:tcPr>
          <w:p>
            <w:pPr>
              <w:spacing w:after="0"/>
              <w:rPr>
                <w:sz w:val="20"/>
                <w:szCs w:val="20"/>
                <w:color w:val="auto"/>
              </w:rPr>
            </w:pPr>
            <w:r>
              <w:rPr>
                <w:rFonts w:ascii="Arial" w:cs="Arial" w:eastAsia="Arial" w:hAnsi="Arial"/>
                <w:sz w:val="18"/>
                <w:szCs w:val="18"/>
                <w:color w:val="auto"/>
              </w:rPr>
              <w:t>Finite-lived intangible assets, net</w:t>
            </w:r>
          </w:p>
        </w:tc>
        <w:tc>
          <w:tcPr>
            <w:tcW w:w="260" w:type="dxa"/>
            <w:vAlign w:val="bottom"/>
          </w:tcPr>
          <w:p>
            <w:pPr>
              <w:spacing w:after="0"/>
              <w:rPr>
                <w:sz w:val="23"/>
                <w:szCs w:val="23"/>
                <w:color w:val="auto"/>
              </w:rPr>
            </w:pPr>
          </w:p>
        </w:tc>
        <w:tc>
          <w:tcPr>
            <w:tcW w:w="2140" w:type="dxa"/>
            <w:vAlign w:val="bottom"/>
          </w:tcPr>
          <w:p>
            <w:pPr>
              <w:jc w:val="right"/>
              <w:ind w:right="30"/>
              <w:spacing w:after="0"/>
              <w:rPr>
                <w:sz w:val="20"/>
                <w:szCs w:val="20"/>
                <w:color w:val="auto"/>
              </w:rPr>
            </w:pPr>
            <w:r>
              <w:rPr>
                <w:rFonts w:ascii="Arial" w:cs="Arial" w:eastAsia="Arial" w:hAnsi="Arial"/>
                <w:sz w:val="18"/>
                <w:szCs w:val="18"/>
                <w:color w:val="auto"/>
              </w:rPr>
              <w:t>13,067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20" w:type="dxa"/>
            <w:vAlign w:val="bottom"/>
          </w:tcPr>
          <w:p>
            <w:pPr>
              <w:jc w:val="right"/>
              <w:ind w:right="30"/>
              <w:spacing w:after="0"/>
              <w:rPr>
                <w:sz w:val="20"/>
                <w:szCs w:val="20"/>
                <w:color w:val="auto"/>
              </w:rPr>
            </w:pPr>
            <w:r>
              <w:rPr>
                <w:rFonts w:ascii="Arial" w:cs="Arial" w:eastAsia="Arial" w:hAnsi="Arial"/>
                <w:sz w:val="18"/>
                <w:szCs w:val="18"/>
                <w:color w:val="auto"/>
              </w:rPr>
              <w:t>14,133</w:t>
            </w:r>
          </w:p>
        </w:tc>
        <w:tc>
          <w:tcPr>
            <w:tcW w:w="0" w:type="dxa"/>
            <w:vAlign w:val="bottom"/>
          </w:tcPr>
          <w:p>
            <w:pPr>
              <w:spacing w:after="0"/>
              <w:rPr>
                <w:sz w:val="1"/>
                <w:szCs w:val="1"/>
                <w:color w:val="auto"/>
              </w:rPr>
            </w:pPr>
          </w:p>
        </w:tc>
      </w:tr>
      <w:tr>
        <w:trPr>
          <w:trHeight w:val="270"/>
        </w:trPr>
        <w:tc>
          <w:tcPr>
            <w:tcW w:w="6300" w:type="dxa"/>
            <w:vAlign w:val="bottom"/>
          </w:tcPr>
          <w:p>
            <w:pPr>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3"/>
                <w:szCs w:val="23"/>
                <w:color w:val="auto"/>
              </w:rPr>
            </w:pPr>
          </w:p>
        </w:tc>
        <w:tc>
          <w:tcPr>
            <w:tcW w:w="2140" w:type="dxa"/>
            <w:vAlign w:val="bottom"/>
          </w:tcPr>
          <w:p>
            <w:pPr>
              <w:jc w:val="right"/>
              <w:ind w:right="30"/>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20" w:type="dxa"/>
            <w:vAlign w:val="bottom"/>
          </w:tcPr>
          <w:p>
            <w:pPr>
              <w:jc w:val="right"/>
              <w:ind w:right="3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70"/>
        </w:trPr>
        <w:tc>
          <w:tcPr>
            <w:tcW w:w="6300" w:type="dxa"/>
            <w:vAlign w:val="bottom"/>
          </w:tcPr>
          <w:p>
            <w:pPr>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23"/>
                <w:szCs w:val="23"/>
                <w:color w:val="auto"/>
              </w:rPr>
            </w:pPr>
          </w:p>
        </w:tc>
        <w:tc>
          <w:tcPr>
            <w:tcW w:w="2140" w:type="dxa"/>
            <w:vAlign w:val="bottom"/>
          </w:tcPr>
          <w:p>
            <w:pPr>
              <w:jc w:val="right"/>
              <w:ind w:right="30"/>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20" w:type="dxa"/>
            <w:vAlign w:val="bottom"/>
          </w:tcPr>
          <w:p>
            <w:pPr>
              <w:jc w:val="right"/>
              <w:ind w:right="3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77"/>
        </w:trPr>
        <w:tc>
          <w:tcPr>
            <w:tcW w:w="6300" w:type="dxa"/>
            <w:vAlign w:val="bottom"/>
          </w:tcPr>
          <w:p>
            <w:pPr>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57"/>
        </w:trPr>
        <w:tc>
          <w:tcPr>
            <w:tcW w:w="630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78,669</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101,034</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3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300" w:type="dxa"/>
            <w:vAlign w:val="bottom"/>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0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140" w:type="dxa"/>
            <w:vAlign w:val="bottom"/>
          </w:tcPr>
          <w:p>
            <w:pPr>
              <w:jc w:val="right"/>
              <w:ind w:right="30"/>
              <w:spacing w:after="0"/>
              <w:rPr>
                <w:sz w:val="20"/>
                <w:szCs w:val="20"/>
                <w:color w:val="auto"/>
              </w:rPr>
            </w:pPr>
            <w:r>
              <w:rPr>
                <w:rFonts w:ascii="Arial" w:cs="Arial" w:eastAsia="Arial" w:hAnsi="Arial"/>
                <w:sz w:val="18"/>
                <w:szCs w:val="18"/>
                <w:color w:val="auto"/>
              </w:rPr>
              <w:t>3,853</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220" w:type="dxa"/>
            <w:vAlign w:val="bottom"/>
          </w:tcPr>
          <w:p>
            <w:pPr>
              <w:jc w:val="right"/>
              <w:ind w:right="30"/>
              <w:spacing w:after="0"/>
              <w:rPr>
                <w:sz w:val="20"/>
                <w:szCs w:val="20"/>
                <w:color w:val="auto"/>
              </w:rPr>
            </w:pPr>
            <w:r>
              <w:rPr>
                <w:rFonts w:ascii="Arial" w:cs="Arial" w:eastAsia="Arial" w:hAnsi="Arial"/>
                <w:sz w:val="18"/>
                <w:szCs w:val="18"/>
                <w:color w:val="auto"/>
              </w:rPr>
              <w:t>2,424</w:t>
            </w:r>
          </w:p>
        </w:tc>
        <w:tc>
          <w:tcPr>
            <w:tcW w:w="0" w:type="dxa"/>
            <w:vAlign w:val="bottom"/>
          </w:tcPr>
          <w:p>
            <w:pPr>
              <w:spacing w:after="0"/>
              <w:rPr>
                <w:sz w:val="1"/>
                <w:szCs w:val="1"/>
                <w:color w:val="auto"/>
              </w:rPr>
            </w:pPr>
          </w:p>
        </w:tc>
      </w:tr>
      <w:tr>
        <w:trPr>
          <w:trHeight w:val="277"/>
        </w:trPr>
        <w:tc>
          <w:tcPr>
            <w:tcW w:w="630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2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8,175</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9,110</w:t>
            </w:r>
          </w:p>
        </w:tc>
        <w:tc>
          <w:tcPr>
            <w:tcW w:w="0" w:type="dxa"/>
            <w:vAlign w:val="bottom"/>
          </w:tcPr>
          <w:p>
            <w:pPr>
              <w:spacing w:after="0"/>
              <w:rPr>
                <w:sz w:val="1"/>
                <w:szCs w:val="1"/>
                <w:color w:val="auto"/>
              </w:rPr>
            </w:pPr>
          </w:p>
        </w:tc>
      </w:tr>
      <w:tr>
        <w:trPr>
          <w:trHeight w:val="243"/>
        </w:trPr>
        <w:tc>
          <w:tcPr>
            <w:tcW w:w="630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21"/>
                <w:szCs w:val="21"/>
                <w:color w:val="auto"/>
              </w:rPr>
            </w:pPr>
          </w:p>
        </w:tc>
        <w:tc>
          <w:tcPr>
            <w:tcW w:w="2140" w:type="dxa"/>
            <w:vAlign w:val="bottom"/>
          </w:tcPr>
          <w:p>
            <w:pPr>
              <w:jc w:val="right"/>
              <w:ind w:right="30"/>
              <w:spacing w:after="0"/>
              <w:rPr>
                <w:sz w:val="20"/>
                <w:szCs w:val="20"/>
                <w:color w:val="auto"/>
              </w:rPr>
            </w:pPr>
            <w:r>
              <w:rPr>
                <w:rFonts w:ascii="Arial" w:cs="Arial" w:eastAsia="Arial" w:hAnsi="Arial"/>
                <w:sz w:val="18"/>
                <w:szCs w:val="18"/>
                <w:color w:val="auto"/>
              </w:rPr>
              <w:t>12,028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20" w:type="dxa"/>
            <w:vAlign w:val="bottom"/>
          </w:tcPr>
          <w:p>
            <w:pPr>
              <w:jc w:val="right"/>
              <w:ind w:right="30"/>
              <w:spacing w:after="0"/>
              <w:rPr>
                <w:sz w:val="20"/>
                <w:szCs w:val="20"/>
                <w:color w:val="auto"/>
              </w:rPr>
            </w:pPr>
            <w:r>
              <w:rPr>
                <w:rFonts w:ascii="Arial" w:cs="Arial" w:eastAsia="Arial" w:hAnsi="Arial"/>
                <w:sz w:val="18"/>
                <w:szCs w:val="18"/>
                <w:color w:val="auto"/>
              </w:rPr>
              <w:t>11,534</w:t>
            </w:r>
          </w:p>
        </w:tc>
        <w:tc>
          <w:tcPr>
            <w:tcW w:w="0" w:type="dxa"/>
            <w:vAlign w:val="bottom"/>
          </w:tcPr>
          <w:p>
            <w:pPr>
              <w:spacing w:after="0"/>
              <w:rPr>
                <w:sz w:val="1"/>
                <w:szCs w:val="1"/>
                <w:color w:val="auto"/>
              </w:rPr>
            </w:pPr>
          </w:p>
        </w:tc>
      </w:tr>
      <w:tr>
        <w:trPr>
          <w:trHeight w:val="270"/>
        </w:trPr>
        <w:tc>
          <w:tcPr>
            <w:tcW w:w="6300" w:type="dxa"/>
            <w:vAlign w:val="bottom"/>
          </w:tcPr>
          <w:p>
            <w:pPr>
              <w:spacing w:after="0"/>
              <w:rPr>
                <w:sz w:val="20"/>
                <w:szCs w:val="20"/>
                <w:color w:val="auto"/>
              </w:rPr>
            </w:pPr>
            <w:r>
              <w:rPr>
                <w:rFonts w:ascii="Arial" w:cs="Arial" w:eastAsia="Arial" w:hAnsi="Arial"/>
                <w:sz w:val="18"/>
                <w:szCs w:val="18"/>
                <w:color w:val="auto"/>
              </w:rPr>
              <w:t>Long-term debt</w:t>
            </w:r>
          </w:p>
        </w:tc>
        <w:tc>
          <w:tcPr>
            <w:tcW w:w="260" w:type="dxa"/>
            <w:vAlign w:val="bottom"/>
          </w:tcPr>
          <w:p>
            <w:pPr>
              <w:spacing w:after="0"/>
              <w:rPr>
                <w:sz w:val="23"/>
                <w:szCs w:val="23"/>
                <w:color w:val="auto"/>
              </w:rPr>
            </w:pPr>
          </w:p>
        </w:tc>
        <w:tc>
          <w:tcPr>
            <w:tcW w:w="2140" w:type="dxa"/>
            <w:vAlign w:val="bottom"/>
          </w:tcPr>
          <w:p>
            <w:pPr>
              <w:jc w:val="right"/>
              <w:ind w:right="30"/>
              <w:spacing w:after="0"/>
              <w:rPr>
                <w:sz w:val="20"/>
                <w:szCs w:val="20"/>
                <w:color w:val="auto"/>
              </w:rPr>
            </w:pPr>
            <w:r>
              <w:rPr>
                <w:rFonts w:ascii="Arial" w:cs="Arial" w:eastAsia="Arial" w:hAnsi="Arial"/>
                <w:sz w:val="18"/>
                <w:szCs w:val="18"/>
                <w:color w:val="auto"/>
              </w:rPr>
              <w:t>24,938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20" w:type="dxa"/>
            <w:vAlign w:val="bottom"/>
          </w:tcPr>
          <w:p>
            <w:pPr>
              <w:jc w:val="right"/>
              <w:ind w:right="30"/>
              <w:spacing w:after="0"/>
              <w:rPr>
                <w:sz w:val="20"/>
                <w:szCs w:val="20"/>
                <w:color w:val="auto"/>
              </w:rPr>
            </w:pPr>
            <w:r>
              <w:rPr>
                <w:rFonts w:ascii="Arial" w:cs="Arial" w:eastAsia="Arial" w:hAnsi="Arial"/>
                <w:sz w:val="18"/>
                <w:szCs w:val="18"/>
                <w:color w:val="auto"/>
              </w:rPr>
              <w:t>24,918</w:t>
            </w:r>
          </w:p>
        </w:tc>
        <w:tc>
          <w:tcPr>
            <w:tcW w:w="0" w:type="dxa"/>
            <w:vAlign w:val="bottom"/>
          </w:tcPr>
          <w:p>
            <w:pPr>
              <w:spacing w:after="0"/>
              <w:rPr>
                <w:sz w:val="1"/>
                <w:szCs w:val="1"/>
                <w:color w:val="auto"/>
              </w:rPr>
            </w:pPr>
          </w:p>
        </w:tc>
      </w:tr>
      <w:tr>
        <w:trPr>
          <w:trHeight w:val="270"/>
        </w:trPr>
        <w:tc>
          <w:tcPr>
            <w:tcW w:w="6300" w:type="dxa"/>
            <w:vAlign w:val="bottom"/>
          </w:tcPr>
          <w:p>
            <w:pPr>
              <w:spacing w:after="0"/>
              <w:rPr>
                <w:sz w:val="20"/>
                <w:szCs w:val="20"/>
                <w:color w:val="auto"/>
              </w:rPr>
            </w:pPr>
            <w:r>
              <w:rPr>
                <w:rFonts w:ascii="Arial" w:cs="Arial" w:eastAsia="Arial" w:hAnsi="Arial"/>
                <w:sz w:val="18"/>
                <w:szCs w:val="18"/>
                <w:color w:val="auto"/>
              </w:rPr>
              <w:t>Capital lease liability, net of current portion</w:t>
            </w:r>
          </w:p>
        </w:tc>
        <w:tc>
          <w:tcPr>
            <w:tcW w:w="260" w:type="dxa"/>
            <w:vAlign w:val="bottom"/>
          </w:tcPr>
          <w:p>
            <w:pPr>
              <w:spacing w:after="0"/>
              <w:rPr>
                <w:sz w:val="23"/>
                <w:szCs w:val="23"/>
                <w:color w:val="auto"/>
              </w:rPr>
            </w:pPr>
          </w:p>
        </w:tc>
        <w:tc>
          <w:tcPr>
            <w:tcW w:w="2140" w:type="dxa"/>
            <w:vAlign w:val="bottom"/>
          </w:tcPr>
          <w:p>
            <w:pPr>
              <w:jc w:val="right"/>
              <w:ind w:right="30"/>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20" w:type="dxa"/>
            <w:vAlign w:val="bottom"/>
          </w:tcPr>
          <w:p>
            <w:pPr>
              <w:jc w:val="right"/>
              <w:ind w:right="3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77"/>
        </w:trPr>
        <w:tc>
          <w:tcPr>
            <w:tcW w:w="6300" w:type="dxa"/>
            <w:vAlign w:val="bottom"/>
          </w:tcPr>
          <w:p>
            <w:pPr>
              <w:spacing w:after="0"/>
              <w:rPr>
                <w:sz w:val="20"/>
                <w:szCs w:val="20"/>
                <w:color w:val="auto"/>
              </w:rPr>
            </w:pPr>
            <w:r>
              <w:rPr>
                <w:rFonts w:ascii="Arial" w:cs="Arial" w:eastAsia="Arial" w:hAnsi="Arial"/>
                <w:sz w:val="18"/>
                <w:szCs w:val="18"/>
                <w:color w:val="auto"/>
              </w:rPr>
              <w:t>Deferred rent, net of current portion</w:t>
            </w:r>
          </w:p>
        </w:tc>
        <w:tc>
          <w:tcPr>
            <w:tcW w:w="2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4,170</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4,402</w:t>
            </w:r>
          </w:p>
        </w:tc>
        <w:tc>
          <w:tcPr>
            <w:tcW w:w="0" w:type="dxa"/>
            <w:vAlign w:val="bottom"/>
          </w:tcPr>
          <w:p>
            <w:pPr>
              <w:spacing w:after="0"/>
              <w:rPr>
                <w:sz w:val="1"/>
                <w:szCs w:val="1"/>
                <w:color w:val="auto"/>
              </w:rPr>
            </w:pPr>
          </w:p>
        </w:tc>
      </w:tr>
      <w:tr>
        <w:trPr>
          <w:trHeight w:val="243"/>
        </w:trPr>
        <w:tc>
          <w:tcPr>
            <w:tcW w:w="6300" w:type="dxa"/>
            <w:vAlign w:val="bottom"/>
          </w:tcPr>
          <w:p>
            <w:pPr>
              <w:ind w:left="320"/>
              <w:spacing w:after="0"/>
              <w:rPr>
                <w:sz w:val="20"/>
                <w:szCs w:val="20"/>
                <w:color w:val="auto"/>
              </w:rPr>
            </w:pPr>
            <w:r>
              <w:rPr>
                <w:rFonts w:ascii="Arial" w:cs="Arial" w:eastAsia="Arial" w:hAnsi="Arial"/>
                <w:sz w:val="18"/>
                <w:szCs w:val="18"/>
                <w:color w:val="auto"/>
              </w:rPr>
              <w:t>Total liabilities</w:t>
            </w:r>
          </w:p>
        </w:tc>
        <w:tc>
          <w:tcPr>
            <w:tcW w:w="260" w:type="dxa"/>
            <w:vAlign w:val="bottom"/>
          </w:tcPr>
          <w:p>
            <w:pPr>
              <w:spacing w:after="0"/>
              <w:rPr>
                <w:sz w:val="21"/>
                <w:szCs w:val="21"/>
                <w:color w:val="auto"/>
              </w:rPr>
            </w:pPr>
          </w:p>
        </w:tc>
        <w:tc>
          <w:tcPr>
            <w:tcW w:w="2140" w:type="dxa"/>
            <w:vAlign w:val="bottom"/>
          </w:tcPr>
          <w:p>
            <w:pPr>
              <w:jc w:val="right"/>
              <w:ind w:right="30"/>
              <w:spacing w:after="0"/>
              <w:rPr>
                <w:sz w:val="20"/>
                <w:szCs w:val="20"/>
                <w:color w:val="auto"/>
              </w:rPr>
            </w:pPr>
            <w:r>
              <w:rPr>
                <w:rFonts w:ascii="Arial" w:cs="Arial" w:eastAsia="Arial" w:hAnsi="Arial"/>
                <w:sz w:val="18"/>
                <w:szCs w:val="18"/>
                <w:color w:val="auto"/>
              </w:rPr>
              <w:t>41,444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20" w:type="dxa"/>
            <w:vAlign w:val="bottom"/>
          </w:tcPr>
          <w:p>
            <w:pPr>
              <w:jc w:val="right"/>
              <w:ind w:right="30"/>
              <w:spacing w:after="0"/>
              <w:rPr>
                <w:sz w:val="20"/>
                <w:szCs w:val="20"/>
                <w:color w:val="auto"/>
              </w:rPr>
            </w:pPr>
            <w:r>
              <w:rPr>
                <w:rFonts w:ascii="Arial" w:cs="Arial" w:eastAsia="Arial" w:hAnsi="Arial"/>
                <w:sz w:val="18"/>
                <w:szCs w:val="18"/>
                <w:color w:val="auto"/>
              </w:rPr>
              <w:t>41,453</w:t>
            </w:r>
          </w:p>
        </w:tc>
        <w:tc>
          <w:tcPr>
            <w:tcW w:w="0" w:type="dxa"/>
            <w:vAlign w:val="bottom"/>
          </w:tcPr>
          <w:p>
            <w:pPr>
              <w:spacing w:after="0"/>
              <w:rPr>
                <w:sz w:val="1"/>
                <w:szCs w:val="1"/>
                <w:color w:val="auto"/>
              </w:rPr>
            </w:pPr>
          </w:p>
        </w:tc>
      </w:tr>
      <w:tr>
        <w:trPr>
          <w:trHeight w:val="277"/>
        </w:trPr>
        <w:tc>
          <w:tcPr>
            <w:tcW w:w="63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37,225</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59,581</w:t>
            </w:r>
          </w:p>
        </w:tc>
        <w:tc>
          <w:tcPr>
            <w:tcW w:w="0" w:type="dxa"/>
            <w:vAlign w:val="bottom"/>
          </w:tcPr>
          <w:p>
            <w:pPr>
              <w:spacing w:after="0"/>
              <w:rPr>
                <w:sz w:val="1"/>
                <w:szCs w:val="1"/>
                <w:color w:val="auto"/>
              </w:rPr>
            </w:pPr>
          </w:p>
        </w:tc>
      </w:tr>
      <w:tr>
        <w:trPr>
          <w:trHeight w:val="257"/>
        </w:trPr>
        <w:tc>
          <w:tcPr>
            <w:tcW w:w="63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78,669</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101,034</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right="820" w:firstLine="2"/>
        <w:spacing w:after="0" w:line="271" w:lineRule="auto"/>
        <w:tabs>
          <w:tab w:leader="none" w:pos="27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The condensed balance sheet at December 31, 2016 has been derived from the audited financial statements at that date included in the Company's Form 10-K filed with the Securities and Exchange Commission dated March 1, 2017.</w:t>
      </w:r>
    </w:p>
    <w:p>
      <w:pPr>
        <w:sectPr>
          <w:pgSz w:w="11900" w:h="16838" w:orient="portrait"/>
          <w:cols w:equalWidth="0" w:num="1">
            <w:col w:w="11300"/>
          </w:cols>
          <w:pgMar w:left="320" w:top="738" w:right="27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4"/>
          <w:szCs w:val="14"/>
          <w:b w:val="1"/>
          <w:bCs w:val="1"/>
          <w:color w:val="auto"/>
        </w:rPr>
        <w:t>VERACYTE, INC.</w:t>
      </w:r>
    </w:p>
    <w:p>
      <w:pPr>
        <w:spacing w:after="0" w:line="55"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Condensed Statements of Cash Flows</w:t>
      </w:r>
    </w:p>
    <w:p>
      <w:pPr>
        <w:spacing w:after="0" w:line="55"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(Unaudited)</w:t>
      </w:r>
    </w:p>
    <w:p>
      <w:pPr>
        <w:spacing w:after="0" w:line="55"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(In thousands of dollars)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4"/>
          </w:tcPr>
          <w:p>
            <w:pPr>
              <w:jc w:val="right"/>
              <w:ind w:right="308"/>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3"/>
        </w:trPr>
        <w:tc>
          <w:tcPr>
            <w:tcW w:w="66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45"/>
        </w:trPr>
        <w:tc>
          <w:tcPr>
            <w:tcW w:w="6640" w:type="dxa"/>
            <w:vAlign w:val="bottom"/>
          </w:tcPr>
          <w:p>
            <w:pPr>
              <w:spacing w:after="0"/>
              <w:rPr>
                <w:sz w:val="20"/>
                <w:szCs w:val="20"/>
                <w:color w:val="auto"/>
              </w:rPr>
            </w:pPr>
            <w:r>
              <w:rPr>
                <w:rFonts w:ascii="Arial" w:cs="Arial" w:eastAsia="Arial" w:hAnsi="Arial"/>
                <w:sz w:val="14"/>
                <w:szCs w:val="14"/>
                <w:b w:val="1"/>
                <w:bCs w:val="1"/>
                <w:color w:val="auto"/>
              </w:rPr>
              <w:t>Operating activities</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640" w:type="dxa"/>
            <w:vAlign w:val="bottom"/>
          </w:tcPr>
          <w:p>
            <w:pPr>
              <w:spacing w:after="0"/>
              <w:rPr>
                <w:sz w:val="20"/>
                <w:szCs w:val="20"/>
                <w:color w:val="auto"/>
              </w:rPr>
            </w:pPr>
            <w:r>
              <w:rPr>
                <w:rFonts w:ascii="Arial" w:cs="Arial" w:eastAsia="Arial" w:hAnsi="Arial"/>
                <w:sz w:val="14"/>
                <w:szCs w:val="14"/>
                <w:color w:val="auto"/>
              </w:rPr>
              <w:t>Net loss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(31,003)</w:t>
            </w:r>
          </w:p>
        </w:tc>
        <w:tc>
          <w:tcPr>
            <w:tcW w:w="12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(31,358)</w:t>
            </w:r>
          </w:p>
        </w:tc>
        <w:tc>
          <w:tcPr>
            <w:tcW w:w="0" w:type="dxa"/>
            <w:vAlign w:val="bottom"/>
          </w:tcPr>
          <w:p>
            <w:pPr>
              <w:spacing w:after="0"/>
              <w:rPr>
                <w:sz w:val="1"/>
                <w:szCs w:val="1"/>
                <w:color w:val="auto"/>
              </w:rPr>
            </w:pPr>
          </w:p>
        </w:tc>
      </w:tr>
      <w:tr>
        <w:trPr>
          <w:trHeight w:val="270"/>
        </w:trPr>
        <w:tc>
          <w:tcPr>
            <w:tcW w:w="6640" w:type="dxa"/>
            <w:vAlign w:val="bottom"/>
          </w:tcPr>
          <w:p>
            <w:pPr>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40" w:type="dxa"/>
            <w:vAlign w:val="bottom"/>
          </w:tcPr>
          <w:p>
            <w:pPr>
              <w:ind w:left="34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23"/>
                <w:szCs w:val="23"/>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3,841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3,511</w:t>
            </w:r>
          </w:p>
        </w:tc>
        <w:tc>
          <w:tcPr>
            <w:tcW w:w="0" w:type="dxa"/>
            <w:vAlign w:val="bottom"/>
          </w:tcPr>
          <w:p>
            <w:pPr>
              <w:spacing w:after="0"/>
              <w:rPr>
                <w:sz w:val="1"/>
                <w:szCs w:val="1"/>
                <w:color w:val="auto"/>
              </w:rPr>
            </w:pPr>
          </w:p>
        </w:tc>
      </w:tr>
      <w:tr>
        <w:trPr>
          <w:trHeight w:val="270"/>
        </w:trPr>
        <w:tc>
          <w:tcPr>
            <w:tcW w:w="6640" w:type="dxa"/>
            <w:vAlign w:val="bottom"/>
          </w:tcPr>
          <w:p>
            <w:pPr>
              <w:ind w:left="340"/>
              <w:spacing w:after="0"/>
              <w:rPr>
                <w:sz w:val="20"/>
                <w:szCs w:val="20"/>
                <w:color w:val="auto"/>
              </w:rPr>
            </w:pPr>
            <w:r>
              <w:rPr>
                <w:rFonts w:ascii="Arial" w:cs="Arial" w:eastAsia="Arial" w:hAnsi="Arial"/>
                <w:sz w:val="14"/>
                <w:szCs w:val="14"/>
                <w:color w:val="auto"/>
              </w:rPr>
              <w:t>Bad debt expense</w:t>
            </w:r>
          </w:p>
        </w:tc>
        <w:tc>
          <w:tcPr>
            <w:tcW w:w="26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70"/>
        </w:trPr>
        <w:tc>
          <w:tcPr>
            <w:tcW w:w="6640" w:type="dxa"/>
            <w:vAlign w:val="bottom"/>
          </w:tcPr>
          <w:p>
            <w:pPr>
              <w:ind w:left="340"/>
              <w:spacing w:after="0"/>
              <w:rPr>
                <w:sz w:val="20"/>
                <w:szCs w:val="20"/>
                <w:color w:val="auto"/>
              </w:rPr>
            </w:pPr>
            <w:r>
              <w:rPr>
                <w:rFonts w:ascii="Arial" w:cs="Arial" w:eastAsia="Arial" w:hAnsi="Arial"/>
                <w:sz w:val="14"/>
                <w:szCs w:val="14"/>
                <w:color w:val="auto"/>
              </w:rPr>
              <w:t>Loss on disposal of property and equipment</w:t>
            </w:r>
          </w:p>
        </w:tc>
        <w:tc>
          <w:tcPr>
            <w:tcW w:w="260" w:type="dxa"/>
            <w:vAlign w:val="bottom"/>
          </w:tcPr>
          <w:p>
            <w:pPr>
              <w:spacing w:after="0"/>
              <w:rPr>
                <w:sz w:val="23"/>
                <w:szCs w:val="23"/>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70"/>
        </w:trPr>
        <w:tc>
          <w:tcPr>
            <w:tcW w:w="6640" w:type="dxa"/>
            <w:vAlign w:val="bottom"/>
          </w:tcPr>
          <w:p>
            <w:pPr>
              <w:ind w:left="340"/>
              <w:spacing w:after="0"/>
              <w:rPr>
                <w:sz w:val="20"/>
                <w:szCs w:val="20"/>
                <w:color w:val="auto"/>
              </w:rPr>
            </w:pPr>
            <w:r>
              <w:rPr>
                <w:rFonts w:ascii="Arial" w:cs="Arial" w:eastAsia="Arial" w:hAnsi="Arial"/>
                <w:sz w:val="14"/>
                <w:szCs w:val="14"/>
                <w:color w:val="auto"/>
              </w:rPr>
              <w:t>Genzyme co-promotion fee amortization</w:t>
            </w:r>
          </w:p>
        </w:tc>
        <w:tc>
          <w:tcPr>
            <w:tcW w:w="26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(948)</w:t>
            </w:r>
          </w:p>
        </w:tc>
        <w:tc>
          <w:tcPr>
            <w:tcW w:w="0" w:type="dxa"/>
            <w:vAlign w:val="bottom"/>
          </w:tcPr>
          <w:p>
            <w:pPr>
              <w:spacing w:after="0"/>
              <w:rPr>
                <w:sz w:val="1"/>
                <w:szCs w:val="1"/>
                <w:color w:val="auto"/>
              </w:rPr>
            </w:pPr>
          </w:p>
        </w:tc>
      </w:tr>
      <w:tr>
        <w:trPr>
          <w:trHeight w:val="270"/>
        </w:trPr>
        <w:tc>
          <w:tcPr>
            <w:tcW w:w="6640" w:type="dxa"/>
            <w:vAlign w:val="bottom"/>
          </w:tcPr>
          <w:p>
            <w:pPr>
              <w:ind w:left="340"/>
              <w:spacing w:after="0"/>
              <w:rPr>
                <w:sz w:val="20"/>
                <w:szCs w:val="20"/>
                <w:color w:val="auto"/>
              </w:rPr>
            </w:pPr>
            <w:r>
              <w:rPr>
                <w:rFonts w:ascii="Arial" w:cs="Arial" w:eastAsia="Arial" w:hAnsi="Arial"/>
                <w:sz w:val="14"/>
                <w:szCs w:val="14"/>
                <w:color w:val="auto"/>
              </w:rPr>
              <w:t>Stock-based compensation</w:t>
            </w:r>
          </w:p>
        </w:tc>
        <w:tc>
          <w:tcPr>
            <w:tcW w:w="260" w:type="dxa"/>
            <w:vAlign w:val="bottom"/>
          </w:tcPr>
          <w:p>
            <w:pPr>
              <w:spacing w:after="0"/>
              <w:rPr>
                <w:sz w:val="23"/>
                <w:szCs w:val="23"/>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6,617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6,378</w:t>
            </w:r>
          </w:p>
        </w:tc>
        <w:tc>
          <w:tcPr>
            <w:tcW w:w="0" w:type="dxa"/>
            <w:vAlign w:val="bottom"/>
          </w:tcPr>
          <w:p>
            <w:pPr>
              <w:spacing w:after="0"/>
              <w:rPr>
                <w:sz w:val="1"/>
                <w:szCs w:val="1"/>
                <w:color w:val="auto"/>
              </w:rPr>
            </w:pPr>
          </w:p>
        </w:tc>
      </w:tr>
      <w:tr>
        <w:trPr>
          <w:trHeight w:val="270"/>
        </w:trPr>
        <w:tc>
          <w:tcPr>
            <w:tcW w:w="6640" w:type="dxa"/>
            <w:vAlign w:val="bottom"/>
          </w:tcPr>
          <w:p>
            <w:pPr>
              <w:ind w:left="340"/>
              <w:spacing w:after="0"/>
              <w:rPr>
                <w:sz w:val="20"/>
                <w:szCs w:val="20"/>
                <w:color w:val="auto"/>
              </w:rPr>
            </w:pPr>
            <w:r>
              <w:rPr>
                <w:rFonts w:ascii="Arial" w:cs="Arial" w:eastAsia="Arial" w:hAnsi="Arial"/>
                <w:sz w:val="14"/>
                <w:szCs w:val="14"/>
                <w:color w:val="auto"/>
              </w:rPr>
              <w:t>Conversion of accrued interest on long-term debt</w:t>
            </w:r>
          </w:p>
        </w:tc>
        <w:tc>
          <w:tcPr>
            <w:tcW w:w="26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385</w:t>
            </w:r>
          </w:p>
        </w:tc>
        <w:tc>
          <w:tcPr>
            <w:tcW w:w="0" w:type="dxa"/>
            <w:vAlign w:val="bottom"/>
          </w:tcPr>
          <w:p>
            <w:pPr>
              <w:spacing w:after="0"/>
              <w:rPr>
                <w:sz w:val="1"/>
                <w:szCs w:val="1"/>
                <w:color w:val="auto"/>
              </w:rPr>
            </w:pPr>
          </w:p>
        </w:tc>
      </w:tr>
      <w:tr>
        <w:trPr>
          <w:trHeight w:val="270"/>
        </w:trPr>
        <w:tc>
          <w:tcPr>
            <w:tcW w:w="6640" w:type="dxa"/>
            <w:vAlign w:val="bottom"/>
          </w:tcPr>
          <w:p>
            <w:pPr>
              <w:ind w:left="340"/>
              <w:spacing w:after="0"/>
              <w:rPr>
                <w:sz w:val="20"/>
                <w:szCs w:val="20"/>
                <w:color w:val="auto"/>
              </w:rPr>
            </w:pPr>
            <w:r>
              <w:rPr>
                <w:rFonts w:ascii="Arial" w:cs="Arial" w:eastAsia="Arial" w:hAnsi="Arial"/>
                <w:sz w:val="14"/>
                <w:szCs w:val="14"/>
                <w:color w:val="auto"/>
              </w:rPr>
              <w:t>Amortization and write-off of debt discount and issuance costs</w:t>
            </w:r>
          </w:p>
        </w:tc>
        <w:tc>
          <w:tcPr>
            <w:tcW w:w="260" w:type="dxa"/>
            <w:vAlign w:val="bottom"/>
          </w:tcPr>
          <w:p>
            <w:pPr>
              <w:spacing w:after="0"/>
              <w:rPr>
                <w:sz w:val="23"/>
                <w:szCs w:val="23"/>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472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270"/>
        </w:trPr>
        <w:tc>
          <w:tcPr>
            <w:tcW w:w="6640" w:type="dxa"/>
            <w:vAlign w:val="bottom"/>
          </w:tcPr>
          <w:p>
            <w:pPr>
              <w:ind w:left="340"/>
              <w:spacing w:after="0"/>
              <w:rPr>
                <w:sz w:val="20"/>
                <w:szCs w:val="20"/>
                <w:color w:val="auto"/>
              </w:rPr>
            </w:pPr>
            <w:r>
              <w:rPr>
                <w:rFonts w:ascii="Arial" w:cs="Arial" w:eastAsia="Arial" w:hAnsi="Arial"/>
                <w:sz w:val="14"/>
                <w:szCs w:val="14"/>
                <w:color w:val="auto"/>
              </w:rPr>
              <w:t>Interest on end-of-term debt obligation and prepayment penalty</w:t>
            </w:r>
          </w:p>
        </w:tc>
        <w:tc>
          <w:tcPr>
            <w:tcW w:w="260" w:type="dxa"/>
            <w:vAlign w:val="bottom"/>
          </w:tcPr>
          <w:p>
            <w:pPr>
              <w:spacing w:after="0"/>
              <w:rPr>
                <w:sz w:val="23"/>
                <w:szCs w:val="23"/>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1,589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270"/>
        </w:trPr>
        <w:tc>
          <w:tcPr>
            <w:tcW w:w="6640" w:type="dxa"/>
            <w:vAlign w:val="bottom"/>
          </w:tcPr>
          <w:p>
            <w:pPr>
              <w:ind w:left="140"/>
              <w:spacing w:after="0"/>
              <w:rPr>
                <w:sz w:val="20"/>
                <w:szCs w:val="20"/>
                <w:color w:val="auto"/>
              </w:rPr>
            </w:pPr>
            <w:r>
              <w:rPr>
                <w:rFonts w:ascii="Arial" w:cs="Arial" w:eastAsia="Arial" w:hAnsi="Arial"/>
                <w:sz w:val="14"/>
                <w:szCs w:val="14"/>
                <w:color w:val="auto"/>
              </w:rPr>
              <w:t>Changes in operating assets and liabilities:</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40" w:type="dxa"/>
            <w:vAlign w:val="bottom"/>
          </w:tcPr>
          <w:p>
            <w:pPr>
              <w:ind w:left="340"/>
              <w:spacing w:after="0"/>
              <w:rPr>
                <w:sz w:val="20"/>
                <w:szCs w:val="20"/>
                <w:color w:val="auto"/>
              </w:rPr>
            </w:pPr>
            <w:r>
              <w:rPr>
                <w:rFonts w:ascii="Arial" w:cs="Arial" w:eastAsia="Arial" w:hAnsi="Arial"/>
                <w:sz w:val="14"/>
                <w:szCs w:val="14"/>
                <w:color w:val="auto"/>
              </w:rPr>
              <w:t>Accounts receivable</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(3,960)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(5,321)</w:t>
            </w:r>
          </w:p>
        </w:tc>
        <w:tc>
          <w:tcPr>
            <w:tcW w:w="0" w:type="dxa"/>
            <w:vAlign w:val="bottom"/>
          </w:tcPr>
          <w:p>
            <w:pPr>
              <w:spacing w:after="0"/>
              <w:rPr>
                <w:sz w:val="1"/>
                <w:szCs w:val="1"/>
                <w:color w:val="auto"/>
              </w:rPr>
            </w:pPr>
          </w:p>
        </w:tc>
      </w:tr>
      <w:tr>
        <w:trPr>
          <w:trHeight w:val="270"/>
        </w:trPr>
        <w:tc>
          <w:tcPr>
            <w:tcW w:w="6640" w:type="dxa"/>
            <w:vAlign w:val="bottom"/>
          </w:tcPr>
          <w:p>
            <w:pPr>
              <w:ind w:left="340"/>
              <w:spacing w:after="0"/>
              <w:rPr>
                <w:sz w:val="20"/>
                <w:szCs w:val="20"/>
                <w:color w:val="auto"/>
              </w:rPr>
            </w:pPr>
            <w:r>
              <w:rPr>
                <w:rFonts w:ascii="Arial" w:cs="Arial" w:eastAsia="Arial" w:hAnsi="Arial"/>
                <w:sz w:val="14"/>
                <w:szCs w:val="14"/>
                <w:color w:val="auto"/>
              </w:rPr>
              <w:t>Supplies inventory</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(1,849)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292</w:t>
            </w:r>
          </w:p>
        </w:tc>
        <w:tc>
          <w:tcPr>
            <w:tcW w:w="0" w:type="dxa"/>
            <w:vAlign w:val="bottom"/>
          </w:tcPr>
          <w:p>
            <w:pPr>
              <w:spacing w:after="0"/>
              <w:rPr>
                <w:sz w:val="1"/>
                <w:szCs w:val="1"/>
                <w:color w:val="auto"/>
              </w:rPr>
            </w:pPr>
          </w:p>
        </w:tc>
      </w:tr>
      <w:tr>
        <w:trPr>
          <w:trHeight w:val="270"/>
        </w:trPr>
        <w:tc>
          <w:tcPr>
            <w:tcW w:w="6640" w:type="dxa"/>
            <w:vAlign w:val="bottom"/>
          </w:tcPr>
          <w:p>
            <w:pPr>
              <w:ind w:left="340"/>
              <w:spacing w:after="0"/>
              <w:rPr>
                <w:sz w:val="20"/>
                <w:szCs w:val="20"/>
                <w:color w:val="auto"/>
              </w:rPr>
            </w:pPr>
            <w:r>
              <w:rPr>
                <w:rFonts w:ascii="Arial" w:cs="Arial" w:eastAsia="Arial" w:hAnsi="Arial"/>
                <w:sz w:val="14"/>
                <w:szCs w:val="14"/>
                <w:color w:val="auto"/>
              </w:rPr>
              <w:t>Prepaid expenses and current other assets</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(415)</w:t>
            </w:r>
          </w:p>
        </w:tc>
        <w:tc>
          <w:tcPr>
            <w:tcW w:w="0" w:type="dxa"/>
            <w:vAlign w:val="bottom"/>
          </w:tcPr>
          <w:p>
            <w:pPr>
              <w:spacing w:after="0"/>
              <w:rPr>
                <w:sz w:val="1"/>
                <w:szCs w:val="1"/>
                <w:color w:val="auto"/>
              </w:rPr>
            </w:pPr>
          </w:p>
        </w:tc>
      </w:tr>
      <w:tr>
        <w:trPr>
          <w:trHeight w:val="270"/>
        </w:trPr>
        <w:tc>
          <w:tcPr>
            <w:tcW w:w="6640" w:type="dxa"/>
            <w:vAlign w:val="bottom"/>
          </w:tcPr>
          <w:p>
            <w:pPr>
              <w:ind w:left="340"/>
              <w:spacing w:after="0"/>
              <w:rPr>
                <w:sz w:val="20"/>
                <w:szCs w:val="20"/>
                <w:color w:val="auto"/>
              </w:rPr>
            </w:pPr>
            <w:r>
              <w:rPr>
                <w:rFonts w:ascii="Arial" w:cs="Arial" w:eastAsia="Arial" w:hAnsi="Arial"/>
                <w:sz w:val="14"/>
                <w:szCs w:val="14"/>
                <w:color w:val="auto"/>
              </w:rPr>
              <w:t>Other assets</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70"/>
        </w:trPr>
        <w:tc>
          <w:tcPr>
            <w:tcW w:w="6640" w:type="dxa"/>
            <w:vAlign w:val="bottom"/>
          </w:tcPr>
          <w:p>
            <w:pPr>
              <w:ind w:left="340"/>
              <w:spacing w:after="0"/>
              <w:rPr>
                <w:sz w:val="20"/>
                <w:szCs w:val="20"/>
                <w:color w:val="auto"/>
              </w:rPr>
            </w:pPr>
            <w:r>
              <w:rPr>
                <w:rFonts w:ascii="Arial" w:cs="Arial" w:eastAsia="Arial" w:hAnsi="Arial"/>
                <w:sz w:val="14"/>
                <w:szCs w:val="14"/>
                <w:color w:val="auto"/>
              </w:rPr>
              <w:t>Accounts payable</w:t>
            </w:r>
          </w:p>
        </w:tc>
        <w:tc>
          <w:tcPr>
            <w:tcW w:w="260" w:type="dxa"/>
            <w:vAlign w:val="bottom"/>
          </w:tcPr>
          <w:p>
            <w:pPr>
              <w:spacing w:after="0"/>
              <w:rPr>
                <w:sz w:val="23"/>
                <w:szCs w:val="23"/>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1,728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(1,441)</w:t>
            </w:r>
          </w:p>
        </w:tc>
        <w:tc>
          <w:tcPr>
            <w:tcW w:w="0" w:type="dxa"/>
            <w:vAlign w:val="bottom"/>
          </w:tcPr>
          <w:p>
            <w:pPr>
              <w:spacing w:after="0"/>
              <w:rPr>
                <w:sz w:val="1"/>
                <w:szCs w:val="1"/>
                <w:color w:val="auto"/>
              </w:rPr>
            </w:pPr>
          </w:p>
        </w:tc>
      </w:tr>
      <w:tr>
        <w:trPr>
          <w:trHeight w:val="276"/>
        </w:trPr>
        <w:tc>
          <w:tcPr>
            <w:tcW w:w="6640" w:type="dxa"/>
            <w:vAlign w:val="bottom"/>
          </w:tcPr>
          <w:p>
            <w:pPr>
              <w:ind w:left="340"/>
              <w:spacing w:after="0"/>
              <w:rPr>
                <w:sz w:val="20"/>
                <w:szCs w:val="20"/>
                <w:color w:val="auto"/>
              </w:rPr>
            </w:pPr>
            <w:r>
              <w:rPr>
                <w:rFonts w:ascii="Arial" w:cs="Arial" w:eastAsia="Arial" w:hAnsi="Arial"/>
                <w:sz w:val="14"/>
                <w:szCs w:val="14"/>
                <w:color w:val="auto"/>
              </w:rPr>
              <w:t>Accrued liabilities and deferred rent</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(1,163)</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451</w:t>
            </w:r>
          </w:p>
        </w:tc>
        <w:tc>
          <w:tcPr>
            <w:tcW w:w="0" w:type="dxa"/>
            <w:vAlign w:val="bottom"/>
          </w:tcPr>
          <w:p>
            <w:pPr>
              <w:spacing w:after="0"/>
              <w:rPr>
                <w:sz w:val="1"/>
                <w:szCs w:val="1"/>
                <w:color w:val="auto"/>
              </w:rPr>
            </w:pPr>
          </w:p>
        </w:tc>
      </w:tr>
      <w:tr>
        <w:trPr>
          <w:trHeight w:val="250"/>
        </w:trPr>
        <w:tc>
          <w:tcPr>
            <w:tcW w:w="6640" w:type="dxa"/>
            <w:vAlign w:val="bottom"/>
          </w:tcPr>
          <w:p>
            <w:pPr>
              <w:spacing w:after="0"/>
              <w:rPr>
                <w:sz w:val="20"/>
                <w:szCs w:val="20"/>
                <w:color w:val="auto"/>
              </w:rPr>
            </w:pPr>
            <w:r>
              <w:rPr>
                <w:rFonts w:ascii="Arial" w:cs="Arial" w:eastAsia="Arial" w:hAnsi="Arial"/>
                <w:sz w:val="14"/>
                <w:szCs w:val="14"/>
                <w:color w:val="auto"/>
              </w:rPr>
              <w:t>Net cash used in operating activities</w:t>
            </w: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(23,915)</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(27,982)</w:t>
            </w:r>
          </w:p>
        </w:tc>
        <w:tc>
          <w:tcPr>
            <w:tcW w:w="0" w:type="dxa"/>
            <w:vAlign w:val="bottom"/>
          </w:tcPr>
          <w:p>
            <w:pPr>
              <w:spacing w:after="0"/>
              <w:rPr>
                <w:sz w:val="1"/>
                <w:szCs w:val="1"/>
                <w:color w:val="auto"/>
              </w:rPr>
            </w:pPr>
          </w:p>
        </w:tc>
      </w:tr>
      <w:tr>
        <w:trPr>
          <w:trHeight w:val="245"/>
        </w:trPr>
        <w:tc>
          <w:tcPr>
            <w:tcW w:w="664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640" w:type="dxa"/>
            <w:vAlign w:val="bottom"/>
          </w:tcPr>
          <w:p>
            <w:pPr>
              <w:spacing w:after="0"/>
              <w:rPr>
                <w:sz w:val="20"/>
                <w:szCs w:val="20"/>
                <w:color w:val="auto"/>
              </w:rPr>
            </w:pPr>
            <w:r>
              <w:rPr>
                <w:rFonts w:ascii="Arial" w:cs="Arial" w:eastAsia="Arial" w:hAnsi="Arial"/>
                <w:sz w:val="14"/>
                <w:szCs w:val="14"/>
                <w:color w:val="auto"/>
              </w:rPr>
              <w:t>Purchases of property and equipment</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(1,755)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(4,210)</w:t>
            </w:r>
          </w:p>
        </w:tc>
        <w:tc>
          <w:tcPr>
            <w:tcW w:w="0" w:type="dxa"/>
            <w:vAlign w:val="bottom"/>
          </w:tcPr>
          <w:p>
            <w:pPr>
              <w:spacing w:after="0"/>
              <w:rPr>
                <w:sz w:val="1"/>
                <w:szCs w:val="1"/>
                <w:color w:val="auto"/>
              </w:rPr>
            </w:pPr>
          </w:p>
        </w:tc>
      </w:tr>
      <w:tr>
        <w:trPr>
          <w:trHeight w:val="270"/>
        </w:trPr>
        <w:tc>
          <w:tcPr>
            <w:tcW w:w="6640" w:type="dxa"/>
            <w:vAlign w:val="bottom"/>
          </w:tcPr>
          <w:p>
            <w:pPr>
              <w:spacing w:after="0"/>
              <w:rPr>
                <w:sz w:val="20"/>
                <w:szCs w:val="20"/>
                <w:color w:val="auto"/>
              </w:rPr>
            </w:pPr>
            <w:r>
              <w:rPr>
                <w:rFonts w:ascii="Arial" w:cs="Arial" w:eastAsia="Arial" w:hAnsi="Arial"/>
                <w:sz w:val="14"/>
                <w:szCs w:val="14"/>
                <w:color w:val="auto"/>
              </w:rPr>
              <w:t>Proceeds from sale of property and equipment</w:t>
            </w:r>
          </w:p>
        </w:tc>
        <w:tc>
          <w:tcPr>
            <w:tcW w:w="260" w:type="dxa"/>
            <w:vAlign w:val="bottom"/>
          </w:tcPr>
          <w:p>
            <w:pPr>
              <w:spacing w:after="0"/>
              <w:rPr>
                <w:sz w:val="23"/>
                <w:szCs w:val="23"/>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440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6640" w:type="dxa"/>
            <w:vAlign w:val="bottom"/>
          </w:tcPr>
          <w:p>
            <w:pPr>
              <w:spacing w:after="0"/>
              <w:rPr>
                <w:sz w:val="20"/>
                <w:szCs w:val="20"/>
                <w:color w:val="auto"/>
              </w:rPr>
            </w:pPr>
            <w:r>
              <w:rPr>
                <w:rFonts w:ascii="Arial" w:cs="Arial" w:eastAsia="Arial" w:hAnsi="Arial"/>
                <w:sz w:val="14"/>
                <w:szCs w:val="14"/>
                <w:color w:val="auto"/>
              </w:rPr>
              <w:t>Change in restricted cash</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50"/>
        </w:trPr>
        <w:tc>
          <w:tcPr>
            <w:tcW w:w="6640" w:type="dxa"/>
            <w:vAlign w:val="bottom"/>
          </w:tcPr>
          <w:p>
            <w:pPr>
              <w:spacing w:after="0"/>
              <w:rPr>
                <w:sz w:val="20"/>
                <w:szCs w:val="20"/>
                <w:color w:val="auto"/>
              </w:rPr>
            </w:pPr>
            <w:r>
              <w:rPr>
                <w:rFonts w:ascii="Arial" w:cs="Arial" w:eastAsia="Arial" w:hAnsi="Arial"/>
                <w:sz w:val="14"/>
                <w:szCs w:val="14"/>
                <w:color w:val="auto"/>
              </w:rPr>
              <w:t>Net cash used in investing activities</w:t>
            </w: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(1,195)</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(4,212)</w:t>
            </w:r>
          </w:p>
        </w:tc>
        <w:tc>
          <w:tcPr>
            <w:tcW w:w="0" w:type="dxa"/>
            <w:vAlign w:val="bottom"/>
          </w:tcPr>
          <w:p>
            <w:pPr>
              <w:spacing w:after="0"/>
              <w:rPr>
                <w:sz w:val="1"/>
                <w:szCs w:val="1"/>
                <w:color w:val="auto"/>
              </w:rPr>
            </w:pPr>
          </w:p>
        </w:tc>
      </w:tr>
      <w:tr>
        <w:trPr>
          <w:trHeight w:val="245"/>
        </w:trPr>
        <w:tc>
          <w:tcPr>
            <w:tcW w:w="664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640" w:type="dxa"/>
            <w:vAlign w:val="bottom"/>
          </w:tcPr>
          <w:p>
            <w:pPr>
              <w:spacing w:after="0"/>
              <w:rPr>
                <w:sz w:val="20"/>
                <w:szCs w:val="20"/>
                <w:color w:val="auto"/>
              </w:rPr>
            </w:pPr>
            <w:r>
              <w:rPr>
                <w:rFonts w:ascii="Arial" w:cs="Arial" w:eastAsia="Arial" w:hAnsi="Arial"/>
                <w:sz w:val="14"/>
                <w:szCs w:val="14"/>
                <w:color w:val="auto"/>
              </w:rPr>
              <w:t>Proceeds from the issuance of long-term debt, net of debt issuance costs</w:t>
            </w:r>
          </w:p>
        </w:tc>
        <w:tc>
          <w:tcPr>
            <w:tcW w:w="260" w:type="dxa"/>
            <w:vAlign w:val="bottom"/>
          </w:tcPr>
          <w:p>
            <w:pPr>
              <w:spacing w:after="0"/>
              <w:rPr>
                <w:sz w:val="23"/>
                <w:szCs w:val="23"/>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24,880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24,452</w:t>
            </w:r>
          </w:p>
        </w:tc>
        <w:tc>
          <w:tcPr>
            <w:tcW w:w="0" w:type="dxa"/>
            <w:vAlign w:val="bottom"/>
          </w:tcPr>
          <w:p>
            <w:pPr>
              <w:spacing w:after="0"/>
              <w:rPr>
                <w:sz w:val="1"/>
                <w:szCs w:val="1"/>
                <w:color w:val="auto"/>
              </w:rPr>
            </w:pPr>
          </w:p>
        </w:tc>
      </w:tr>
      <w:tr>
        <w:trPr>
          <w:trHeight w:val="270"/>
        </w:trPr>
        <w:tc>
          <w:tcPr>
            <w:tcW w:w="6640" w:type="dxa"/>
            <w:vAlign w:val="bottom"/>
          </w:tcPr>
          <w:p>
            <w:pPr>
              <w:spacing w:after="0"/>
              <w:rPr>
                <w:sz w:val="20"/>
                <w:szCs w:val="20"/>
                <w:color w:val="auto"/>
              </w:rPr>
            </w:pPr>
            <w:r>
              <w:rPr>
                <w:rFonts w:ascii="Arial" w:cs="Arial" w:eastAsia="Arial" w:hAnsi="Arial"/>
                <w:sz w:val="14"/>
                <w:szCs w:val="14"/>
                <w:color w:val="auto"/>
              </w:rPr>
              <w:t>Proceeds from the issuance of common stock in a public offering, net of issuance costs</w:t>
            </w:r>
          </w:p>
        </w:tc>
        <w:tc>
          <w:tcPr>
            <w:tcW w:w="260" w:type="dxa"/>
            <w:vAlign w:val="bottom"/>
          </w:tcPr>
          <w:p>
            <w:pPr>
              <w:spacing w:after="0"/>
              <w:rPr>
                <w:sz w:val="23"/>
                <w:szCs w:val="23"/>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200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31,949</w:t>
            </w:r>
          </w:p>
        </w:tc>
        <w:tc>
          <w:tcPr>
            <w:tcW w:w="0" w:type="dxa"/>
            <w:vAlign w:val="bottom"/>
          </w:tcPr>
          <w:p>
            <w:pPr>
              <w:spacing w:after="0"/>
              <w:rPr>
                <w:sz w:val="1"/>
                <w:szCs w:val="1"/>
                <w:color w:val="auto"/>
              </w:rPr>
            </w:pPr>
          </w:p>
        </w:tc>
      </w:tr>
      <w:tr>
        <w:trPr>
          <w:trHeight w:val="270"/>
        </w:trPr>
        <w:tc>
          <w:tcPr>
            <w:tcW w:w="6640" w:type="dxa"/>
            <w:vAlign w:val="bottom"/>
          </w:tcPr>
          <w:p>
            <w:pPr>
              <w:spacing w:after="0"/>
              <w:rPr>
                <w:sz w:val="20"/>
                <w:szCs w:val="20"/>
                <w:color w:val="auto"/>
              </w:rPr>
            </w:pPr>
            <w:r>
              <w:rPr>
                <w:rFonts w:ascii="Arial" w:cs="Arial" w:eastAsia="Arial" w:hAnsi="Arial"/>
                <w:sz w:val="14"/>
                <w:szCs w:val="14"/>
                <w:color w:val="auto"/>
              </w:rPr>
              <w:t>Payment of long-term debt</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(25,385)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270"/>
        </w:trPr>
        <w:tc>
          <w:tcPr>
            <w:tcW w:w="6640" w:type="dxa"/>
            <w:vAlign w:val="bottom"/>
          </w:tcPr>
          <w:p>
            <w:pPr>
              <w:spacing w:after="0"/>
              <w:rPr>
                <w:sz w:val="20"/>
                <w:szCs w:val="20"/>
                <w:color w:val="auto"/>
              </w:rPr>
            </w:pPr>
            <w:r>
              <w:rPr>
                <w:rFonts w:ascii="Arial" w:cs="Arial" w:eastAsia="Arial" w:hAnsi="Arial"/>
                <w:sz w:val="14"/>
                <w:szCs w:val="14"/>
                <w:color w:val="auto"/>
              </w:rPr>
              <w:t>Payment of end-of-term debt obligation and prepayment penalty</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(1,536)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r>
        <w:trPr>
          <w:trHeight w:val="270"/>
        </w:trPr>
        <w:tc>
          <w:tcPr>
            <w:tcW w:w="6640" w:type="dxa"/>
            <w:vAlign w:val="bottom"/>
          </w:tcPr>
          <w:p>
            <w:pPr>
              <w:spacing w:after="0"/>
              <w:rPr>
                <w:sz w:val="20"/>
                <w:szCs w:val="20"/>
                <w:color w:val="auto"/>
              </w:rPr>
            </w:pPr>
            <w:r>
              <w:rPr>
                <w:rFonts w:ascii="Arial" w:cs="Arial" w:eastAsia="Arial" w:hAnsi="Arial"/>
                <w:sz w:val="14"/>
                <w:szCs w:val="14"/>
                <w:color w:val="auto"/>
              </w:rPr>
              <w:t>Payment of capital lease liability</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(274)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6640" w:type="dxa"/>
            <w:vAlign w:val="bottom"/>
          </w:tcPr>
          <w:p>
            <w:pPr>
              <w:spacing w:after="0"/>
              <w:rPr>
                <w:sz w:val="20"/>
                <w:szCs w:val="20"/>
                <w:color w:val="auto"/>
              </w:rPr>
            </w:pPr>
            <w:r>
              <w:rPr>
                <w:rFonts w:ascii="Arial" w:cs="Arial" w:eastAsia="Arial" w:hAnsi="Arial"/>
                <w:sz w:val="14"/>
                <w:szCs w:val="14"/>
                <w:color w:val="auto"/>
              </w:rPr>
              <w:t>Proceeds from the exercise of common stock options and employee stock purchases</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1,897</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1,216</w:t>
            </w:r>
          </w:p>
        </w:tc>
        <w:tc>
          <w:tcPr>
            <w:tcW w:w="0" w:type="dxa"/>
            <w:vAlign w:val="bottom"/>
          </w:tcPr>
          <w:p>
            <w:pPr>
              <w:spacing w:after="0"/>
              <w:rPr>
                <w:sz w:val="1"/>
                <w:szCs w:val="1"/>
                <w:color w:val="auto"/>
              </w:rPr>
            </w:pPr>
          </w:p>
        </w:tc>
      </w:tr>
      <w:tr>
        <w:trPr>
          <w:trHeight w:val="250"/>
        </w:trPr>
        <w:tc>
          <w:tcPr>
            <w:tcW w:w="6640" w:type="dxa"/>
            <w:vAlign w:val="bottom"/>
          </w:tcPr>
          <w:p>
            <w:pPr>
              <w:spacing w:after="0"/>
              <w:rPr>
                <w:sz w:val="20"/>
                <w:szCs w:val="20"/>
                <w:color w:val="auto"/>
              </w:rPr>
            </w:pPr>
            <w:r>
              <w:rPr>
                <w:rFonts w:ascii="Arial" w:cs="Arial" w:eastAsia="Arial" w:hAnsi="Arial"/>
                <w:sz w:val="14"/>
                <w:szCs w:val="14"/>
                <w:color w:val="auto"/>
              </w:rPr>
              <w:t>Net cash (used in) provided by financing activities</w:t>
            </w: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52,329</w:t>
            </w:r>
          </w:p>
        </w:tc>
        <w:tc>
          <w:tcPr>
            <w:tcW w:w="0" w:type="dxa"/>
            <w:vAlign w:val="bottom"/>
          </w:tcPr>
          <w:p>
            <w:pPr>
              <w:spacing w:after="0"/>
              <w:rPr>
                <w:sz w:val="1"/>
                <w:szCs w:val="1"/>
                <w:color w:val="auto"/>
              </w:rPr>
            </w:pPr>
          </w:p>
        </w:tc>
      </w:tr>
      <w:tr>
        <w:trPr>
          <w:trHeight w:val="245"/>
        </w:trPr>
        <w:tc>
          <w:tcPr>
            <w:tcW w:w="6640" w:type="dxa"/>
            <w:vAlign w:val="bottom"/>
          </w:tcPr>
          <w:p>
            <w:pPr>
              <w:spacing w:after="0"/>
              <w:rPr>
                <w:sz w:val="20"/>
                <w:szCs w:val="20"/>
                <w:color w:val="auto"/>
              </w:rPr>
            </w:pPr>
            <w:r>
              <w:rPr>
                <w:rFonts w:ascii="Arial" w:cs="Arial" w:eastAsia="Arial" w:hAnsi="Arial"/>
                <w:sz w:val="14"/>
                <w:szCs w:val="14"/>
                <w:b w:val="1"/>
                <w:bCs w:val="1"/>
                <w:color w:val="auto"/>
              </w:rPr>
              <w:t>Net (decrease) increase in cash and cash equivalents</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(25,328)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20,135</w:t>
            </w:r>
          </w:p>
        </w:tc>
        <w:tc>
          <w:tcPr>
            <w:tcW w:w="0" w:type="dxa"/>
            <w:vAlign w:val="bottom"/>
          </w:tcPr>
          <w:p>
            <w:pPr>
              <w:spacing w:after="0"/>
              <w:rPr>
                <w:sz w:val="1"/>
                <w:szCs w:val="1"/>
                <w:color w:val="auto"/>
              </w:rPr>
            </w:pPr>
          </w:p>
        </w:tc>
      </w:tr>
      <w:tr>
        <w:trPr>
          <w:trHeight w:val="276"/>
        </w:trPr>
        <w:tc>
          <w:tcPr>
            <w:tcW w:w="6640" w:type="dxa"/>
            <w:vAlign w:val="bottom"/>
          </w:tcPr>
          <w:p>
            <w:pPr>
              <w:spacing w:after="0"/>
              <w:rPr>
                <w:sz w:val="20"/>
                <w:szCs w:val="20"/>
                <w:color w:val="auto"/>
              </w:rPr>
            </w:pPr>
            <w:r>
              <w:rPr>
                <w:rFonts w:ascii="Arial" w:cs="Arial" w:eastAsia="Arial" w:hAnsi="Arial"/>
                <w:sz w:val="14"/>
                <w:szCs w:val="14"/>
                <w:b w:val="1"/>
                <w:bCs w:val="1"/>
                <w:color w:val="auto"/>
              </w:rPr>
              <w:t>Cash and cash equivalents at beginning of year</w:t>
            </w: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59,219</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39,084</w:t>
            </w:r>
          </w:p>
        </w:tc>
        <w:tc>
          <w:tcPr>
            <w:tcW w:w="0" w:type="dxa"/>
            <w:vAlign w:val="bottom"/>
          </w:tcPr>
          <w:p>
            <w:pPr>
              <w:spacing w:after="0"/>
              <w:rPr>
                <w:sz w:val="1"/>
                <w:szCs w:val="1"/>
                <w:color w:val="auto"/>
              </w:rPr>
            </w:pPr>
          </w:p>
        </w:tc>
      </w:tr>
      <w:tr>
        <w:trPr>
          <w:trHeight w:val="243"/>
        </w:trPr>
        <w:tc>
          <w:tcPr>
            <w:tcW w:w="6640" w:type="dxa"/>
            <w:vAlign w:val="bottom"/>
          </w:tcPr>
          <w:p>
            <w:pPr>
              <w:spacing w:after="0"/>
              <w:rPr>
                <w:sz w:val="20"/>
                <w:szCs w:val="20"/>
                <w:color w:val="auto"/>
              </w:rPr>
            </w:pPr>
            <w:r>
              <w:rPr>
                <w:rFonts w:ascii="Arial" w:cs="Arial" w:eastAsia="Arial" w:hAnsi="Arial"/>
                <w:sz w:val="14"/>
                <w:szCs w:val="14"/>
                <w:b w:val="1"/>
                <w:bCs w:val="1"/>
                <w:color w:val="auto"/>
              </w:rPr>
              <w:t>Cash and cash equivalents at end of year</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33,891</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59,219</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4"/>
                <w:szCs w:val="14"/>
                <w:b w:val="1"/>
                <w:bCs w:val="1"/>
                <w:color w:val="auto"/>
              </w:rPr>
              <w:t>Supplementary cash flow information of non-cash investing and financing activities:</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6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640" w:type="dxa"/>
            <w:vAlign w:val="bottom"/>
          </w:tcPr>
          <w:p>
            <w:pPr>
              <w:spacing w:after="0"/>
              <w:rPr>
                <w:sz w:val="20"/>
                <w:szCs w:val="20"/>
                <w:color w:val="auto"/>
              </w:rPr>
            </w:pPr>
            <w:r>
              <w:rPr>
                <w:rFonts w:ascii="Arial" w:cs="Arial" w:eastAsia="Arial" w:hAnsi="Arial"/>
                <w:sz w:val="14"/>
                <w:szCs w:val="14"/>
                <w:color w:val="auto"/>
              </w:rPr>
              <w:t>Net receivable for reimbursement of public offering issuance costs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270"/>
        </w:trPr>
        <w:tc>
          <w:tcPr>
            <w:tcW w:w="6640" w:type="dxa"/>
            <w:vAlign w:val="bottom"/>
          </w:tcPr>
          <w:p>
            <w:pPr>
              <w:spacing w:after="0"/>
              <w:rPr>
                <w:sz w:val="20"/>
                <w:szCs w:val="20"/>
                <w:color w:val="auto"/>
              </w:rPr>
            </w:pPr>
            <w:r>
              <w:rPr>
                <w:rFonts w:ascii="Arial" w:cs="Arial" w:eastAsia="Arial" w:hAnsi="Arial"/>
                <w:sz w:val="14"/>
                <w:szCs w:val="14"/>
                <w:color w:val="auto"/>
              </w:rPr>
              <w:t>Purchases of property and equipment included in accounts payable and accrued liabilities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363</w:t>
            </w:r>
          </w:p>
        </w:tc>
        <w:tc>
          <w:tcPr>
            <w:tcW w:w="0" w:type="dxa"/>
            <w:vAlign w:val="bottom"/>
          </w:tcPr>
          <w:p>
            <w:pPr>
              <w:spacing w:after="0"/>
              <w:rPr>
                <w:sz w:val="1"/>
                <w:szCs w:val="1"/>
                <w:color w:val="auto"/>
              </w:rPr>
            </w:pPr>
          </w:p>
        </w:tc>
      </w:tr>
      <w:tr>
        <w:trPr>
          <w:trHeight w:val="270"/>
        </w:trPr>
        <w:tc>
          <w:tcPr>
            <w:tcW w:w="6640" w:type="dxa"/>
            <w:vAlign w:val="bottom"/>
          </w:tcPr>
          <w:p>
            <w:pPr>
              <w:spacing w:after="0"/>
              <w:rPr>
                <w:sz w:val="20"/>
                <w:szCs w:val="20"/>
                <w:color w:val="auto"/>
              </w:rPr>
            </w:pPr>
            <w:r>
              <w:rPr>
                <w:rFonts w:ascii="Arial" w:cs="Arial" w:eastAsia="Arial" w:hAnsi="Arial"/>
                <w:sz w:val="14"/>
                <w:szCs w:val="14"/>
                <w:b w:val="1"/>
                <w:bCs w:val="1"/>
                <w:color w:val="auto"/>
              </w:rPr>
              <w:t>Supplementary cash flow information:</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40" w:type="dxa"/>
            <w:vAlign w:val="bottom"/>
          </w:tcPr>
          <w:p>
            <w:pPr>
              <w:spacing w:after="0"/>
              <w:rPr>
                <w:sz w:val="20"/>
                <w:szCs w:val="20"/>
                <w:color w:val="auto"/>
              </w:rPr>
            </w:pPr>
            <w:r>
              <w:rPr>
                <w:rFonts w:ascii="Arial" w:cs="Arial" w:eastAsia="Arial" w:hAnsi="Arial"/>
                <w:sz w:val="14"/>
                <w:szCs w:val="14"/>
                <w:color w:val="auto"/>
              </w:rPr>
              <w:t>Cash paid for interest on debt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2,718</w:t>
            </w:r>
          </w:p>
        </w:tc>
        <w:tc>
          <w:tcPr>
            <w:tcW w:w="12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2,149</w:t>
            </w:r>
          </w:p>
        </w:tc>
        <w:tc>
          <w:tcPr>
            <w:tcW w:w="0" w:type="dxa"/>
            <w:vAlign w:val="bottom"/>
          </w:tcPr>
          <w:p>
            <w:pPr>
              <w:spacing w:after="0"/>
              <w:rPr>
                <w:sz w:val="1"/>
                <w:szCs w:val="1"/>
                <w:color w:val="auto"/>
              </w:rPr>
            </w:pPr>
          </w:p>
        </w:tc>
      </w:tr>
      <w:tr>
        <w:trPr>
          <w:trHeight w:val="270"/>
        </w:trPr>
        <w:tc>
          <w:tcPr>
            <w:tcW w:w="6640" w:type="dxa"/>
            <w:vAlign w:val="bottom"/>
          </w:tcPr>
          <w:p>
            <w:pPr>
              <w:spacing w:after="0"/>
              <w:rPr>
                <w:sz w:val="20"/>
                <w:szCs w:val="20"/>
                <w:color w:val="auto"/>
              </w:rPr>
            </w:pPr>
            <w:r>
              <w:rPr>
                <w:rFonts w:ascii="Arial" w:cs="Arial" w:eastAsia="Arial" w:hAnsi="Arial"/>
                <w:sz w:val="14"/>
                <w:szCs w:val="14"/>
                <w:color w:val="auto"/>
              </w:rPr>
              <w:t>Cash paid for tax</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bl>
    <w:p>
      <w:pPr>
        <w:sectPr>
          <w:pgSz w:w="11900" w:h="16838" w:orient="portrait"/>
          <w:cols w:equalWidth="0" w:num="1">
            <w:col w:w="9180"/>
          </w:cols>
          <w:pgMar w:left="1380" w:top="747" w:right="1339" w:bottom="1440" w:gutter="0" w:footer="0" w:header="0"/>
        </w:sectPr>
      </w:pPr>
    </w:p>
    <w:bookmarkStart w:id="9" w:name="page10"/>
    <w:bookmarkEnd w:id="9"/>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cash used in operating activities to cash burn: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in thousands of dollars)</w:t>
      </w:r>
    </w:p>
    <w:p>
      <w:pPr>
        <w:spacing w:after="0" w:line="200" w:lineRule="exact"/>
        <w:rPr>
          <w:sz w:val="20"/>
          <w:szCs w:val="20"/>
          <w:color w:val="auto"/>
        </w:rPr>
      </w:pPr>
    </w:p>
    <w:p>
      <w:pPr>
        <w:spacing w:after="0" w:line="210"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4620" w:type="dxa"/>
            <w:vAlign w:val="bottom"/>
          </w:tcPr>
          <w:p>
            <w:pPr>
              <w:spacing w:after="0"/>
              <w:rPr>
                <w:sz w:val="18"/>
                <w:szCs w:val="18"/>
                <w:color w:val="auto"/>
              </w:rPr>
            </w:pPr>
          </w:p>
        </w:tc>
        <w:tc>
          <w:tcPr>
            <w:tcW w:w="3640" w:type="dxa"/>
            <w:vAlign w:val="bottom"/>
            <w:gridSpan w:val="6"/>
          </w:tcPr>
          <w:p>
            <w:pPr>
              <w:ind w:left="440"/>
              <w:spacing w:after="0"/>
              <w:rPr>
                <w:sz w:val="20"/>
                <w:szCs w:val="20"/>
                <w:color w:val="auto"/>
              </w:rPr>
            </w:pPr>
            <w:r>
              <w:rPr>
                <w:rFonts w:ascii="Arial" w:cs="Arial" w:eastAsia="Arial" w:hAnsi="Arial"/>
                <w:sz w:val="16"/>
                <w:szCs w:val="16"/>
                <w:b w:val="1"/>
                <w:bCs w:val="1"/>
                <w:color w:val="auto"/>
              </w:rPr>
              <w:t>Three Months Ended December 31,</w:t>
            </w:r>
          </w:p>
        </w:tc>
        <w:tc>
          <w:tcPr>
            <w:tcW w:w="300" w:type="dxa"/>
            <w:vAlign w:val="bottom"/>
          </w:tcPr>
          <w:p>
            <w:pPr>
              <w:spacing w:after="0"/>
              <w:rPr>
                <w:sz w:val="18"/>
                <w:szCs w:val="18"/>
                <w:color w:val="auto"/>
              </w:rPr>
            </w:pPr>
          </w:p>
        </w:tc>
        <w:tc>
          <w:tcPr>
            <w:tcW w:w="272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Year Ended December 31,</w:t>
            </w:r>
          </w:p>
        </w:tc>
      </w:tr>
      <w:tr>
        <w:trPr>
          <w:trHeight w:val="33"/>
        </w:trPr>
        <w:tc>
          <w:tcPr>
            <w:tcW w:w="46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46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r>
      <w:tr>
        <w:trPr>
          <w:trHeight w:val="33"/>
        </w:trPr>
        <w:tc>
          <w:tcPr>
            <w:tcW w:w="4620" w:type="dxa"/>
            <w:vAlign w:val="bottom"/>
            <w:tcBorders>
              <w:bottom w:val="single" w:sz="8" w:color="BFE4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4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BFE4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BFE4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46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Net cash used in operating activities</w:t>
            </w:r>
          </w:p>
        </w:tc>
        <w:tc>
          <w:tcPr>
            <w:tcW w:w="940" w:type="dxa"/>
            <w:vAlign w:val="bottom"/>
            <w:tcBorders>
              <w:bottom w:val="single" w:sz="8" w:color="BFE4FF"/>
            </w:tcBorders>
            <w:shd w:val="clear" w:color="auto" w:fill="BFE4FF"/>
          </w:tcPr>
          <w:p>
            <w:pPr>
              <w:jc w:val="right"/>
              <w:ind w:right="73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w w:val="90"/>
              </w:rPr>
              <w:t>(5,816)</w:t>
            </w:r>
          </w:p>
        </w:tc>
        <w:tc>
          <w:tcPr>
            <w:tcW w:w="340" w:type="dxa"/>
            <w:vAlign w:val="bottom"/>
            <w:tcBorders>
              <w:bottom w:val="single" w:sz="8" w:color="BFE4FF"/>
            </w:tcBorders>
            <w:shd w:val="clear" w:color="auto" w:fill="BFE4FF"/>
          </w:tcPr>
          <w:p>
            <w:pPr>
              <w:spacing w:after="0"/>
              <w:rPr>
                <w:sz w:val="20"/>
                <w:szCs w:val="20"/>
                <w:color w:val="auto"/>
              </w:rPr>
            </w:pPr>
          </w:p>
        </w:tc>
        <w:tc>
          <w:tcPr>
            <w:tcW w:w="340" w:type="dxa"/>
            <w:vAlign w:val="bottom"/>
            <w:tcBorders>
              <w:bottom w:val="single" w:sz="8" w:color="BFE4FF"/>
            </w:tcBorders>
            <w:shd w:val="clear" w:color="auto" w:fill="BFE4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(4,232)</w:t>
            </w:r>
          </w:p>
        </w:tc>
        <w:tc>
          <w:tcPr>
            <w:tcW w:w="340" w:type="dxa"/>
            <w:vAlign w:val="bottom"/>
            <w:tcBorders>
              <w:bottom w:val="single" w:sz="8" w:color="BFE4FF"/>
            </w:tcBorders>
            <w:shd w:val="clear" w:color="auto" w:fill="BFE4FF"/>
          </w:tcPr>
          <w:p>
            <w:pPr>
              <w:spacing w:after="0"/>
              <w:rPr>
                <w:sz w:val="20"/>
                <w:szCs w:val="20"/>
                <w:color w:val="auto"/>
              </w:rPr>
            </w:pPr>
          </w:p>
        </w:tc>
        <w:tc>
          <w:tcPr>
            <w:tcW w:w="300" w:type="dxa"/>
            <w:vAlign w:val="bottom"/>
            <w:tcBorders>
              <w:bottom w:val="single" w:sz="8" w:color="BFE4FF"/>
            </w:tcBorders>
            <w:shd w:val="clear" w:color="auto" w:fill="BFE4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(23,915)</w:t>
            </w:r>
          </w:p>
        </w:tc>
        <w:tc>
          <w:tcPr>
            <w:tcW w:w="340" w:type="dxa"/>
            <w:vAlign w:val="bottom"/>
            <w:tcBorders>
              <w:bottom w:val="single" w:sz="8" w:color="BFE4FF"/>
            </w:tcBorders>
            <w:shd w:val="clear" w:color="auto" w:fill="BFE4FF"/>
          </w:tcPr>
          <w:p>
            <w:pPr>
              <w:spacing w:after="0"/>
              <w:rPr>
                <w:sz w:val="20"/>
                <w:szCs w:val="20"/>
                <w:color w:val="auto"/>
              </w:rPr>
            </w:pPr>
          </w:p>
        </w:tc>
        <w:tc>
          <w:tcPr>
            <w:tcW w:w="300" w:type="dxa"/>
            <w:vAlign w:val="bottom"/>
            <w:tcBorders>
              <w:bottom w:val="single" w:sz="8" w:color="BFE4FF"/>
            </w:tcBorders>
            <w:shd w:val="clear" w:color="auto" w:fill="BFE4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(27,982)</w:t>
            </w:r>
          </w:p>
        </w:tc>
      </w:tr>
      <w:tr>
        <w:trPr>
          <w:trHeight w:val="237"/>
        </w:trPr>
        <w:tc>
          <w:tcPr>
            <w:tcW w:w="4620" w:type="dxa"/>
            <w:vAlign w:val="bottom"/>
          </w:tcPr>
          <w:p>
            <w:pPr>
              <w:ind w:left="20"/>
              <w:spacing w:after="0"/>
              <w:rPr>
                <w:sz w:val="20"/>
                <w:szCs w:val="20"/>
                <w:color w:val="auto"/>
              </w:rPr>
            </w:pPr>
            <w:r>
              <w:rPr>
                <w:rFonts w:ascii="Arial" w:cs="Arial" w:eastAsia="Arial" w:hAnsi="Arial"/>
                <w:sz w:val="16"/>
                <w:szCs w:val="16"/>
                <w:color w:val="auto"/>
              </w:rPr>
              <w:t>Plus purchases of property and equipment</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(300)</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(450)</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(1,755)</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(4,210)</w:t>
            </w:r>
          </w:p>
        </w:tc>
      </w:tr>
      <w:tr>
        <w:trPr>
          <w:trHeight w:val="33"/>
        </w:trPr>
        <w:tc>
          <w:tcPr>
            <w:tcW w:w="4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6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Less proceeds from the sale of property and equipment</w:t>
            </w:r>
          </w:p>
        </w:tc>
        <w:tc>
          <w:tcPr>
            <w:tcW w:w="940" w:type="dxa"/>
            <w:vAlign w:val="bottom"/>
            <w:tcBorders>
              <w:bottom w:val="single" w:sz="8" w:color="BFE4FF"/>
            </w:tcBorders>
            <w:shd w:val="clear" w:color="auto" w:fill="BFE4FF"/>
          </w:tcPr>
          <w:p>
            <w:pPr>
              <w:spacing w:after="0"/>
              <w:rPr>
                <w:sz w:val="23"/>
                <w:szCs w:val="23"/>
                <w:color w:val="auto"/>
              </w:rPr>
            </w:pPr>
          </w:p>
        </w:tc>
        <w:tc>
          <w:tcPr>
            <w:tcW w:w="900" w:type="dxa"/>
            <w:vAlign w:val="bottom"/>
            <w:tcBorders>
              <w:bottom w:val="single" w:sz="8" w:color="BFE4FF"/>
            </w:tcBorders>
            <w:gridSpan w:val="2"/>
            <w:shd w:val="clear" w:color="auto" w:fill="BFE4FF"/>
          </w:tcPr>
          <w:p>
            <w:pPr>
              <w:jc w:val="right"/>
              <w:ind w:right="4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BFE4FF"/>
            </w:tcBorders>
            <w:shd w:val="clear" w:color="auto" w:fill="BFE4FF"/>
          </w:tcPr>
          <w:p>
            <w:pPr>
              <w:spacing w:after="0"/>
              <w:rPr>
                <w:sz w:val="23"/>
                <w:szCs w:val="23"/>
                <w:color w:val="auto"/>
              </w:rPr>
            </w:pPr>
          </w:p>
        </w:tc>
        <w:tc>
          <w:tcPr>
            <w:tcW w:w="1460" w:type="dxa"/>
            <w:vAlign w:val="bottom"/>
            <w:tcBorders>
              <w:bottom w:val="single" w:sz="8" w:color="BFE4FF"/>
            </w:tcBorders>
            <w:gridSpan w:val="2"/>
            <w:shd w:val="clear" w:color="auto" w:fill="BFE4FF"/>
          </w:tcPr>
          <w:p>
            <w:pPr>
              <w:jc w:val="right"/>
              <w:ind w:right="4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BFE4FF"/>
            </w:tcBorders>
            <w:shd w:val="clear" w:color="auto" w:fill="BFE4FF"/>
          </w:tcPr>
          <w:p>
            <w:pPr>
              <w:spacing w:after="0"/>
              <w:rPr>
                <w:sz w:val="23"/>
                <w:szCs w:val="23"/>
                <w:color w:val="auto"/>
              </w:rPr>
            </w:pPr>
          </w:p>
        </w:tc>
        <w:tc>
          <w:tcPr>
            <w:tcW w:w="104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440</w:t>
            </w:r>
          </w:p>
        </w:tc>
        <w:tc>
          <w:tcPr>
            <w:tcW w:w="340" w:type="dxa"/>
            <w:vAlign w:val="bottom"/>
            <w:tcBorders>
              <w:bottom w:val="single" w:sz="8" w:color="BFE4FF"/>
            </w:tcBorders>
            <w:shd w:val="clear" w:color="auto" w:fill="BFE4FF"/>
          </w:tcPr>
          <w:p>
            <w:pPr>
              <w:spacing w:after="0"/>
              <w:rPr>
                <w:sz w:val="23"/>
                <w:szCs w:val="23"/>
                <w:color w:val="auto"/>
              </w:rPr>
            </w:pPr>
          </w:p>
        </w:tc>
        <w:tc>
          <w:tcPr>
            <w:tcW w:w="300" w:type="dxa"/>
            <w:vAlign w:val="bottom"/>
            <w:tcBorders>
              <w:bottom w:val="single" w:sz="8" w:color="BFE4FF"/>
            </w:tcBorders>
            <w:shd w:val="clear" w:color="auto" w:fill="BFE4FF"/>
          </w:tcPr>
          <w:p>
            <w:pPr>
              <w:spacing w:after="0"/>
              <w:rPr>
                <w:sz w:val="23"/>
                <w:szCs w:val="23"/>
                <w:color w:val="auto"/>
              </w:rPr>
            </w:pPr>
          </w:p>
        </w:tc>
        <w:tc>
          <w:tcPr>
            <w:tcW w:w="104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w:t>
            </w:r>
          </w:p>
        </w:tc>
      </w:tr>
      <w:tr>
        <w:trPr>
          <w:trHeight w:val="284"/>
        </w:trPr>
        <w:tc>
          <w:tcPr>
            <w:tcW w:w="4620" w:type="dxa"/>
            <w:vAlign w:val="bottom"/>
            <w:tcBorders>
              <w:bottom w:val="single" w:sz="8" w:color="BFE4FF"/>
            </w:tcBorders>
          </w:tcPr>
          <w:p>
            <w:pPr>
              <w:ind w:left="20"/>
              <w:spacing w:after="0"/>
              <w:rPr>
                <w:sz w:val="20"/>
                <w:szCs w:val="20"/>
                <w:color w:val="auto"/>
              </w:rPr>
            </w:pPr>
            <w:r>
              <w:rPr>
                <w:rFonts w:ascii="Arial" w:cs="Arial" w:eastAsia="Arial" w:hAnsi="Arial"/>
                <w:sz w:val="16"/>
                <w:szCs w:val="16"/>
                <w:color w:val="auto"/>
              </w:rPr>
              <w:t>Cash burn</w:t>
            </w:r>
          </w:p>
        </w:tc>
        <w:tc>
          <w:tcPr>
            <w:tcW w:w="94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0"/>
              </w:rPr>
              <w:t>(6,116)</w:t>
            </w:r>
          </w:p>
        </w:tc>
        <w:tc>
          <w:tcPr>
            <w:tcW w:w="340" w:type="dxa"/>
            <w:vAlign w:val="bottom"/>
            <w:tcBorders>
              <w:bottom w:val="single" w:sz="8" w:color="BFE4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(4,682)</w:t>
            </w:r>
          </w:p>
        </w:tc>
        <w:tc>
          <w:tcPr>
            <w:tcW w:w="340" w:type="dxa"/>
            <w:vAlign w:val="bottom"/>
            <w:tcBorders>
              <w:bottom w:val="single" w:sz="8" w:color="BFE4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(25,230)</w:t>
            </w:r>
          </w:p>
        </w:tc>
        <w:tc>
          <w:tcPr>
            <w:tcW w:w="340" w:type="dxa"/>
            <w:vAlign w:val="bottom"/>
            <w:tcBorders>
              <w:bottom w:val="single" w:sz="8" w:color="BFE4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(32,192)</w:t>
            </w:r>
          </w:p>
        </w:tc>
      </w:tr>
      <w:tr>
        <w:trPr>
          <w:trHeight w:val="237"/>
        </w:trPr>
        <w:tc>
          <w:tcPr>
            <w:tcW w:w="46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940" w:type="dxa"/>
            <w:vAlign w:val="bottom"/>
            <w:tcBorders>
              <w:bottom w:val="single" w:sz="8" w:color="auto"/>
            </w:tcBorders>
            <w:shd w:val="clear" w:color="auto" w:fill="BFE4FF"/>
          </w:tcPr>
          <w:p>
            <w:pPr>
              <w:jc w:val="right"/>
              <w:ind w:right="73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(300)</w:t>
            </w:r>
          </w:p>
        </w:tc>
        <w:tc>
          <w:tcPr>
            <w:tcW w:w="340" w:type="dxa"/>
            <w:vAlign w:val="bottom"/>
            <w:tcBorders>
              <w:bottom w:val="single" w:sz="8" w:color="BFE4FF"/>
            </w:tcBorders>
            <w:shd w:val="clear" w:color="auto" w:fill="BFE4FF"/>
          </w:tcPr>
          <w:p>
            <w:pPr>
              <w:spacing w:after="0"/>
              <w:rPr>
                <w:sz w:val="20"/>
                <w:szCs w:val="20"/>
                <w:color w:val="auto"/>
              </w:rPr>
            </w:pPr>
          </w:p>
        </w:tc>
        <w:tc>
          <w:tcPr>
            <w:tcW w:w="340" w:type="dxa"/>
            <w:vAlign w:val="bottom"/>
            <w:tcBorders>
              <w:bottom w:val="single" w:sz="8" w:color="auto"/>
            </w:tcBorders>
            <w:shd w:val="clear" w:color="auto" w:fill="BFE4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(450)</w:t>
            </w:r>
          </w:p>
        </w:tc>
        <w:tc>
          <w:tcPr>
            <w:tcW w:w="340" w:type="dxa"/>
            <w:vAlign w:val="bottom"/>
            <w:tcBorders>
              <w:bottom w:val="single" w:sz="8" w:color="BFE4FF"/>
            </w:tcBorders>
            <w:shd w:val="clear" w:color="auto" w:fill="BFE4FF"/>
          </w:tcPr>
          <w:p>
            <w:pPr>
              <w:spacing w:after="0"/>
              <w:rPr>
                <w:sz w:val="20"/>
                <w:szCs w:val="20"/>
                <w:color w:val="auto"/>
              </w:rPr>
            </w:pPr>
          </w:p>
        </w:tc>
        <w:tc>
          <w:tcPr>
            <w:tcW w:w="300" w:type="dxa"/>
            <w:vAlign w:val="bottom"/>
            <w:tcBorders>
              <w:bottom w:val="single" w:sz="8" w:color="auto"/>
            </w:tcBorders>
            <w:shd w:val="clear" w:color="auto" w:fill="BFE4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(1,195)</w:t>
            </w:r>
          </w:p>
        </w:tc>
        <w:tc>
          <w:tcPr>
            <w:tcW w:w="340" w:type="dxa"/>
            <w:vAlign w:val="bottom"/>
            <w:tcBorders>
              <w:bottom w:val="single" w:sz="8" w:color="BFE4FF"/>
            </w:tcBorders>
            <w:shd w:val="clear" w:color="auto" w:fill="BFE4FF"/>
          </w:tcPr>
          <w:p>
            <w:pPr>
              <w:spacing w:after="0"/>
              <w:rPr>
                <w:sz w:val="20"/>
                <w:szCs w:val="20"/>
                <w:color w:val="auto"/>
              </w:rPr>
            </w:pPr>
          </w:p>
        </w:tc>
        <w:tc>
          <w:tcPr>
            <w:tcW w:w="300" w:type="dxa"/>
            <w:vAlign w:val="bottom"/>
            <w:tcBorders>
              <w:bottom w:val="single" w:sz="8" w:color="auto"/>
            </w:tcBorders>
            <w:shd w:val="clear" w:color="auto" w:fill="BFE4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(4,212)</w:t>
            </w:r>
          </w:p>
        </w:tc>
      </w:tr>
      <w:tr>
        <w:trPr>
          <w:trHeight w:val="20"/>
        </w:trPr>
        <w:tc>
          <w:tcPr>
            <w:tcW w:w="46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4620" w:type="dxa"/>
            <w:vAlign w:val="bottom"/>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94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(1,188)</w:t>
            </w:r>
          </w:p>
        </w:tc>
        <w:tc>
          <w:tcPr>
            <w:tcW w:w="34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32,202</w:t>
            </w:r>
          </w:p>
        </w:tc>
        <w:tc>
          <w:tcPr>
            <w:tcW w:w="340" w:type="dxa"/>
            <w:vAlign w:val="bottom"/>
          </w:tcPr>
          <w:p>
            <w:pPr>
              <w:spacing w:after="0"/>
              <w:rPr>
                <w:sz w:val="20"/>
                <w:szCs w:val="20"/>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w:t>
            </w:r>
          </w:p>
        </w:tc>
        <w:tc>
          <w:tcPr>
            <w:tcW w:w="340" w:type="dxa"/>
            <w:vAlign w:val="bottom"/>
          </w:tcPr>
          <w:p>
            <w:pPr>
              <w:spacing w:after="0"/>
              <w:rPr>
                <w:sz w:val="20"/>
                <w:szCs w:val="20"/>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52,329</w:t>
            </w:r>
          </w:p>
        </w:tc>
      </w:tr>
      <w:tr>
        <w:trPr>
          <w:trHeight w:val="20"/>
        </w:trPr>
        <w:tc>
          <w:tcPr>
            <w:tcW w:w="46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Source: Veracyte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Tracy Morris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650-380-4413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tracy.morris@veracyte.com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Keith Kennedy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650-243-6357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keith@veracyte.com</w:t>
      </w:r>
    </w:p>
    <w:sectPr>
      <w:pgSz w:w="11900" w:h="16838" w:orient="portrait"/>
      <w:cols w:equalWidth="0" w:num="1">
        <w:col w:w="11360"/>
      </w:cols>
      <w:pgMar w:left="240" w:top="144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1)"/>
      <w:numFmt w:val="decimal"/>
    </w:lvl>
    <w:lvl w:ilvl="1">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2019-12-29T01:24:57Z</dcterms:created>
  <dcterms:modified xsi:type="dcterms:W3CDTF">2019-12-29T01:24:57Z</dcterms:modified>
</cp:coreProperties>
</file>