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556952.xml.htm"/>
      <w:bookmarkStart w:id="1" w:name="kswkform4_17815569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EPSTEIN ROBERT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6000 SHORELINE COURT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VERACYTE, INC.</w:t>
              </w:r>
            </w:hyperlink>
            <w:r>
              <w:rPr/>
              <w:t xml:space="preserve"> [ </w:t>
            </w:r>
            <w:r>
              <w:rPr>
                <w:rFonts w:ascii="Times;serif" w:hAnsi="Times;serif"/>
                <w:color w:val="0000FF"/>
                <w:sz w:val="24"/>
                <w:shd w:fill="FFFFFF" w:val="clear"/>
              </w:rPr>
              <w:t>VCYT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57,718</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awarded on June 11, 2026 vest in full on the first anniversary of the date of the grant or immediately prior to the Company's next annual meeting of stockholders, if earlier. In addition, the restricted stock units vest in full in the event of a change in control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Wygant,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2004" TargetMode="External"/><Relationship Id="rId5" Type="http://schemas.openxmlformats.org/officeDocument/2006/relationships/hyperlink" Target="http://www.sec.gov/cgi-bin/browse-edgar?action=getcompany&amp;CIK=00013841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3302</Characters>
  <CharactersWithSpaces>3858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