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July 29, 2021</w:t>
            </w:r>
          </w:p>
        </w:tc>
        <w:tc>
          <w:tcPr>
            <w:tcW w:w="2400" w:type="dxa"/>
            <w:vAlign w:val="bottom"/>
          </w:tcPr>
          <w:p>
            <w:pPr>
              <w:spacing w:after="0"/>
              <w:rPr>
                <w:sz w:val="20"/>
                <w:szCs w:val="20"/>
                <w:color w:val="auto"/>
              </w:rPr>
            </w:pPr>
          </w:p>
        </w:tc>
      </w:tr>
      <w:tr>
        <w:trPr>
          <w:trHeight w:val="445"/>
        </w:trPr>
        <w:tc>
          <w:tcPr>
            <w:tcW w:w="236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60" w:type="dxa"/>
            <w:vAlign w:val="bottom"/>
          </w:tcPr>
          <w:p>
            <w:pPr>
              <w:jc w:val="center"/>
              <w:ind w:right="190"/>
              <w:spacing w:after="0"/>
              <w:rPr>
                <w:sz w:val="20"/>
                <w:szCs w:val="20"/>
                <w:color w:val="auto"/>
              </w:rPr>
            </w:pPr>
            <w:r>
              <w:rPr>
                <w:rFonts w:ascii="Arial" w:cs="Arial" w:eastAsia="Arial" w:hAnsi="Arial"/>
                <w:sz w:val="18"/>
                <w:szCs w:val="18"/>
                <w:color w:val="auto"/>
                <w:w w:val="94"/>
              </w:rPr>
              <w:t>incorporation)</w:t>
            </w:r>
          </w:p>
        </w:tc>
        <w:tc>
          <w:tcPr>
            <w:tcW w:w="502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July 29, 2021, Veracyte, Inc. (the “Company”) issued a press release announcing its financial results for the quarter ended June 30, 2021. The full text of the press release is furnished as Exhibit 99.1 to this report.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43"/>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1"/>
                <w:szCs w:val="21"/>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91"/>
        </w:trPr>
        <w:tc>
          <w:tcPr>
            <w:tcW w:w="1420" w:type="dxa"/>
            <w:vAlign w:val="bottom"/>
            <w:tcBorders>
              <w:top w:val="single" w:sz="8" w:color="auto"/>
            </w:tcBorders>
            <w:gridSpan w:val="3"/>
          </w:tcPr>
          <w:p>
            <w:pPr>
              <w:jc w:val="right"/>
              <w:ind w:right="440"/>
              <w:spacing w:after="0"/>
              <w:rPr>
                <w:rFonts w:ascii="Arial" w:cs="Arial" w:eastAsia="Arial" w:hAnsi="Arial"/>
                <w:sz w:val="18"/>
                <w:szCs w:val="18"/>
                <w:color w:val="0000FF"/>
              </w:rPr>
            </w:pPr>
            <w:hyperlink w:anchor="page3">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20" w:type="dxa"/>
            <w:vAlign w:val="bottom"/>
            <w:tcBorders>
              <w:top w:val="single" w:sz="8" w:color="auto"/>
            </w:tcBorders>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Press release issued by Veracyte, Inc. dated July </w:t>
              </w:r>
            </w:hyperlink>
            <w:r>
              <w:rPr>
                <w:rFonts w:ascii="Arial" w:cs="Arial" w:eastAsia="Arial" w:hAnsi="Arial"/>
                <w:sz w:val="18"/>
                <w:szCs w:val="18"/>
                <w:color w:val="0000FF"/>
              </w:rPr>
              <w:t xml:space="preserve">29, </w:t>
            </w:r>
            <w:hyperlink w:anchor="page3">
              <w:r>
                <w:rPr>
                  <w:rFonts w:ascii="Arial" w:cs="Arial" w:eastAsia="Arial" w:hAnsi="Arial"/>
                  <w:sz w:val="18"/>
                  <w:szCs w:val="18"/>
                  <w:color w:val="0000FF"/>
                </w:rPr>
                <w:t>2021.</w:t>
              </w:r>
            </w:hyperlink>
          </w:p>
        </w:tc>
      </w:tr>
      <w:tr>
        <w:trPr>
          <w:trHeight w:val="20"/>
        </w:trPr>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77"/>
        </w:trPr>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29, 2021</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1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6350</wp:posOffset>
            </wp:positionV>
            <wp:extent cx="127698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69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Second Quarter 2021 Financial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Revenue Increased 166% to $55.1 million; Genomic Volume Grew 215% to 20,856 Tests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Advanced Clinical Evidence, Pipeline and Global Growth Strategy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Raises 2021 Total Revenue Guidance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8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SOUTH SAN FRANCISCO, Calif., July 29, 2021 – Veracyte, Inc. (Nasdaq: VCYT) today announced financial results for the second quarter ended June 30, 2021, and provided an update on recent business progress.</w:t>
      </w:r>
    </w:p>
    <w:p>
      <w:pPr>
        <w:spacing w:after="0" w:line="21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“Our business demonstrated significant momentum in the second quarter, with particularly strong growth in our thyroid and urologic cancer product lines,” said Marc Stapley, Veracyte’s chief executive officer. “The pending HalioDx acquisition is expected to further fuel our global cancer diagnostics growth and leadership. Importantly, we also added key new hires to the executive team and are well-positioned to execute on our compelling vision of improving outcomes for patients all over the world at every step of their journey.”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second quarter of 2021, as compared with the second quarter of 2020:</w:t>
      </w:r>
    </w:p>
    <w:p>
      <w:pPr>
        <w:spacing w:after="0" w:line="212"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$55.1 million, an increase of 166%;</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68%, an increase of 500 basis points;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$45.1 million, an increase of 87%;</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$9.0 million, an improvement of 18%;</w:t>
      </w:r>
    </w:p>
    <w:p>
      <w:pPr>
        <w:spacing w:after="0" w:line="9" w:lineRule="exact"/>
        <w:rPr>
          <w:rFonts w:ascii="Arial" w:cs="Arial" w:eastAsia="Arial" w:hAnsi="Arial"/>
          <w:sz w:val="18"/>
          <w:szCs w:val="18"/>
          <w:color w:val="auto"/>
        </w:rPr>
      </w:pPr>
    </w:p>
    <w:p>
      <w:pPr>
        <w:ind w:left="820" w:hanging="326"/>
        <w:spacing w:after="0" w:line="23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$0.13, an improvement of 41%;</w:t>
      </w:r>
    </w:p>
    <w:p>
      <w:pPr>
        <w:ind w:left="820" w:hanging="326"/>
        <w:spacing w:after="0" w:line="23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$1.9 million, an improvement of 122%; and</w:t>
      </w: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$327.5 million at June 30, 2021.</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 the six months ended June 30, 2021, compared to the prior year:</w:t>
      </w:r>
    </w:p>
    <w:p>
      <w:pPr>
        <w:spacing w:after="0" w:line="239" w:lineRule="exact"/>
        <w:rPr>
          <w:sz w:val="20"/>
          <w:szCs w:val="20"/>
          <w:color w:val="auto"/>
        </w:rPr>
      </w:pPr>
    </w:p>
    <w:p>
      <w:pPr>
        <w:ind w:left="820" w:right="340" w:hanging="326"/>
        <w:spacing w:after="0" w:line="260" w:lineRule="auto"/>
        <w:tabs>
          <w:tab w:leader="none" w:pos="8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$91.8 million, comprising $89.6 million in testing and product revenue and $2.2 million in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and collaboration revenue, an increase of 77%;</w:t>
      </w:r>
    </w:p>
    <w:p>
      <w:pPr>
        <w:spacing w:after="0" w:line="1" w:lineRule="exact"/>
        <w:rPr>
          <w:rFonts w:ascii="Arial" w:cs="Arial" w:eastAsia="Arial" w:hAnsi="Arial"/>
          <w:sz w:val="18"/>
          <w:szCs w:val="18"/>
          <w:i w:val="1"/>
          <w:iCs w:val="1"/>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67%, an increase of 500 basis points;</w:t>
      </w:r>
    </w:p>
    <w:p>
      <w:pPr>
        <w:spacing w:after="0" w:line="9" w:lineRule="exact"/>
        <w:rPr>
          <w:rFonts w:ascii="Arial" w:cs="Arial" w:eastAsia="Arial" w:hAnsi="Arial"/>
          <w:sz w:val="18"/>
          <w:szCs w:val="18"/>
          <w:color w:val="auto"/>
        </w:rPr>
      </w:pPr>
    </w:p>
    <w:p>
      <w:pPr>
        <w:ind w:left="820" w:right="18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$114.8 million, including $39.5 million of acquisition-related expenses,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108%;</w:t>
      </w: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Net Loss and Comprehensive Loss </w:t>
      </w:r>
      <w:r>
        <w:rPr>
          <w:rFonts w:ascii="Arial" w:cs="Arial" w:eastAsia="Arial" w:hAnsi="Arial"/>
          <w:sz w:val="17"/>
          <w:szCs w:val="17"/>
          <w:color w:val="auto"/>
        </w:rPr>
        <w:t>was $50.9 million, including $39.5 million of acquisition-related expenses, an increase of 124%;</w:t>
      </w:r>
    </w:p>
    <w:p>
      <w:pPr>
        <w:spacing w:after="0" w:line="20" w:lineRule="exact"/>
        <w:rPr>
          <w:rFonts w:ascii="Arial" w:cs="Arial" w:eastAsia="Arial" w:hAnsi="Arial"/>
          <w:sz w:val="17"/>
          <w:szCs w:val="17"/>
          <w:color w:val="auto"/>
        </w:rPr>
      </w:pPr>
    </w:p>
    <w:p>
      <w:pPr>
        <w:ind w:left="820" w:right="68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$0.78, including $0.60 per share attributable to the acquisition-related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recorded in general and administrative expenses, an increase of 73%; and</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$38.7 million.</w:t>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Second Quarter 2021 and Recent Business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68" w:lineRule="exact"/>
        <w:rPr>
          <w:sz w:val="20"/>
          <w:szCs w:val="20"/>
          <w:color w:val="auto"/>
        </w:rPr>
      </w:pPr>
    </w:p>
    <w:p>
      <w:pPr>
        <w:ind w:left="660" w:right="28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total volume to 20,856 genomic tests, an increase of 215% compared to the same period in 2020 and 44% compared to the first quarter of 2021.</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key managed care milestones for our genomic tests:</w:t>
      </w:r>
    </w:p>
    <w:p>
      <w:pPr>
        <w:spacing w:after="0" w:line="49" w:lineRule="exact"/>
        <w:rPr>
          <w:rFonts w:ascii="Arial" w:cs="Arial" w:eastAsia="Arial" w:hAnsi="Arial"/>
          <w:sz w:val="18"/>
          <w:szCs w:val="18"/>
          <w:color w:val="auto"/>
        </w:rPr>
      </w:pPr>
    </w:p>
    <w:p>
      <w:pPr>
        <w:ind w:left="980" w:right="300" w:hanging="324"/>
        <w:spacing w:after="0" w:line="246" w:lineRule="auto"/>
        <w:rPr>
          <w:rFonts w:ascii="Arial" w:cs="Arial" w:eastAsia="Arial" w:hAnsi="Arial"/>
          <w:sz w:val="18"/>
          <w:szCs w:val="18"/>
          <w:color w:val="auto"/>
        </w:rPr>
      </w:pPr>
      <w:r>
        <w:rPr>
          <w:rFonts w:ascii="Arial" w:cs="Arial" w:eastAsia="Arial" w:hAnsi="Arial"/>
          <w:sz w:val="18"/>
          <w:szCs w:val="18"/>
          <w:color w:val="auto"/>
        </w:rPr>
        <w:t>– Received final Medicare coverage policy for the Decipher Bladder test from Noridian, our Medicare Administrative Contractor, through the MolDX program.</w:t>
      </w:r>
    </w:p>
    <w:p>
      <w:pPr>
        <w:spacing w:after="0" w:line="34" w:lineRule="exact"/>
        <w:rPr>
          <w:rFonts w:ascii="Arial" w:cs="Arial" w:eastAsia="Arial" w:hAnsi="Arial"/>
          <w:sz w:val="18"/>
          <w:szCs w:val="18"/>
          <w:color w:val="auto"/>
        </w:rPr>
      </w:pPr>
    </w:p>
    <w:p>
      <w:pPr>
        <w:ind w:left="980" w:right="300" w:hanging="324"/>
        <w:spacing w:after="0" w:line="246" w:lineRule="auto"/>
        <w:rPr>
          <w:rFonts w:ascii="Arial" w:cs="Arial" w:eastAsia="Arial" w:hAnsi="Arial"/>
          <w:sz w:val="18"/>
          <w:szCs w:val="18"/>
          <w:color w:val="auto"/>
        </w:rPr>
      </w:pPr>
      <w:r>
        <w:rPr>
          <w:rFonts w:ascii="Arial" w:cs="Arial" w:eastAsia="Arial" w:hAnsi="Arial"/>
          <w:sz w:val="18"/>
          <w:szCs w:val="18"/>
          <w:color w:val="auto"/>
        </w:rPr>
        <w:t>– Signed a managed care contract with a major health plan, making the Decipher Prostate test an in-network benefit for eligible patients among the plan’s approximately 20 million members nationally.</w:t>
      </w:r>
    </w:p>
    <w:p>
      <w:pPr>
        <w:spacing w:after="0" w:line="34" w:lineRule="exact"/>
        <w:rPr>
          <w:rFonts w:ascii="Arial" w:cs="Arial" w:eastAsia="Arial" w:hAnsi="Arial"/>
          <w:sz w:val="18"/>
          <w:szCs w:val="18"/>
          <w:color w:val="auto"/>
        </w:rPr>
      </w:pPr>
    </w:p>
    <w:p>
      <w:pPr>
        <w:ind w:left="980" w:right="160" w:hanging="324"/>
        <w:spacing w:after="0" w:line="246" w:lineRule="auto"/>
        <w:rPr>
          <w:rFonts w:ascii="Arial" w:cs="Arial" w:eastAsia="Arial" w:hAnsi="Arial"/>
          <w:sz w:val="18"/>
          <w:szCs w:val="18"/>
          <w:color w:val="auto"/>
        </w:rPr>
      </w:pPr>
      <w:r>
        <w:rPr>
          <w:rFonts w:ascii="Arial" w:cs="Arial" w:eastAsia="Arial" w:hAnsi="Arial"/>
          <w:sz w:val="18"/>
          <w:szCs w:val="18"/>
          <w:color w:val="auto"/>
        </w:rPr>
        <w:t>– Granted reimbursement for the Prosigna breast cancer test in Germany for eligible patients with HR+/HER2- early-stage breast cancer, enabling hospitals and laboratories in Germany to perform the test locally.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 and Pipeline Advancement:</w:t>
      </w:r>
    </w:p>
    <w:p>
      <w:pPr>
        <w:spacing w:after="0" w:line="68" w:lineRule="exact"/>
        <w:rPr>
          <w:sz w:val="20"/>
          <w:szCs w:val="20"/>
          <w:color w:val="auto"/>
        </w:rPr>
      </w:pPr>
    </w:p>
    <w:p>
      <w:pPr>
        <w:ind w:left="660" w:hanging="328"/>
        <w:spacing w:after="0" w:line="23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14 abstracts demonstrating the performance and utility of our current and pipeline genomic tests at the American Thoracic Society (ATS), American Society of Clinical Oncology (ASCO) and European Society of Medical Oncology (ESMO) Breast Cancer annual meetings. This included the presentation of pivotal clinical validation data at the ASCO meeting demonstrating the ability of the Percepta Nasal Swab test to improve the early assessment of lung cancer.</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data demonstrating the prognostic utility of Veracyte’s Decipher Prostate genomic classifier:</w:t>
      </w:r>
    </w:p>
    <w:p>
      <w:pPr>
        <w:spacing w:after="0" w:line="3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  Data published in </w:t>
      </w:r>
      <w:r>
        <w:rPr>
          <w:rFonts w:ascii="Arial" w:cs="Arial" w:eastAsia="Arial" w:hAnsi="Arial"/>
          <w:sz w:val="18"/>
          <w:szCs w:val="18"/>
          <w:i w:val="1"/>
          <w:iCs w:val="1"/>
          <w:color w:val="auto"/>
        </w:rPr>
        <w:t>JAMA Oncology</w:t>
      </w:r>
      <w:r>
        <w:rPr>
          <w:rFonts w:ascii="Arial" w:cs="Arial" w:eastAsia="Arial" w:hAnsi="Arial"/>
          <w:sz w:val="18"/>
          <w:szCs w:val="18"/>
          <w:color w:val="auto"/>
        </w:rPr>
        <w:t xml:space="preserve"> suggest that, among men with non-metastatic castration-resistant prostate cancer (nmCRPC),</w:t>
      </w:r>
    </w:p>
    <w:p>
      <w:pPr>
        <w:spacing w:after="0" w:line="13" w:lineRule="exact"/>
        <w:rPr>
          <w:rFonts w:ascii="Arial" w:cs="Arial" w:eastAsia="Arial" w:hAnsi="Arial"/>
          <w:sz w:val="18"/>
          <w:szCs w:val="18"/>
          <w:color w:val="auto"/>
        </w:rPr>
      </w:pPr>
    </w:p>
    <w:p>
      <w:pPr>
        <w:ind w:left="980" w:right="320"/>
        <w:spacing w:after="0" w:line="246" w:lineRule="auto"/>
        <w:rPr>
          <w:rFonts w:ascii="Arial" w:cs="Arial" w:eastAsia="Arial" w:hAnsi="Arial"/>
          <w:sz w:val="18"/>
          <w:szCs w:val="18"/>
          <w:color w:val="auto"/>
        </w:rPr>
      </w:pPr>
      <w:r>
        <w:rPr>
          <w:rFonts w:ascii="Arial" w:cs="Arial" w:eastAsia="Arial" w:hAnsi="Arial"/>
          <w:sz w:val="18"/>
          <w:szCs w:val="18"/>
          <w:color w:val="auto"/>
        </w:rPr>
        <w:t>the Decipher test can help identify those patients most likely to benefit from treatment with apalutamide, a second-generation androgen receptor signaling inhibitor (ARSi), in addition to androgen-deprivation therapy (ADT).</w:t>
      </w:r>
    </w:p>
    <w:p>
      <w:pPr>
        <w:spacing w:after="0" w:line="16" w:lineRule="exact"/>
        <w:rPr>
          <w:rFonts w:ascii="Arial" w:cs="Arial" w:eastAsia="Arial" w:hAnsi="Arial"/>
          <w:sz w:val="18"/>
          <w:szCs w:val="18"/>
          <w:color w:val="auto"/>
        </w:rPr>
      </w:pPr>
    </w:p>
    <w:p>
      <w:pPr>
        <w:ind w:left="980" w:right="100" w:hanging="324"/>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 Findings from a study published in </w:t>
      </w:r>
      <w:r>
        <w:rPr>
          <w:rFonts w:ascii="Arial" w:cs="Arial" w:eastAsia="Arial" w:hAnsi="Arial"/>
          <w:sz w:val="18"/>
          <w:szCs w:val="18"/>
          <w:i w:val="1"/>
          <w:iCs w:val="1"/>
          <w:color w:val="auto"/>
        </w:rPr>
        <w:t>Prostate Cancer and Prostatic Diseases</w:t>
      </w:r>
      <w:r>
        <w:rPr>
          <w:rFonts w:ascii="Arial" w:cs="Arial" w:eastAsia="Arial" w:hAnsi="Arial"/>
          <w:sz w:val="18"/>
          <w:szCs w:val="18"/>
          <w:color w:val="auto"/>
        </w:rPr>
        <w:t xml:space="preserve"> suggest the Decipher test may help guide treatment decisions for men with early-stage prostate cancer who are candidates for active surveillance.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Expansion Progress:</w:t>
      </w:r>
    </w:p>
    <w:p>
      <w:pPr>
        <w:spacing w:after="0" w:line="68" w:lineRule="exact"/>
        <w:rPr>
          <w:sz w:val="20"/>
          <w:szCs w:val="20"/>
          <w:color w:val="auto"/>
        </w:rPr>
      </w:pPr>
    </w:p>
    <w:p>
      <w:pPr>
        <w:ind w:left="660" w:right="32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222222"/>
        </w:rPr>
        <w:t>Anno</w:t>
      </w:r>
      <w:r>
        <w:rPr>
          <w:rFonts w:ascii="Arial" w:cs="Arial" w:eastAsia="Arial" w:hAnsi="Arial"/>
          <w:sz w:val="18"/>
          <w:szCs w:val="18"/>
          <w:color w:val="000000"/>
        </w:rPr>
        <w:t>unced the planned acquisition of HalioDx</w:t>
      </w:r>
      <w:r>
        <w:rPr>
          <w:rFonts w:ascii="Arial" w:cs="Arial" w:eastAsia="Arial" w:hAnsi="Arial"/>
          <w:sz w:val="18"/>
          <w:szCs w:val="18"/>
          <w:color w:val="222222"/>
        </w:rPr>
        <w:t xml:space="preserve"> to further accelerate growth and strengthen Veracyte’s global leadership in cancer diagnostics. The acquisition is intended to provide three strategic benefits to Veracyte:</w:t>
      </w:r>
    </w:p>
    <w:p>
      <w:pPr>
        <w:spacing w:after="0" w:line="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color w:val="222222"/>
        </w:rPr>
        <w:t>Accelerate IVD test development and manufacturing operations in Europe;</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color w:val="222222"/>
        </w:rPr>
        <w:t>Expand the company’s scientific expertise into the emerging immuno-oncology field; and</w:t>
      </w: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color w:val="222222"/>
        </w:rPr>
        <w:t>Broaden Veracyte’s cancer diagnostics scope into eight of the top 10 cancers by U.S. incidence.</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Added key new hires to further strengthen the executive team and position the company to scale globally:</w:t>
      </w:r>
    </w:p>
    <w:p>
      <w:pPr>
        <w:ind w:left="660"/>
        <w:spacing w:after="0" w:line="234" w:lineRule="auto"/>
        <w:rPr>
          <w:rFonts w:ascii="Arial" w:cs="Arial" w:eastAsia="Arial" w:hAnsi="Arial"/>
          <w:sz w:val="18"/>
          <w:szCs w:val="18"/>
          <w:color w:val="222222"/>
        </w:rPr>
      </w:pPr>
      <w:r>
        <w:rPr>
          <w:rFonts w:ascii="Arial" w:cs="Arial" w:eastAsia="Arial" w:hAnsi="Arial"/>
          <w:sz w:val="18"/>
          <w:szCs w:val="18"/>
          <w:color w:val="auto"/>
        </w:rPr>
        <w:t xml:space="preserve">–  </w:t>
      </w:r>
      <w:r>
        <w:rPr>
          <w:rFonts w:ascii="Arial" w:cs="Arial" w:eastAsia="Arial" w:hAnsi="Arial"/>
          <w:sz w:val="18"/>
          <w:szCs w:val="18"/>
          <w:color w:val="222222"/>
        </w:rPr>
        <w:t>Rebecca Chambers as executive vice president and chief financial officer;</w:t>
      </w:r>
    </w:p>
    <w:p>
      <w:pPr>
        <w:ind w:left="660"/>
        <w:spacing w:after="0" w:line="234" w:lineRule="auto"/>
        <w:rPr>
          <w:rFonts w:ascii="Arial" w:cs="Arial" w:eastAsia="Arial" w:hAnsi="Arial"/>
          <w:sz w:val="18"/>
          <w:szCs w:val="18"/>
          <w:color w:val="222222"/>
        </w:rPr>
      </w:pPr>
      <w:r>
        <w:rPr>
          <w:rFonts w:ascii="Arial" w:cs="Arial" w:eastAsia="Arial" w:hAnsi="Arial"/>
          <w:sz w:val="18"/>
          <w:szCs w:val="18"/>
          <w:color w:val="auto"/>
        </w:rPr>
        <w:t xml:space="preserve">–  </w:t>
      </w:r>
      <w:r>
        <w:rPr>
          <w:rFonts w:ascii="Arial" w:cs="Arial" w:eastAsia="Arial" w:hAnsi="Arial"/>
          <w:sz w:val="18"/>
          <w:szCs w:val="18"/>
          <w:color w:val="222222"/>
        </w:rPr>
        <w:t>Rob Brainin as executive vice president and chief business officer; and</w:t>
      </w:r>
    </w:p>
    <w:p>
      <w:pPr>
        <w:ind w:left="660"/>
        <w:spacing w:after="0"/>
        <w:rPr>
          <w:rFonts w:ascii="Arial" w:cs="Arial" w:eastAsia="Arial" w:hAnsi="Arial"/>
          <w:sz w:val="18"/>
          <w:szCs w:val="18"/>
          <w:color w:val="222222"/>
        </w:rPr>
      </w:pPr>
      <w:r>
        <w:rPr>
          <w:rFonts w:ascii="Arial" w:cs="Arial" w:eastAsia="Arial" w:hAnsi="Arial"/>
          <w:sz w:val="18"/>
          <w:szCs w:val="18"/>
          <w:color w:val="auto"/>
        </w:rPr>
        <w:t xml:space="preserve">–  </w:t>
      </w:r>
      <w:r>
        <w:rPr>
          <w:rFonts w:ascii="Arial" w:cs="Arial" w:eastAsia="Arial" w:hAnsi="Arial"/>
          <w:sz w:val="18"/>
          <w:szCs w:val="18"/>
          <w:color w:val="222222"/>
        </w:rPr>
        <w:t>Bill Zondler as senior vice president and chief information officer.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Outlook</w:t>
      </w:r>
    </w:p>
    <w:p>
      <w:pPr>
        <w:spacing w:after="0" w:line="27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222222"/>
        </w:rPr>
        <w:t>Veracyte is increasing its 2021 annual total revenue guidance to a range of $200 million to $208 million from its previous guidance range of $190 million to $200 million. This range represents 69% to 76% total revenue growth for fiscal 2021 compared to fiscal 2020, and increased from Veracyte’s prior estimate of 61% to 69% total revenue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https://edge.media-server.com/mmc/p/ces2j4at.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ectPr>
          <w:pgSz w:w="11900" w:h="16838" w:orient="portrait"/>
          <w:cols w:equalWidth="0" w:num="1">
            <w:col w:w="11220"/>
          </w:cols>
          <w:pgMar w:left="320" w:top="88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240" w:type="dxa"/>
            <w:vAlign w:val="bottom"/>
          </w:tcPr>
          <w:p>
            <w:pPr>
              <w:spacing w:after="0"/>
              <w:rPr>
                <w:sz w:val="18"/>
                <w:szCs w:val="18"/>
                <w:color w:val="auto"/>
              </w:rPr>
            </w:pPr>
          </w:p>
        </w:tc>
      </w:tr>
      <w:tr>
        <w:trPr>
          <w:trHeight w:val="594"/>
        </w:trPr>
        <w:tc>
          <w:tcPr>
            <w:tcW w:w="6500" w:type="dxa"/>
            <w:vAlign w:val="bottom"/>
          </w:tcPr>
          <w:p>
            <w:pPr>
              <w:ind w:left="1580"/>
              <w:spacing w:after="0"/>
              <w:rPr>
                <w:sz w:val="20"/>
                <w:szCs w:val="20"/>
                <w:color w:val="auto"/>
              </w:rPr>
            </w:pPr>
            <w:r>
              <w:rPr>
                <w:rFonts w:ascii="Arial" w:cs="Arial" w:eastAsia="Arial" w:hAnsi="Arial"/>
                <w:sz w:val="18"/>
                <w:szCs w:val="18"/>
                <w:color w:val="auto"/>
              </w:rPr>
              <w:t>U.S./Canada participant dial-in number (toll-free):</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(855) 541-0980</w:t>
            </w:r>
          </w:p>
        </w:tc>
      </w:tr>
      <w:tr>
        <w:trPr>
          <w:trHeight w:val="229"/>
        </w:trPr>
        <w:tc>
          <w:tcPr>
            <w:tcW w:w="6500" w:type="dxa"/>
            <w:vAlign w:val="bottom"/>
          </w:tcPr>
          <w:p>
            <w:pPr>
              <w:ind w:left="1580"/>
              <w:spacing w:after="0"/>
              <w:rPr>
                <w:sz w:val="20"/>
                <w:szCs w:val="20"/>
                <w:color w:val="auto"/>
              </w:rPr>
            </w:pPr>
            <w:r>
              <w:rPr>
                <w:rFonts w:ascii="Arial" w:cs="Arial" w:eastAsia="Arial" w:hAnsi="Arial"/>
                <w:sz w:val="18"/>
                <w:szCs w:val="18"/>
                <w:color w:val="auto"/>
              </w:rPr>
              <w:t>International participant dial-in number:</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(970) 315-0440</w:t>
            </w:r>
          </w:p>
        </w:tc>
      </w:tr>
      <w:tr>
        <w:trPr>
          <w:trHeight w:val="243"/>
        </w:trPr>
        <w:tc>
          <w:tcPr>
            <w:tcW w:w="6500" w:type="dxa"/>
            <w:vAlign w:val="bottom"/>
          </w:tcPr>
          <w:p>
            <w:pPr>
              <w:ind w:left="1580"/>
              <w:spacing w:after="0"/>
              <w:rPr>
                <w:sz w:val="20"/>
                <w:szCs w:val="20"/>
                <w:color w:val="auto"/>
              </w:rPr>
            </w:pPr>
            <w:r>
              <w:rPr>
                <w:rFonts w:ascii="Arial" w:cs="Arial" w:eastAsia="Arial" w:hAnsi="Arial"/>
                <w:sz w:val="18"/>
                <w:szCs w:val="18"/>
                <w:color w:val="auto"/>
              </w:rPr>
              <w:t>Conference I.D.:</w:t>
            </w:r>
          </w:p>
        </w:tc>
        <w:tc>
          <w:tcPr>
            <w:tcW w:w="2240" w:type="dxa"/>
            <w:vAlign w:val="bottom"/>
          </w:tcPr>
          <w:p>
            <w:pPr>
              <w:ind w:left="1020"/>
              <w:spacing w:after="0"/>
              <w:rPr>
                <w:sz w:val="20"/>
                <w:szCs w:val="20"/>
                <w:color w:val="auto"/>
              </w:rPr>
            </w:pPr>
            <w:r>
              <w:rPr>
                <w:rFonts w:ascii="Arial" w:cs="Arial" w:eastAsia="Arial" w:hAnsi="Arial"/>
                <w:sz w:val="18"/>
                <w:szCs w:val="18"/>
                <w:color w:val="auto"/>
              </w:rPr>
              <w:t>1997209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1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leverages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color w:val="0000FF"/>
        </w:rPr>
        <w:t>www.veracyte.com</w:t>
      </w:r>
      <w:r>
        <w:rPr>
          <w:rFonts w:ascii="Arial" w:cs="Arial" w:eastAsia="Arial" w:hAnsi="Arial"/>
          <w:sz w:val="18"/>
          <w:szCs w:val="18"/>
          <w:color w:val="auto"/>
        </w:rPr>
        <w:t xml:space="preserve"> and follow the company on Twitter (@veracyte).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financial results for 2021 and our plans, objectives, expectations (financial and otherwise) or intentions with respect to our Prosigna, Afirma, Percepta, Envisia, LymphMark, Decipher Prostate, Percepta Nasal Swab, Percepta Genomic Atlas and Decipher Bladder test and products for use in diagnosing and treating diseases, our expectations regarding our full-year 2021 total revenue, our expectations regarding Medicare coverage,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launch, commercialize and receive reimbursement for our products, to successfully complete our proposed acquisition of HalioDx, to successfully integrate the HalioDx and Decipher Biosciences businesses and execute on our business plans; and the performance and utility of Veracyte’s tests in the clinical environment. Additional factors that may impact these forward-looking statements can be found under the caption “Risk Factors” in our Annual Report on Form 10-K filed with the SEC on February 22, 2021 and our subsequent quarterly reports on Form 10-Q. A copy of these documents can be found at the Investors section of our website at www.veracyte.com.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Veracyte, the Veracyte logo,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w:t>
      </w:r>
    </w:p>
    <w:p>
      <w:pPr>
        <w:sectPr>
          <w:pgSz w:w="11900" w:h="16838" w:orient="portrait"/>
          <w:cols w:equalWidth="0" w:num="1">
            <w:col w:w="11240"/>
          </w:cols>
          <w:pgMar w:left="320" w:top="90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5"/>
          </w:tcPr>
          <w:p>
            <w:pPr>
              <w:ind w:left="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19"/>
                <w:szCs w:val="19"/>
                <w:color w:val="auto"/>
              </w:rPr>
            </w:pPr>
          </w:p>
        </w:tc>
        <w:tc>
          <w:tcPr>
            <w:tcW w:w="2580" w:type="dxa"/>
            <w:vAlign w:val="bottom"/>
            <w:gridSpan w:val="4"/>
          </w:tcPr>
          <w:p>
            <w:pPr>
              <w:jc w:val="right"/>
              <w:ind w:right="2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50,793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83,871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42,203</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Biopharmaceutical revenue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23"/>
        </w:trPr>
        <w:tc>
          <w:tcPr>
            <w:tcW w:w="55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51,826</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Arial" w:cs="Arial" w:eastAsia="Arial" w:hAnsi="Arial"/>
                <w:sz w:val="18"/>
                <w:szCs w:val="18"/>
                <w:color w:val="auto"/>
              </w:rPr>
              <w:t>Cost of biopharmaceutical revenue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28,285</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15,770</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23"/>
        </w:trPr>
        <w:tc>
          <w:tcPr>
            <w:tcW w:w="55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75,077</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Other (loss) income, net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line="195" w:lineRule="exact"/>
              <w:rPr>
                <w:sz w:val="20"/>
                <w:szCs w:val="20"/>
                <w:color w:val="auto"/>
              </w:rPr>
            </w:pPr>
            <w:r>
              <w:rPr>
                <w:rFonts w:ascii="Arial" w:cs="Arial" w:eastAsia="Arial" w:hAnsi="Arial"/>
                <w:sz w:val="18"/>
                <w:szCs w:val="18"/>
                <w:color w:val="auto"/>
              </w:rPr>
              <w:t>Shares used to compute net loss per common share, basic and</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67,316,065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50,212,123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65,334,890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50,002,377</w:t>
            </w:r>
          </w:p>
        </w:tc>
        <w:tc>
          <w:tcPr>
            <w:tcW w:w="0" w:type="dxa"/>
            <w:vAlign w:val="bottom"/>
          </w:tcPr>
          <w:p>
            <w:pPr>
              <w:spacing w:after="0"/>
              <w:rPr>
                <w:sz w:val="1"/>
                <w:szCs w:val="1"/>
                <w:color w:val="auto"/>
              </w:rPr>
            </w:pPr>
          </w:p>
        </w:tc>
      </w:tr>
      <w:tr>
        <w:trPr>
          <w:trHeight w:val="190"/>
        </w:trPr>
        <w:tc>
          <w:tcPr>
            <w:tcW w:w="5540" w:type="dxa"/>
            <w:vAlign w:val="bottom"/>
          </w:tcPr>
          <w:p>
            <w:pPr>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4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June 30, 2021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December 31, 2020</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(Unaudited)</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327,545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349,364</w:t>
            </w: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371,346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375,679</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Right-of-use assets, operating lease</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155,700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59,924</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471,764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acquisition-related contingent consideration</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13,334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35,931</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971,177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421,232</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firstLine="7"/>
        <w:spacing w:after="0" w:line="199" w:lineRule="auto"/>
        <w:tabs>
          <w:tab w:leader="none" w:pos="11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condensed balance sheet at December 31, 2020 has been derived from the audited financial statements at that date included in the Company's Form 10-K filed with the Securities and Exchange Commission dated February 22, 2021.</w:t>
      </w:r>
    </w:p>
    <w:p>
      <w:pPr>
        <w:sectPr>
          <w:pgSz w:w="11900" w:h="16838" w:orient="portrait"/>
          <w:cols w:equalWidth="0" w:num="1">
            <w:col w:w="11020"/>
          </w:cols>
          <w:pgMar w:left="440" w:top="1043"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(50,906)</w:t>
            </w:r>
          </w:p>
        </w:tc>
        <w:tc>
          <w:tcPr>
            <w:tcW w:w="1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Interest on end-of-term debt obligations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Write-down of excess supplies</w:t>
            </w: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Operating lease liability</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6"/>
        </w:trPr>
        <w:tc>
          <w:tcPr>
            <w:tcW w:w="620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Acquisition of business, net of cash acquired</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(574,411)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Proceeds from sale of equity securities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(574,134)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issuance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593,821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purchases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592,932</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(19,876)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(21,673)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328,294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148,053</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accrued liability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Interest paid on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9220"/>
          </w:cols>
          <w:pgMar w:left="1340" w:top="1070" w:right="1339" w:bottom="1440" w:gutter="0" w:footer="0" w:header="0"/>
        </w:sectPr>
      </w:pPr>
    </w:p>
    <w:bookmarkStart w:id="8" w:name="page9"/>
    <w:bookmarkEnd w:id="8"/>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CASH EQUIVALENTS AND RESTRICTED CASH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29"/>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327,545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349,364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r>
      <w:tr>
        <w:trPr>
          <w:trHeight w:val="21"/>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29" w:lineRule="auto"/>
        <w:rPr>
          <w:sz w:val="20"/>
          <w:szCs w:val="20"/>
          <w:color w:val="auto"/>
        </w:rPr>
      </w:pPr>
      <w:r>
        <w:rPr>
          <w:rFonts w:ascii="Arial" w:cs="Arial" w:eastAsia="Arial" w:hAnsi="Arial"/>
          <w:sz w:val="18"/>
          <w:szCs w:val="18"/>
          <w:color w:val="auto"/>
        </w:rPr>
        <w:t>Vice President of Corporate Communications</w:t>
      </w:r>
    </w:p>
    <w:p>
      <w:pPr>
        <w:spacing w:after="0" w:line="1" w:lineRule="exact"/>
        <w:rPr>
          <w:sz w:val="20"/>
          <w:szCs w:val="20"/>
          <w:color w:val="auto"/>
        </w:rPr>
      </w:pPr>
    </w:p>
    <w:p>
      <w:pPr>
        <w:ind w:right="9020" w:firstLine="8"/>
        <w:spacing w:after="0" w:line="270"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 Relations 650-380-4413 tracy.morris@veracyte.com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endash "/>
      <w:numFmt w:val="bullet"/>
      <w:start w:val="1"/>
    </w:lvl>
  </w:abstractNum>
  <w:abstractNum w:abstractNumId="4">
    <w:nsid w:val="2EB141F2"/>
    <w:multiLevelType w:val="hybridMultilevel"/>
    <w:lvl w:ilvl="0">
      <w:lvlJc w:val="left"/>
      <w:lvlText w:val="•"/>
      <w:numFmt w:val="bullet"/>
      <w:start w:val="1"/>
    </w:lvl>
    <w:lvl w:ilvl="1">
      <w:lvlJc w:val="left"/>
      <w:lvlText w:val="\endash "/>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2021-07-29T16:17:03Z</dcterms:created>
  <dcterms:modified xsi:type="dcterms:W3CDTF">2021-07-29T16:17:03Z</dcterms:modified>
</cp:coreProperties>
</file>