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88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8849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Kennedy Giulia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54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267970</wp:posOffset>
            </wp:positionV>
            <wp:extent cx="6967220" cy="2383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83155"/>
                    </a:xfrm>
                    <a:prstGeom prst="rect">
                      <a:avLst/>
                    </a:prstGeom>
                    <a:noFill/>
                  </pic:spPr>
                </pic:pic>
              </a:graphicData>
            </a:graphic>
          </wp:anchor>
        </w:drawing>
      </w:r>
    </w:p>
    <w:p>
      <w:pPr>
        <w:spacing w:after="0" w:line="479"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0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0"/>
                <w:szCs w:val="10"/>
                <w:color w:val="auto"/>
              </w:rPr>
            </w:pPr>
          </w:p>
        </w:tc>
        <w:tc>
          <w:tcPr>
            <w:tcW w:w="116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w w:val="98"/>
              </w:rPr>
              <w:t>12/02/2020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55.08</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78,859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w w:val="98"/>
              </w:rPr>
              <w:t>12/04/2020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9.05</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84,171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w w:val="98"/>
              </w:rPr>
              <w:t>12/04/2020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4,406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5.98</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88,577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w w:val="98"/>
              </w:rPr>
              <w:t>12/04/2020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3,750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20.21</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92,327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w w:val="98"/>
              </w:rPr>
              <w:t>12/04/2020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3,642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55.777</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88,685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w w:val="98"/>
              </w:rPr>
              <w:t>12/04/2020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4,279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56.8555</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84,406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w w:val="98"/>
              </w:rPr>
              <w:t>12/04/2020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6,094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57.5536</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78,312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12/04/2020</w:t>
            </w:r>
          </w:p>
        </w:tc>
        <w:tc>
          <w:tcPr>
            <w:tcW w:w="1100" w:type="dxa"/>
            <w:vAlign w:val="bottom"/>
          </w:tcPr>
          <w:p>
            <w:pPr>
              <w:spacing w:after="0"/>
              <w:rPr>
                <w:sz w:val="16"/>
                <w:szCs w:val="16"/>
                <w:color w:val="auto"/>
              </w:rPr>
            </w:pPr>
          </w:p>
        </w:tc>
        <w:tc>
          <w:tcPr>
            <w:tcW w:w="4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(2)</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5,312</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03/02/2027</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5,312</w:t>
            </w: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6"/>
                <w:szCs w:val="16"/>
                <w:color w:val="auto"/>
              </w:rPr>
            </w:pPr>
          </w:p>
        </w:tc>
        <w:tc>
          <w:tcPr>
            <w:tcW w:w="6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5"/>
              </w:rPr>
              <w:t>5,313</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5.98</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12/04/2020</w:t>
            </w:r>
          </w:p>
        </w:tc>
        <w:tc>
          <w:tcPr>
            <w:tcW w:w="1100" w:type="dxa"/>
            <w:vAlign w:val="bottom"/>
          </w:tcPr>
          <w:p>
            <w:pPr>
              <w:spacing w:after="0"/>
              <w:rPr>
                <w:sz w:val="16"/>
                <w:szCs w:val="16"/>
                <w:color w:val="auto"/>
              </w:rPr>
            </w:pPr>
          </w:p>
        </w:tc>
        <w:tc>
          <w:tcPr>
            <w:tcW w:w="4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(2)</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4,406</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03/01/2028</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4,406</w:t>
            </w: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6"/>
                <w:szCs w:val="16"/>
                <w:color w:val="auto"/>
              </w:rPr>
            </w:pPr>
          </w:p>
        </w:tc>
        <w:tc>
          <w:tcPr>
            <w:tcW w:w="6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rPr>
              <w:t>22,032</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12/04/2020</w:t>
            </w:r>
          </w:p>
        </w:tc>
        <w:tc>
          <w:tcPr>
            <w:tcW w:w="1100" w:type="dxa"/>
            <w:vAlign w:val="bottom"/>
          </w:tcPr>
          <w:p>
            <w:pPr>
              <w:spacing w:after="0"/>
              <w:rPr>
                <w:sz w:val="16"/>
                <w:szCs w:val="16"/>
                <w:color w:val="auto"/>
              </w:rPr>
            </w:pPr>
          </w:p>
        </w:tc>
        <w:tc>
          <w:tcPr>
            <w:tcW w:w="4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(2)</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3,750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02/27/2029</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3,750</w:t>
            </w: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6"/>
                <w:szCs w:val="16"/>
                <w:color w:val="auto"/>
              </w:rPr>
            </w:pPr>
          </w:p>
        </w:tc>
        <w:tc>
          <w:tcPr>
            <w:tcW w:w="6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rPr>
              <w:t>33,750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-2943860</wp:posOffset>
            </wp:positionV>
            <wp:extent cx="7033260" cy="3083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0835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292 and 248 shares of common stock to satisfy the reporting person's tax withholding obligations in connection with the vesting of 587 and 500 Restricted Stock Units, respectively granted on March 2, 2018 and February 28, 2019, respectively, and does not represent a sale by the reporting person.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June 12, 2020.</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$55.27 to $56.13. Detailed information regarding the number of shares sold at each separate price will be provided to the SEC, the issuer or a shareholder upon request.</w:t>
      </w:r>
    </w:p>
    <w:p>
      <w:pPr>
        <w:spacing w:after="0" w:line="16"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$56.28 to $57.11. Detailed information regarding the number of shares sold at each separate price will be provided to the SEC, the issuer or a shareholder upon request.</w:t>
      </w:r>
    </w:p>
    <w:p>
      <w:pPr>
        <w:spacing w:after="0" w:line="16"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$57.31 to $57.90. Detailed information regarding the number of shares sold at each separate price will be provided to the SEC, the issuer or a shareholder upon request.</w:t>
      </w:r>
    </w:p>
    <w:p>
      <w:pPr>
        <w:spacing w:after="0" w:line="1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to 25% of the shares on March 3, 2018, and the remaining shares vest at a rate of 1/48th of the total number of shares subject to the award for each month of continuous service thereafter.</w:t>
      </w:r>
    </w:p>
    <w:p>
      <w:pPr>
        <w:spacing w:after="0" w:line="1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to 25% of the shares on March 2, 2019, and the remaining shares vest at a rate of 1/48th of the total number of shares subject to the award for each month of continuous service thereafter.</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to 25% of the shares on February 28, 2020, and the remaining shares vest at a rate of 1/48th of the total number of shares subject to the award for each month of continuous service thereafter.</w:t>
      </w:r>
    </w:p>
    <w:p>
      <w:pPr>
        <w:sectPr>
          <w:pgSz w:w="11900" w:h="16838" w:orient="portrait"/>
          <w:cols w:equalWidth="0" w:num="1">
            <w:col w:w="11080"/>
          </w:cols>
          <w:pgMar w:left="460" w:top="216" w:right="359" w:bottom="0" w:gutter="0" w:footer="0" w:header="0"/>
          <w:type w:val="continuous"/>
        </w:sectPr>
      </w:pP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Keith Kennedy, as Attorney- 12/04/2020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-1270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-8255</wp:posOffset>
            </wp:positionV>
            <wp:extent cx="279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33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2020-12-04T18:43:36Z</dcterms:created>
  <dcterms:modified xsi:type="dcterms:W3CDTF">2020-12-04T18:43:36Z</dcterms:modified>
</cp:coreProperties>
</file>