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20" w:type="dxa"/>
            <w:vAlign w:val="bottom"/>
          </w:tcPr>
          <w:p>
            <w:pPr>
              <w:ind w:left="40"/>
              <w:spacing w:after="0"/>
              <w:rPr>
                <w:sz w:val="20"/>
                <w:szCs w:val="20"/>
                <w:color w:val="auto"/>
              </w:rPr>
            </w:pPr>
            <w:r>
              <w:rPr>
                <w:rFonts w:ascii="Arial" w:cs="Arial" w:eastAsia="Arial" w:hAnsi="Arial"/>
                <w:sz w:val="22"/>
                <w:szCs w:val="22"/>
                <w:color w:val="auto"/>
              </w:rPr>
              <w:t>0001020741</w:t>
            </w:r>
          </w:p>
        </w:tc>
        <w:tc>
          <w:tcPr>
            <w:tcW w:w="29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2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49"/>
        </w:trPr>
        <w:tc>
          <w:tcPr>
            <w:tcW w:w="68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001-36156</w:t>
            </w:r>
          </w:p>
        </w:tc>
      </w:tr>
      <w:tr>
        <w:trPr>
          <w:trHeight w:val="266"/>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w w:val="88"/>
              </w:rPr>
              <w:t>6000 Shoreline Court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w w:val="90"/>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1-650-243-6300</w:t>
            </w:r>
          </w:p>
        </w:tc>
      </w:tr>
      <w:tr>
        <w:trPr>
          <w:trHeight w:val="297"/>
        </w:trPr>
        <w:tc>
          <w:tcPr>
            <w:tcW w:w="68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60" w:type="dxa"/>
            <w:vAlign w:val="bottom"/>
          </w:tcPr>
          <w:p>
            <w:pPr>
              <w:ind w:left="1100"/>
              <w:spacing w:after="0"/>
              <w:rPr>
                <w:sz w:val="20"/>
                <w:szCs w:val="20"/>
                <w:color w:val="auto"/>
              </w:rPr>
            </w:pPr>
            <w:r>
              <w:rPr>
                <w:rFonts w:ascii="Arial" w:cs="Arial" w:eastAsia="Arial" w:hAnsi="Arial"/>
                <w:sz w:val="22"/>
                <w:szCs w:val="22"/>
                <w:color w:val="auto"/>
              </w:rPr>
              <w:t>Evan Jones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838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24536.64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07/19/2023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20"/>
              <w:spacing w:after="0"/>
              <w:rPr>
                <w:sz w:val="20"/>
                <w:szCs w:val="20"/>
                <w:color w:val="auto"/>
              </w:rPr>
            </w:pPr>
            <w:r>
              <w:rPr>
                <w:rFonts w:ascii="Arial" w:cs="Arial" w:eastAsia="Arial" w:hAnsi="Arial"/>
                <w:sz w:val="22"/>
                <w:szCs w:val="22"/>
                <w:b w:val="1"/>
                <w:bCs w:val="1"/>
                <w:color w:val="auto"/>
                <w:w w:val="99"/>
              </w:rPr>
              <w:t>Transaction</w:t>
            </w: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2"/>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660" w:type="dxa"/>
            <w:vAlign w:val="bottom"/>
          </w:tcPr>
          <w:p>
            <w:pPr>
              <w:spacing w:after="0"/>
              <w:rPr>
                <w:sz w:val="21"/>
                <w:szCs w:val="21"/>
                <w:color w:val="auto"/>
              </w:rPr>
            </w:pPr>
          </w:p>
        </w:tc>
      </w:tr>
      <w:tr>
        <w:trPr>
          <w:trHeight w:val="280"/>
        </w:trPr>
        <w:tc>
          <w:tcPr>
            <w:tcW w:w="408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276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660" w:type="dxa"/>
            <w:vAlign w:val="bottom"/>
          </w:tcPr>
          <w:p>
            <w:pPr>
              <w:spacing w:after="0"/>
              <w:rPr>
                <w:sz w:val="24"/>
                <w:szCs w:val="24"/>
                <w:color w:val="auto"/>
              </w:rPr>
            </w:pPr>
          </w:p>
        </w:tc>
      </w:tr>
      <w:tr>
        <w:trPr>
          <w:trHeight w:val="233"/>
        </w:trPr>
        <w:tc>
          <w:tcPr>
            <w:tcW w:w="4080" w:type="dxa"/>
            <w:vAlign w:val="bottom"/>
          </w:tcPr>
          <w:p>
            <w:pPr>
              <w:ind w:left="2540"/>
              <w:spacing w:after="0" w:line="233" w:lineRule="exact"/>
              <w:rPr>
                <w:sz w:val="20"/>
                <w:szCs w:val="20"/>
                <w:color w:val="auto"/>
              </w:rPr>
            </w:pPr>
            <w:r>
              <w:rPr>
                <w:rFonts w:ascii="Arial" w:cs="Arial" w:eastAsia="Arial" w:hAnsi="Arial"/>
                <w:sz w:val="22"/>
                <w:szCs w:val="22"/>
                <w:color w:val="auto"/>
              </w:rPr>
              <w:t>Acquired upon</w:t>
            </w:r>
          </w:p>
        </w:tc>
        <w:tc>
          <w:tcPr>
            <w:tcW w:w="1520" w:type="dxa"/>
            <w:vAlign w:val="bottom"/>
          </w:tcPr>
          <w:p>
            <w:pPr>
              <w:ind w:left="160"/>
              <w:spacing w:after="0" w:line="233" w:lineRule="exact"/>
              <w:rPr>
                <w:sz w:val="20"/>
                <w:szCs w:val="20"/>
                <w:color w:val="auto"/>
              </w:rPr>
            </w:pPr>
            <w:r>
              <w:rPr>
                <w:rFonts w:ascii="Arial" w:cs="Arial" w:eastAsia="Arial" w:hAnsi="Arial"/>
                <w:sz w:val="22"/>
                <w:szCs w:val="22"/>
                <w:color w:val="auto"/>
                <w:w w:val="99"/>
              </w:rPr>
              <w:t>Veracyte, Inc.</w:t>
            </w:r>
          </w:p>
        </w:tc>
        <w:tc>
          <w:tcPr>
            <w:tcW w:w="276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563"/>
        </w:trPr>
        <w:tc>
          <w:tcPr>
            <w:tcW w:w="4080" w:type="dxa"/>
            <w:vAlign w:val="bottom"/>
          </w:tcPr>
          <w:p>
            <w:pPr>
              <w:spacing w:after="0"/>
              <w:rPr>
                <w:sz w:val="20"/>
                <w:szCs w:val="20"/>
                <w:color w:val="auto"/>
              </w:rPr>
            </w:pPr>
            <w:r>
              <w:rPr>
                <w:rFonts w:ascii="Arial" w:cs="Arial" w:eastAsia="Arial" w:hAnsi="Arial"/>
                <w:sz w:val="22"/>
                <w:szCs w:val="22"/>
                <w:color w:val="auto"/>
                <w:w w:val="84"/>
              </w:rPr>
              <w:t xml:space="preserve">Common Stock 12/06/2012 </w:t>
            </w:r>
            <w:r>
              <w:rPr>
                <w:rFonts w:ascii="Arial" w:cs="Arial" w:eastAsia="Arial" w:hAnsi="Arial"/>
                <w:sz w:val="43"/>
                <w:szCs w:val="43"/>
                <w:color w:val="auto"/>
                <w:w w:val="84"/>
                <w:vertAlign w:val="subscript"/>
              </w:rPr>
              <w:t>options exercise</w:t>
            </w:r>
          </w:p>
        </w:tc>
        <w:tc>
          <w:tcPr>
            <w:tcW w:w="152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732"/>
              <w:spacing w:after="0"/>
              <w:rPr>
                <w:sz w:val="20"/>
                <w:szCs w:val="20"/>
                <w:color w:val="auto"/>
              </w:rPr>
            </w:pPr>
            <w:r>
              <w:rPr>
                <w:rFonts w:ascii="Arial" w:cs="Arial" w:eastAsia="Arial" w:hAnsi="Arial"/>
                <w:sz w:val="22"/>
                <w:szCs w:val="22"/>
                <w:color w:val="auto"/>
              </w:rPr>
              <w:t>838</w:t>
            </w:r>
          </w:p>
        </w:tc>
        <w:tc>
          <w:tcPr>
            <w:tcW w:w="2660" w:type="dxa"/>
            <w:vAlign w:val="bottom"/>
          </w:tcPr>
          <w:p>
            <w:pPr>
              <w:ind w:left="140"/>
              <w:spacing w:after="0"/>
              <w:rPr>
                <w:sz w:val="20"/>
                <w:szCs w:val="20"/>
                <w:color w:val="auto"/>
              </w:rPr>
            </w:pPr>
            <w:r>
              <w:rPr>
                <w:rFonts w:ascii="Arial" w:cs="Arial" w:eastAsia="Arial" w:hAnsi="Arial"/>
                <w:sz w:val="22"/>
                <w:szCs w:val="22"/>
                <w:color w:val="auto"/>
                <w:w w:val="88"/>
              </w:rPr>
              <w:t>01/13/2022 Options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-382905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Evan Jones</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07/17/2023 19095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574106.45</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Evan Jones</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07/18/2023 2324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70089.75</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jVen Capital, LLC</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07/17/2023 23949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720105.72</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jVen Capital, LLC</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07/18/2023 7441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222634.72</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00"/>
        <w:spacing w:after="0" w:line="296" w:lineRule="auto"/>
        <w:rPr>
          <w:sz w:val="20"/>
          <w:szCs w:val="20"/>
          <w:color w:val="auto"/>
        </w:rPr>
      </w:pPr>
      <w:r>
        <w:rPr>
          <w:rFonts w:ascii="Arial" w:cs="Arial" w:eastAsia="Arial" w:hAnsi="Arial"/>
          <w:sz w:val="19"/>
          <w:szCs w:val="19"/>
          <w:color w:val="auto"/>
        </w:rPr>
        <w:t>The sales of shares set forth herein are made in connection with a selling plan dated 06/11/2022, that is intended to comply with Rule 10b5-1(c).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07/19/2023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06/11/2022</w:t>
      </w:r>
    </w:p>
    <w:p>
      <w:pPr>
        <w:spacing w:after="0" w:line="618" w:lineRule="exact"/>
        <w:rPr>
          <w:sz w:val="20"/>
          <w:szCs w:val="20"/>
          <w:color w:val="auto"/>
        </w:rPr>
      </w:pPr>
    </w:p>
    <w:p>
      <w:pPr>
        <w:sectPr>
          <w:pgSz w:w="11900" w:h="16838" w:orient="portrait"/>
          <w:cols w:equalWidth="0" w:num="2">
            <w:col w:w="3420" w:space="720"/>
            <w:col w:w="71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Evan Jones</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2023-07-19T15:53:30Z</dcterms:created>
  <dcterms:modified xsi:type="dcterms:W3CDTF">2023-07-19T15:53:30Z</dcterms:modified>
</cp:coreProperties>
</file>