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969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969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215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215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969" w:orient="portrait"/>
          <w:cols w:equalWidth="0" w:num="2">
            <w:col w:w="3760" w:space="160"/>
            <w:col w:w="716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4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13,498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93,985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1,771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9.05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95,756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1,469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97,225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28.82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96,501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15,814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29.6902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80,687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30.455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80,487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14.34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13,498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13,498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9.05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1,771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14,167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5.98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1,469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29,375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-2841625</wp:posOffset>
            </wp:positionV>
            <wp:extent cx="7033895" cy="29806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8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12,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$28.40 to $29.40.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$29.41 to $30.38.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$30.45 to $30.46.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2019, and the remaining shares vest at a rate of 1/48th of the total number of shares subject to the award for each month of continuous service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2018, and the remaining shares vest at a rate of 1/48th of the total number of shares subject to the award for each month of continuous service thereafter.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07/14/2020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9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ectPr>
          <w:pgSz w:w="11900" w:h="16969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933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2020-07-14T19:30:04Z</dcterms:created>
  <dcterms:modified xsi:type="dcterms:W3CDTF">2020-07-14T19:30:04Z</dcterms:modified>
</cp:coreProperties>
</file>