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953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953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Anderson Bonnie H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Chairwoman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2C2C2C"/>
              <w:bottom w:val="single" w:sz="8" w:color="2C2C2C"/>
            </w:tcBorders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tcBorders>
              <w:top w:val="single" w:sz="8" w:color="2C2C2C"/>
              <w:bottom w:val="single" w:sz="8" w:color="2C2C2C"/>
            </w:tcBorders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7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8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3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3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320" w:type="dxa"/>
            <w:vAlign w:val="bottom"/>
            <w:gridSpan w:val="3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ind w:left="1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ind w:left="1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03/03/2022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17,667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86,688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Bonnie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217,478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Anderson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0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Living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Trust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26.02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03/03/2022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32,195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03/03/2032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32,195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32,195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awarded on March 3, 2022 vest in full on March 2, 2023 subject to continuing service of the Reporting Person.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 becomes exercisable as to 33% of the shares on each of the one-year, two-year and three-year anniversaries following grant date, subject to continued service of the Reporting Person.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Jane Alley as attorney-in-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8970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2022-03-07T15:38:59Z</dcterms:created>
  <dcterms:modified xsi:type="dcterms:W3CDTF">2022-03-07T15:38:59Z</dcterms:modified>
</cp:coreProperties>
</file>