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7047230" cy="61448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6144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Kennedy Giulia C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35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5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&amp; Med Officer</w:t>
      </w:r>
    </w:p>
    <w:p>
      <w:pPr>
        <w:spacing w:after="0" w:line="5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4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jc w:val="center"/>
              <w:ind w:lef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03/03/2022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42,412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79,987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03/04/2022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4,407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5.98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84,394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03/04/2022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17,059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24.9103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67,335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03/04/2022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5,844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25.6997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61,491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03/04/2022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26.49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61,391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26.02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77,287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03/03/2032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 xml:space="preserve">Common  </w:t>
            </w: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bscript"/>
              </w:rPr>
              <w:t>77,287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77,287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5.98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03/04/2022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4,407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03/01/2028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awarded on March 3, 2022 vest 25% on March 2, 2023 and 1/16 per quarter thereafter subject to continuing employment of the Reporting Person on each vesting date.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June 11, 2021.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/>
        <w:spacing w:after="0" w:line="244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$24.40 to $25.40. Detailed information regarding the number of shares sold at each separate price will be provided to the SEC, the issuer or a shareholder upon request.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/>
        <w:spacing w:after="0" w:line="244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$25.41 to $26.26. Detailed information regarding the number of shares sold at each separate price will be provided to the SEC, the issuer or a shareholder upon request.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/>
        <w:spacing w:after="0" w:line="244" w:lineRule="auto"/>
        <w:tabs>
          <w:tab w:leader="none" w:pos="16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March 3, 2023, and the remaining shares vest at a rate of 1/48th of the total number of shares subject to the award for each month of continuous service thereafter.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Jane Alley as attorney-in-fact 03/07/2022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-12700</wp:posOffset>
            </wp:positionV>
            <wp:extent cx="18796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9333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2022-03-07T15:41:57Z</dcterms:created>
  <dcterms:modified xsi:type="dcterms:W3CDTF">2022-03-07T15:41:57Z</dcterms:modified>
</cp:coreProperties>
</file>