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10, 2014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7000 Shoreline Court, Suite 250, South San Francisco,</w:t>
      </w:r>
    </w:p>
    <w:p>
      <w:pPr>
        <w:spacing w:after="0" w:line="27" w:lineRule="exact"/>
        <w:rPr>
          <w:sz w:val="24"/>
          <w:szCs w:val="24"/>
          <w:color w:val="auto"/>
        </w:rPr>
      </w:pPr>
    </w:p>
    <w:p>
      <w:pPr>
        <w:ind w:left="2400"/>
        <w:spacing w:after="0"/>
        <w:tabs>
          <w:tab w:leader="none" w:pos="8380" w:val="left"/>
        </w:tabs>
        <w:rPr>
          <w:sz w:val="20"/>
          <w:szCs w:val="20"/>
          <w:color w:val="auto"/>
        </w:rPr>
      </w:pPr>
      <w:r>
        <w:rPr>
          <w:rFonts w:ascii="Arial" w:cs="Arial" w:eastAsia="Arial" w:hAnsi="Arial"/>
          <w:sz w:val="18"/>
          <w:szCs w:val="18"/>
          <w:b w:val="1"/>
          <w:bCs w:val="1"/>
          <w:color w:val="auto"/>
        </w:rPr>
        <w:t>California</w:t>
      </w:r>
      <w:r>
        <w:rPr>
          <w:sz w:val="20"/>
          <w:szCs w:val="20"/>
          <w:color w:val="auto"/>
        </w:rPr>
        <w:tab/>
      </w:r>
      <w:r>
        <w:rPr>
          <w:rFonts w:ascii="Arial" w:cs="Arial" w:eastAsia="Arial" w:hAnsi="Arial"/>
          <w:sz w:val="18"/>
          <w:szCs w:val="18"/>
          <w:b w:val="1"/>
          <w:bCs w:val="1"/>
          <w:color w:val="auto"/>
        </w:rPr>
        <w:t>94080</w:t>
      </w:r>
    </w:p>
    <w:p>
      <w:pPr>
        <w:spacing w:after="0" w:line="9" w:lineRule="exact"/>
        <w:rPr>
          <w:sz w:val="24"/>
          <w:szCs w:val="24"/>
          <w:color w:val="auto"/>
        </w:rPr>
      </w:pPr>
    </w:p>
    <w:p>
      <w:pPr>
        <w:ind w:left="1380"/>
        <w:spacing w:after="0"/>
        <w:tabs>
          <w:tab w:leader="none" w:pos="82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8"/>
        <w:spacing w:after="0" w:line="257" w:lineRule="auto"/>
        <w:tabs>
          <w:tab w:leader="none" w:pos="659"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July 10, 2014, the Board of Directors of Veracyte, Inc. (the “Company”) appointed Duncan T. Powell as the Company’s Principal Accounting Officer. Mr. Powell became the Company’s Senior Vice President, Finance on July 10, 2014. Prior to joining the Company, Mr. Powell, age 44, served as Senior Vice President, Finance of Risk Management Solutions, Inc., a provider of catastrophic risk management and quantification solutions, from October 2008 to June 2014, and prior to that, as Vice President, Finance, from July 2001 to September 2008. Mr. Powell holds a B.A. from Bristol University and is a UK Chartered Accountant.</w:t>
      </w:r>
    </w:p>
    <w:p>
      <w:pPr>
        <w:spacing w:after="0" w:line="188" w:lineRule="exact"/>
        <w:rPr>
          <w:sz w:val="24"/>
          <w:szCs w:val="24"/>
          <w:color w:val="auto"/>
        </w:rPr>
      </w:pPr>
    </w:p>
    <w:p>
      <w:pPr>
        <w:ind w:right="20"/>
        <w:spacing w:after="0" w:line="234" w:lineRule="auto"/>
        <w:rPr>
          <w:sz w:val="20"/>
          <w:szCs w:val="20"/>
          <w:color w:val="auto"/>
        </w:rPr>
      </w:pPr>
      <w:r>
        <w:rPr>
          <w:rFonts w:ascii="Arial" w:cs="Arial" w:eastAsia="Arial" w:hAnsi="Arial"/>
          <w:sz w:val="18"/>
          <w:szCs w:val="18"/>
          <w:color w:val="auto"/>
        </w:rPr>
        <w:t>Mr. Powell was granted an option to purchase 45,000 shares of the Company’s common stock at an exercise price of $14.92 per share. The stock option vests over four years, with 25% vesting on the first anniversary of the vesting commencement date of July 10, 2104,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remaining shares vesting monthly thereafter.</w:t>
      </w:r>
    </w:p>
    <w:p>
      <w:pPr>
        <w:spacing w:after="0" w:line="203"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Mr. Powell has no family relationships with any of the Company’s directors or executive officers, and he has no direct or indirect material interest in any transaction required to be disclosed pursuant to Item 404(a) of Regulation S-K.</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00" w:firstLine="5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July 14, 2014</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Veracyte, Inc.</w:t>
      </w:r>
    </w:p>
    <w:p>
      <w:pPr>
        <w:sectPr>
          <w:pgSz w:w="11900" w:h="16838" w:orient="portrait"/>
          <w:cols w:equalWidth="0" w:num="1">
            <w:col w:w="11400"/>
          </w:cols>
          <w:pgMar w:left="240" w:top="544" w:right="259" w:bottom="0" w:gutter="0" w:footer="0" w:header="0"/>
          <w:type w:val="continuous"/>
        </w:sectPr>
      </w:pPr>
    </w:p>
    <w:bookmarkStart w:id="1" w:name="page2"/>
    <w:bookmarkEnd w:id="1"/>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2019-12-07T15:22:29Z</dcterms:created>
  <dcterms:modified xsi:type="dcterms:W3CDTF">2019-12-07T15:22:29Z</dcterms:modified>
</cp:coreProperties>
</file>