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46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20"/>
          </w:cols>
          <w:pgMar w:left="240" w:top="233" w:right="379" w:bottom="464"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6000 Shoreline Court, Suite 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80"/>
          </w:cols>
          <w:pgMar w:left="240" w:top="233" w:right="379" w:bottom="464" w:gutter="0" w:footer="0" w:header="0"/>
          <w:type w:val="continuous"/>
        </w:sectPr>
      </w:pP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2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3" w:right="379" w:bottom="464" w:gutter="0" w:footer="0" w:header="0"/>
          <w:type w:val="continuous"/>
        </w:sectPr>
      </w:pPr>
    </w:p>
    <w:p>
      <w:pPr>
        <w:spacing w:after="0" w:line="124"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720" w:space="720"/>
            <w:col w:w="2840"/>
          </w:cols>
          <w:pgMar w:left="240" w:top="233" w:right="379" w:bottom="464" w:gutter="0" w:footer="0" w:header="0"/>
          <w:type w:val="continuous"/>
        </w:sectPr>
      </w:pPr>
    </w:p>
    <w:p>
      <w:pPr>
        <w:spacing w:after="0" w:line="48"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7340" w:space="720"/>
            <w:col w:w="3220"/>
          </w:cols>
          <w:pgMar w:left="240" w:top="233" w:right="379" w:bottom="464"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 xml:space="preserve">As of April 29, 2016, there were </w:t>
      </w:r>
      <w:r>
        <w:rPr>
          <w:rFonts w:ascii="Arial" w:cs="Arial" w:eastAsia="Arial" w:hAnsi="Arial"/>
          <w:sz w:val="17"/>
          <w:szCs w:val="17"/>
          <w:color w:val="auto"/>
        </w:rPr>
        <w:t>27,858,317</w:t>
      </w:r>
      <w:r>
        <w:rPr>
          <w:rFonts w:ascii="Arial" w:cs="Arial" w:eastAsia="Arial" w:hAnsi="Arial"/>
          <w:sz w:val="18"/>
          <w:szCs w:val="18"/>
          <w:color w:val="auto"/>
        </w:rPr>
        <w:t xml:space="preserve">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464"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9"/>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300" w:type="dxa"/>
            <w:vAlign w:val="bottom"/>
            <w:gridSpan w:val="7"/>
            <w:vMerge w:val="restart"/>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9"/>
            <w:vMerge w:val="continue"/>
          </w:tcPr>
          <w:p>
            <w:pPr>
              <w:spacing w:after="0"/>
              <w:rPr>
                <w:sz w:val="13"/>
                <w:szCs w:val="13"/>
                <w:color w:val="auto"/>
              </w:rPr>
            </w:pPr>
          </w:p>
        </w:tc>
        <w:tc>
          <w:tcPr>
            <w:tcW w:w="430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420" w:type="dxa"/>
            <w:vAlign w:val="bottom"/>
            <w:gridSpan w:val="1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Financial Statements (Unaudited)</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Balance Sheets as of March 31, 2016 and December 31, 2015</w:t>
              </w:r>
            </w:hyperlink>
          </w:p>
        </w:tc>
        <w:tc>
          <w:tcPr>
            <w:tcW w:w="19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19"/>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Statements of Operations and Comprehensive Loss for the Three Month Periods Ended March 31, 2016 and 2015</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40" w:type="dxa"/>
            <w:vAlign w:val="bottom"/>
            <w:tcBorders>
              <w:top w:val="single" w:sz="8" w:color="0000EE"/>
            </w:tcBorders>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Statements of Cash Flows for the Three Month Periods Ended March 31, 2016 and 2015</w:t>
              </w:r>
            </w:hyperlink>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Condensed Financial Statements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420" w:type="dxa"/>
            <w:vAlign w:val="bottom"/>
            <w:gridSpan w:val="15"/>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Item 2. Management’s Discussion and Analysis of Financial Condition and Results of Operations</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 Quantitative and Qualitative Disclosures About Market Risk</w:t>
              </w:r>
            </w:hyperlink>
          </w:p>
        </w:tc>
        <w:tc>
          <w:tcPr>
            <w:tcW w:w="4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17"/>
                <w:szCs w:val="17"/>
                <w:color w:val="auto"/>
              </w:rPr>
            </w:pPr>
          </w:p>
        </w:tc>
        <w:tc>
          <w:tcPr>
            <w:tcW w:w="25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46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58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420" w:type="dxa"/>
            <w:vAlign w:val="bottom"/>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EXHIBIT INDEX</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68"/>
        </w:trPr>
        <w:tc>
          <w:tcPr>
            <w:tcW w:w="18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74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760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rPr>
              <w:t>PART I. — FINANCIAL INFORMATION</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16"/>
          </w:tcPr>
          <w:p>
            <w:pPr>
              <w:spacing w:after="0"/>
              <w:rPr>
                <w:sz w:val="20"/>
                <w:szCs w:val="20"/>
                <w:color w:val="auto"/>
              </w:rPr>
            </w:pPr>
            <w:r>
              <w:rPr>
                <w:rFonts w:ascii="Arial" w:cs="Arial" w:eastAsia="Arial" w:hAnsi="Arial"/>
                <w:sz w:val="18"/>
                <w:szCs w:val="18"/>
                <w:b w:val="1"/>
                <w:bCs w:val="1"/>
                <w:color w:val="auto"/>
              </w:rPr>
              <w:t>Item 1. Condensed Financial Statements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rPr>
              <w:t>VERACYTE, INC.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6"/>
              </w:rPr>
              <w:t>Condensed Balance Sheets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0" w:type="dxa"/>
            <w:vAlign w:val="bottom"/>
            <w:gridSpan w:val="12"/>
          </w:tcPr>
          <w:p>
            <w:pPr>
              <w:jc w:val="center"/>
              <w:ind w:right="1360"/>
              <w:spacing w:after="0"/>
              <w:rPr>
                <w:sz w:val="20"/>
                <w:szCs w:val="20"/>
                <w:color w:val="auto"/>
              </w:rPr>
            </w:pPr>
            <w:r>
              <w:rPr>
                <w:rFonts w:ascii="Arial" w:cs="Arial" w:eastAsia="Arial" w:hAnsi="Arial"/>
                <w:sz w:val="18"/>
                <w:szCs w:val="18"/>
                <w:b w:val="1"/>
                <w:bCs w:val="1"/>
                <w:color w:val="auto"/>
                <w:w w:val="88"/>
              </w:rPr>
              <w:t>(in thousands of dollars, except share and per share amounts)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422"/>
              <w:spacing w:after="0" w:line="142" w:lineRule="exact"/>
              <w:rPr>
                <w:sz w:val="20"/>
                <w:szCs w:val="20"/>
                <w:color w:val="auto"/>
              </w:rPr>
            </w:pPr>
            <w:r>
              <w:rPr>
                <w:rFonts w:ascii="Arial" w:cs="Arial" w:eastAsia="Arial" w:hAnsi="Arial"/>
                <w:sz w:val="14"/>
                <w:szCs w:val="14"/>
                <w:b w:val="1"/>
                <w:bCs w:val="1"/>
                <w:color w:val="auto"/>
              </w:rPr>
              <w:t>(See Note 1)</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16"/>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42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47,456</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420" w:type="dxa"/>
            <w:vAlign w:val="bottom"/>
            <w:gridSpan w:val="15"/>
          </w:tcPr>
          <w:p>
            <w:pPr>
              <w:ind w:left="20"/>
              <w:spacing w:after="0" w:line="201" w:lineRule="exact"/>
              <w:rPr>
                <w:sz w:val="20"/>
                <w:szCs w:val="20"/>
                <w:color w:val="auto"/>
              </w:rPr>
            </w:pPr>
            <w:r>
              <w:rPr>
                <w:rFonts w:ascii="Arial" w:cs="Arial" w:eastAsia="Arial" w:hAnsi="Arial"/>
                <w:sz w:val="18"/>
                <w:szCs w:val="18"/>
                <w:color w:val="auto"/>
                <w:w w:val="95"/>
              </w:rPr>
              <w:t>Accounts receivable, net of allowance of $131 and $117 as of March 31, 2016 and December 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14"/>
          </w:tcPr>
          <w:p>
            <w:pPr>
              <w:ind w:left="20"/>
              <w:spacing w:after="0"/>
              <w:rPr>
                <w:sz w:val="20"/>
                <w:szCs w:val="20"/>
                <w:color w:val="auto"/>
              </w:rPr>
            </w:pPr>
            <w:r>
              <w:rPr>
                <w:rFonts w:ascii="Arial" w:cs="Arial" w:eastAsia="Arial" w:hAnsi="Arial"/>
                <w:sz w:val="18"/>
                <w:szCs w:val="18"/>
                <w:color w:val="auto"/>
              </w:rPr>
              <w:t>2015, respectively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3,503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42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Supplies inventory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20" w:type="dxa"/>
            <w:vAlign w:val="bottom"/>
            <w:gridSpan w:val="15"/>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42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40" w:type="dxa"/>
            <w:vAlign w:val="bottom"/>
            <w:gridSpan w:val="14"/>
          </w:tcPr>
          <w:p>
            <w:pPr>
              <w:ind w:left="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47,914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16"/>
          </w:tcPr>
          <w:p>
            <w:pPr>
              <w:spacing w:after="0"/>
              <w:rPr>
                <w:sz w:val="20"/>
                <w:szCs w:val="20"/>
                <w:color w:val="auto"/>
              </w:rPr>
            </w:pPr>
            <w:r>
              <w:rPr>
                <w:rFonts w:ascii="Arial" w:cs="Arial" w:eastAsia="Arial" w:hAnsi="Arial"/>
                <w:sz w:val="18"/>
                <w:szCs w:val="18"/>
                <w:color w:val="auto"/>
              </w:rPr>
              <w:t>Finite-lived intangible assets,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14,933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15,200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16"/>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240" w:type="dxa"/>
            <w:vAlign w:val="bottom"/>
            <w:tcBorders>
              <w:bottom w:val="single" w:sz="8" w:color="CCEEFF"/>
            </w:tcBorders>
            <w:gridSpan w:val="14"/>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84,267</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75,247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600" w:type="dxa"/>
            <w:vAlign w:val="bottom"/>
            <w:gridSpan w:val="16"/>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gridSpan w:val="16"/>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42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20" w:type="dxa"/>
            <w:vAlign w:val="bottom"/>
            <w:gridSpan w:val="15"/>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7,021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8,689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42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Deferred Genzyme co-promotion fee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40" w:type="dxa"/>
            <w:vAlign w:val="bottom"/>
            <w:gridSpan w:val="14"/>
          </w:tcPr>
          <w:p>
            <w:pPr>
              <w:ind w:left="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16"/>
          </w:tcPr>
          <w:p>
            <w:pPr>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40" w:type="dxa"/>
            <w:vAlign w:val="bottom"/>
            <w:tcBorders>
              <w:top w:val="single" w:sz="8" w:color="CCEEFF"/>
            </w:tcBorders>
            <w:gridSpan w:val="14"/>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0" w:type="dxa"/>
            <w:vAlign w:val="bottom"/>
            <w:gridSpan w:val="16"/>
          </w:tcPr>
          <w:p>
            <w:pPr>
              <w:spacing w:after="0" w:line="196" w:lineRule="exact"/>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420" w:type="dxa"/>
            <w:vAlign w:val="bottom"/>
            <w:gridSpan w:val="15"/>
          </w:tcPr>
          <w:p>
            <w:pPr>
              <w:ind w:left="20"/>
              <w:spacing w:after="0" w:line="201" w:lineRule="exact"/>
              <w:rPr>
                <w:sz w:val="20"/>
                <w:szCs w:val="20"/>
                <w:color w:val="auto"/>
              </w:rPr>
            </w:pPr>
            <w:r>
              <w:rPr>
                <w:rFonts w:ascii="Arial" w:cs="Arial" w:eastAsia="Arial" w:hAnsi="Arial"/>
                <w:sz w:val="18"/>
                <w:szCs w:val="18"/>
                <w:color w:val="auto"/>
                <w:w w:val="94"/>
              </w:rPr>
              <w:t>Preferred stock, $0.001 par value; 5,000,000 shares authorized, no shares issued and outstanding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gridSpan w:val="14"/>
          </w:tcPr>
          <w:p>
            <w:pPr>
              <w:ind w:left="20"/>
              <w:spacing w:after="0"/>
              <w:rPr>
                <w:sz w:val="20"/>
                <w:szCs w:val="20"/>
                <w:color w:val="auto"/>
              </w:rPr>
            </w:pPr>
            <w:r>
              <w:rPr>
                <w:rFonts w:ascii="Arial" w:cs="Arial" w:eastAsia="Arial" w:hAnsi="Arial"/>
                <w:sz w:val="18"/>
                <w:szCs w:val="18"/>
                <w:color w:val="auto"/>
              </w:rPr>
              <w:t>as of March 31, 2016 and December 31, 2015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7420" w:type="dxa"/>
            <w:vAlign w:val="bottom"/>
            <w:gridSpan w:val="15"/>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Common stock, $0.001 par value; 125,000,000 shares authorized, 27,858,317 and 27,685,291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4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w w:val="99"/>
              </w:rPr>
              <w:t>shares issued and outstanding as of March 31, 2016 and December 31, 2015, respectively</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20" w:type="dxa"/>
            <w:vAlign w:val="bottom"/>
            <w:gridSpan w:val="15"/>
          </w:tcPr>
          <w:p>
            <w:pPr>
              <w:ind w:left="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202,079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199,950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42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(158,801)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gridSpan w:val="16"/>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51,252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75,247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-6844665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-6844665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60"/>
          </w:cols>
          <w:pgMar w:left="240" w:top="368" w:right="199" w:bottom="0" w:gutter="0" w:footer="0" w:header="0"/>
        </w:sectPr>
      </w:pPr>
    </w:p>
    <w:bookmarkStart w:id="2" w:name="page3"/>
    <w:bookmarkEnd w:id="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3,461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6,228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amortization</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6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1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27,817,993</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22,539,723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7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(7,610)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762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Bad debt expense</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Genzyme co-promotion fee amortization</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r>
      <w:tr>
        <w:trPr>
          <w:trHeight w:val="216"/>
        </w:trPr>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Amortization and write-off of debt discount and issuance costs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debt balloon payment and prepayment penalty</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Supplies inventory</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current other assets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Accrued liabilities and deferred rent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(1,113)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(2,493)</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18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Change in restricted cash</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18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 of end-of-term debt obligation and prepayment penalty</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35,014</w:t>
            </w:r>
          </w:p>
        </w:tc>
        <w:tc>
          <w:tcPr>
            <w:tcW w:w="100" w:type="dxa"/>
            <w:vAlign w:val="bottom"/>
            <w:shd w:val="clear" w:color="auto" w:fill="CCEEFF"/>
          </w:tcPr>
          <w:p>
            <w:pPr>
              <w:spacing w:after="0"/>
              <w:rPr>
                <w:sz w:val="18"/>
                <w:szCs w:val="18"/>
                <w:color w:val="auto"/>
              </w:rPr>
            </w:pPr>
          </w:p>
        </w:tc>
      </w:tr>
    </w:tbl>
    <w:p>
      <w:pPr>
        <w:sectPr>
          <w:pgSz w:w="11900" w:h="16897"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38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47,456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25,798</w:t>
            </w:r>
          </w:p>
        </w:tc>
      </w:tr>
      <w:tr>
        <w:trPr>
          <w:trHeight w:val="170"/>
        </w:trPr>
        <w:tc>
          <w:tcPr>
            <w:tcW w:w="7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9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Unpaid deferred debt issuance costs</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Veracyte, Inc. (“Veracyte” or the “Company”) was incorporated in the state of Delaware on August 15, 2006 as Calderome, Inc. Calderome operated as an incubator until early 2008. On March 4, 2008, the Company changed its name to Veracyte, Inc. Veracyte is a molecular diagnostics company that uses genomic technology to resolve diagnostic ambiguity. The Company targets diseases in which large numbers of patients undergo invasive and costly diagnostic procedures that could have been avoided with a more accurate diagnosis from a cytology sample taken preoperatively. By improving preoperative diagnosis, the Company helps patients avoid such unnecessary invasive procedures and surgeries while reducing healthcare costs.</w:t>
      </w:r>
    </w:p>
    <w:p>
      <w:pPr>
        <w:spacing w:after="0" w:line="158"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The Company’s first commercial solution, the Afirma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Thyroid FNA Analysis, centers on the proprietary Afirma Gene Expression Classifier (“GEC”). The Afirma GEC helps physicians reduce the number of unnecessary surgeries by employing a proprietary 142-gene signature to preoperatively determine whether thyroid nodules previously classified by cytopathology as indeterminate can be reclassified as benign. The Afirma GEC is offered directly or as part of a comprehensive solution that also includes cytopathology. Additionally, the Afirma Malignancy Classifiers were launched in May 2014. The Company currently markets and sells Afirma in the United States and select foreign countries through a co-promotion agreement with Genzyme Corporation, a subsidiary of Sanofi, as well as selectively through other distributors internationally. On March 9, 2016, the Company gave notice of termination of the U.S. Co-Promotion Agreement, effective September 9, 2016.</w:t>
      </w:r>
    </w:p>
    <w:p>
      <w:pPr>
        <w:spacing w:after="0" w:line="203" w:lineRule="exact"/>
        <w:rPr>
          <w:sz w:val="20"/>
          <w:szCs w:val="20"/>
          <w:color w:val="auto"/>
        </w:rPr>
      </w:pPr>
    </w:p>
    <w:p>
      <w:pPr>
        <w:jc w:val="both"/>
        <w:ind w:right="140" w:firstLine="648"/>
        <w:spacing w:after="0" w:line="234" w:lineRule="auto"/>
        <w:rPr>
          <w:sz w:val="20"/>
          <w:szCs w:val="20"/>
          <w:color w:val="auto"/>
        </w:rPr>
      </w:pPr>
      <w:r>
        <w:rPr>
          <w:rFonts w:ascii="Arial" w:cs="Arial" w:eastAsia="Arial" w:hAnsi="Arial"/>
          <w:sz w:val="18"/>
          <w:szCs w:val="18"/>
          <w:color w:val="auto"/>
        </w:rPr>
        <w:t>In April 2015, the Company entered the lung cancer diagnostics market with the Percepta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Bronchial Genomic Classifier, a genomic test to resolve ambiguity in lung cancer diagnosis. The Company has a second product in pulmonology under development designed to help in the preoperative assessment of patients suspected to have idiopathic pulmonary fibrosis (“IPF”).</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operations are based in South San Francisco, California and Austin, Texas, and it operates in one segment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The Company’s financial statements have been prepared in accordance with accounting principles generally accepted in the United States (“GAAP”). The financial statements include the accounts of the Company and its former wholly-owned subsidiary, which was dissolved in June 2015. For periods prior to the subsidiary dissolution, all intercompany accounts and transactions were eliminated in consolidation. Certain information and note disclosures normally included in the financial statements prepared in accordance with GAAP have been condensed or omitted pursuant to such rules and regulations. The condensed balance sheet as of March 31, 2016, the condensed statements of operations and comprehensive loss and the condensed statements of cash flows for the three months ended March 31, 2016 and 2015,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2015 has been derived from audited financial statements. The results for the three months ended March 31, 2016 are not necessarily indicative of the results expected for the full fiscal year or any other period. Certain figures have been reclassified on the condensed balance sheet at December 31, 2015 to conform with the adoption of Accounting Standards Update (“ASU”) No. 2015-03, </w:t>
      </w:r>
      <w:r>
        <w:rPr>
          <w:rFonts w:ascii="Arial" w:cs="Arial" w:eastAsia="Arial" w:hAnsi="Arial"/>
          <w:sz w:val="17"/>
          <w:szCs w:val="17"/>
          <w:i w:val="1"/>
          <w:iCs w:val="1"/>
          <w:color w:val="auto"/>
        </w:rPr>
        <w:t>Simplifying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of Debt Issuance Costs.</w:t>
      </w:r>
    </w:p>
    <w:p>
      <w:pPr>
        <w:spacing w:after="0" w:line="18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ectPr>
          <w:pgSz w:w="11900" w:h="16838" w:orient="portrait"/>
          <w:cols w:equalWidth="0" w:num="1">
            <w:col w:w="11420"/>
          </w:cols>
          <w:pgMar w:left="240" w:top="121" w:right="239" w:bottom="0" w:gutter="0" w:footer="0" w:header="0"/>
        </w:sectPr>
      </w:pPr>
    </w:p>
    <w:bookmarkStart w:id="4" w:name="page5"/>
    <w:bookmarkEnd w:id="4"/>
    <w:p>
      <w:pPr>
        <w:spacing w:after="0" w:line="1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2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Through March 31, 2016,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173" w:lineRule="exact"/>
        <w:rPr>
          <w:sz w:val="20"/>
          <w:szCs w:val="20"/>
          <w:color w:val="auto"/>
        </w:rPr>
      </w:pPr>
    </w:p>
    <w:p>
      <w:pPr>
        <w:jc w:val="center"/>
        <w:ind w:left="4540"/>
        <w:spacing w:after="0"/>
        <w:rPr>
          <w:sz w:val="20"/>
          <w:szCs w:val="20"/>
          <w:color w:val="auto"/>
        </w:rPr>
      </w:pPr>
      <w:r>
        <w:rPr>
          <w:rFonts w:ascii="Arial" w:cs="Arial" w:eastAsia="Arial" w:hAnsi="Arial"/>
          <w:sz w:val="14"/>
          <w:szCs w:val="14"/>
          <w:b w:val="1"/>
          <w:bCs w:val="1"/>
          <w:color w:val="auto"/>
        </w:rPr>
        <w:t>Three Months Ended</w:t>
      </w:r>
    </w:p>
    <w:p>
      <w:pPr>
        <w:jc w:val="center"/>
        <w:ind w:left="45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United Healthcare</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Cigna</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total revenue.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significant third-party payers and their related accounts receivable balance as a percentage of total accounts receivable are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4"/>
              </w:rPr>
              <w:t>March 31, 2016</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United Healthcare</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Aetna</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Cigna</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deposits of $238,000 and $118,000 as of March 31, 2016 and December 31, 2015, respectively, including amounts restricted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withdrawal and held by a bank in the form of collateral for irrevocable standby letters of credit totaling $118,000 held as security for the lease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former headquarters and laboratory facility in South San Francisco that expired March 31, 2016. The deposits at March 31, 2016 also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$120,000 as a pledge for corporate credit cards. This restricted cash is included in current assets as of March 31, 2016. The Company also had deposits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$603,000 included in long-term assets as of March 31, 2016 and December 31, 2015, restricted from withdrawal and held by a bank in the form of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an irrevocable standby letter of credit held as security for the lease of the Company’s new South San Francisco facility signed in April 2015.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substantive evidence that the account will not be paid.</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balance of allowance for doubtful accounts as of March 31, 2016 and December 31, 2015 was $131,000 and $117,000, respectively. Bad debt expense was $66,000 and $22,000 for the three months ended March 31, 2016 and 2015, respectively and is included in general and administrative expenses in the accompanying condensed statements of operations. Write offs for doubtful accounts of $52,000 and $21,000 were recorded against the allowance for doubtful accounts during the three months ended March 31,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The Company recognizes revenue in accordance with the provision of ASC 954-605, </w:t>
      </w:r>
      <w:r>
        <w:rPr>
          <w:rFonts w:ascii="Arial" w:cs="Arial" w:eastAsia="Arial" w:hAnsi="Arial"/>
          <w:sz w:val="16"/>
          <w:szCs w:val="16"/>
          <w:i w:val="1"/>
          <w:iCs w:val="1"/>
          <w:color w:val="auto"/>
        </w:rPr>
        <w:t>Health Care Entities—Revenue Recognition.</w:t>
      </w:r>
      <w:r>
        <w:rPr>
          <w:rFonts w:ascii="Arial" w:cs="Arial" w:eastAsia="Arial" w:hAnsi="Arial"/>
          <w:sz w:val="16"/>
          <w:szCs w:val="16"/>
          <w:color w:val="auto"/>
        </w:rPr>
        <w:t xml:space="preserve"> The Company’s revenue is generated from the provision of diagnostic services using the Afirma solution and the service is completed upon the delivery of test results to the prescribing physician, at which time the Company bills for the service. The Company recognizes revenue related to billings for Medicare and commercial payers on an accrual basis, net of contractual and other adjustments, when amounts that will ultimately be realized can be estimated. Contractual and other adjustments represent the difference between the list price (the billing rate) and the estimated 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w:t>
      </w:r>
    </w:p>
    <w:p>
      <w:pPr>
        <w:sectPr>
          <w:pgSz w:w="11900" w:h="16851" w:orient="portrait"/>
          <w:cols w:equalWidth="0" w:num="1">
            <w:col w:w="11420"/>
          </w:cols>
          <w:pgMar w:left="240" w:top="125" w:right="239" w:bottom="0" w:gutter="0" w:footer="0" w:header="0"/>
        </w:sectPr>
      </w:pPr>
    </w:p>
    <w:bookmarkStart w:id="5" w:name="page6"/>
    <w:bookmarkEnd w:id="5"/>
    <w:p>
      <w:pPr>
        <w:spacing w:after="0" w:line="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from the patient, the related revenue is only recognized upon the earlier of payment notification, if applicable, or cash receipt.</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estimates of amounts that will ultimately be realized requires significant judgment by management.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the ability to estimate the amount that will ultimately be realized for the Company’s services, revenue is recognized upon the earlier of receipt of third-party payer notification of payment or when cash is received.</w:t>
      </w:r>
    </w:p>
    <w:p>
      <w:pPr>
        <w:spacing w:after="0" w:line="17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Revenue recognized when cash is received and on an accrual basis for the three months ended March 31, 2016 and 2015 was as follows (in thousands of dollars):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8,226</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the retrospective or cumulative effect transition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method. Adoption is permitted as early as the first quarter of 2017 and is required by the first quarter of 2018. The Company has not yet selected a transition method and is currently evaluating the potential effect of the updated standard on its financial statements.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August 2014, FASB issued ASU No. 2014-15, </w:t>
      </w:r>
      <w:r>
        <w:rPr>
          <w:rFonts w:ascii="Arial" w:cs="Arial" w:eastAsia="Arial" w:hAnsi="Arial"/>
          <w:sz w:val="17"/>
          <w:szCs w:val="17"/>
          <w:i w:val="1"/>
          <w:iCs w:val="1"/>
          <w:color w:val="auto"/>
        </w:rPr>
        <w:t>Presentation of Financial Statements Going Concern—Disclosure of Uncertainties about an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Ability to Continue as a Going Concern</w:t>
      </w:r>
      <w:r>
        <w:rPr>
          <w:rFonts w:ascii="Arial" w:cs="Arial" w:eastAsia="Arial" w:hAnsi="Arial"/>
          <w:sz w:val="17"/>
          <w:szCs w:val="17"/>
          <w:color w:val="auto"/>
        </w:rPr>
        <w:t>. The amendments require management to assess an entity’s ability to continue as a going concern by</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the Company beginning with its annual report for fiscal 2016 and interim periods thereafter. The Company does not anticipate that the adoption of this ASU will have a significant impact on its financial statements.</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The Company has adopted this ASU and the retrospective adjustment of the prior period presentation was not material.</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The ASU requires that deferred tax assets and liabilities be classified as noncurrent in the statement of financial position, thereby simplifying the current guidance that requires an entity to separate deferred assets and liabilities into current and noncurrent amounts. This ASU will be effective for the Company beginning in the first quarter of fiscal year 2018 though early adoption is permitted. The Company early-adopted the ASU as of December 31, 2015 and the impact of adoption on its statement of financial position was not material.</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related to the tax effects of share-based awards. The ASU requires that all the tax effects of share-based awards be recorded through the income statement, thereby simplifying the current guidance that requires related tax deductions in excess of compensation cost (“Excess”) be recorded in equity and tax deficiencies, when compensation cost exceed tax deductions, be recorded in equity to the extent of the previously recognized Excess with the remainder to be recorded in income tax expense. The ASU will be effective for interim and annual periods beginning after December 15, 2016. The Company does not anticipate that the adoption of this ASU will have a significant impact on its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outstanding common stock equivalents have been excluded from diluted net loss per common share because their inclusion would be anti-dilutive:</w:t>
      </w:r>
    </w:p>
    <w:p>
      <w:pPr>
        <w:spacing w:after="0" w:line="162" w:lineRule="exact"/>
        <w:rPr>
          <w:sz w:val="20"/>
          <w:szCs w:val="20"/>
          <w:color w:val="auto"/>
        </w:rPr>
      </w:pPr>
    </w:p>
    <w:p>
      <w:pPr>
        <w:jc w:val="center"/>
        <w:ind w:left="3420"/>
        <w:spacing w:after="0"/>
        <w:rPr>
          <w:sz w:val="20"/>
          <w:szCs w:val="20"/>
          <w:color w:val="auto"/>
        </w:rPr>
      </w:pPr>
      <w:r>
        <w:rPr>
          <w:rFonts w:ascii="Arial" w:cs="Arial" w:eastAsia="Arial" w:hAnsi="Arial"/>
          <w:sz w:val="14"/>
          <w:szCs w:val="14"/>
          <w:b w:val="1"/>
          <w:bCs w:val="1"/>
          <w:color w:val="auto"/>
        </w:rPr>
        <w:t>Three Months Ended</w:t>
      </w:r>
    </w:p>
    <w:p>
      <w:pPr>
        <w:jc w:val="center"/>
        <w:ind w:left="34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960" w:type="dxa"/>
        <w:tblCellMar>
          <w:top w:w="0" w:type="dxa"/>
          <w:left w:w="0" w:type="dxa"/>
          <w:bottom w:w="0" w:type="dxa"/>
          <w:right w:w="0" w:type="dxa"/>
        </w:tblCellMar>
      </w:tblPr>
      <w:tr>
        <w:trPr>
          <w:trHeight w:val="142"/>
        </w:trPr>
        <w:tc>
          <w:tcPr>
            <w:tcW w:w="41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82"/>
        </w:trPr>
        <w:tc>
          <w:tcPr>
            <w:tcW w:w="41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Shares of common stock subject to outstanding</w:t>
            </w: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5,283,180</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4,270,198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24,827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of common stock equivalents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5,308,007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57"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2,089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28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7,021</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40" w:type="dxa"/>
            <w:vAlign w:val="bottom"/>
            <w:vMerge w:val="restart"/>
          </w:tcPr>
          <w:p>
            <w:pPr>
              <w:jc w:val="right"/>
              <w:ind w:right="15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2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7"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26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only of money market funds, was $46.5 million and $37.5 million as of March 31, 2016 and December 31, 2015,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leases its headquarters and South San Francisco, California laboratory facilities under a non-cancelable lease agreement for approximately 59,000 square feet. The lease began in June 2015 and ends in March 2026 and contains extension of lease term and expansion options. In conjunction with this lease, the landlord provided funding of approximately $3.3 million for tenant improvements, all of which was received as of December 31, 2015. The Company incurred $3.6 million in addition to the landlord’s tenant allowance as of March 31, 2016 to complete the build-out of the facility. The Company had deposits of $603,000 included in long-term assets as of March 31, 2016, restricted from withdrawal and held by a bank in the form of collateral for an irrevocable standby letter of credit totaling $603,000 held as security for the lease of the new South San Francisco facility.</w:t>
      </w:r>
    </w:p>
    <w:p>
      <w:pPr>
        <w:spacing w:after="0" w:line="16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Company also leases laboratory space in Austin, Texas. The lease expires on July 31, 2018. The Company provided a cash security deposit of $75,000, which is included in other assets in the Company’s condensed balance sheets as of March 31, 2016 and December 31, 2015.</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March 31, 2016 are as follows (in thousands of dollars):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36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11,956</w:t>
            </w:r>
          </w:p>
        </w:tc>
      </w:tr>
      <w:tr>
        <w:trPr>
          <w:trHeight w:val="210"/>
        </w:trPr>
        <w:tc>
          <w:tcPr>
            <w:tcW w:w="7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period. Facilities rent expense was $628,000 and $213,000 for the three months ended March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had non-cancelable purchase commitments with two suppliers to purchase a minimum quantity of supplies for approximately $813,000 at March 31, 2016.</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37" w:right="19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litigation pending that could have, individually or in the aggregate,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In March 2016, the Company entered into a credit agreement (the “Credit Agreement”) with Visium Healthcare Partners, LP (“Visium”). Under the Credit Agreement, two term loans are available to the Company with an aggregate principal amount of up to $40.0 million. The Company drew down the initial $25.0 million term loan (the “Initial Term Loan”) on March 30, 2016, of which $5.0 million was used to pay the outstanding balance of the Company’s existing long-term debt, which was cancelled at that date. On or prior to June 30, 2017, the Company may request the second term loan of up to $15.0 million (the “Second Term Loan” and together with the Initial Term Loan, the “Term Loans”). The maturity of the Term Loans is March 31, 2022.</w:t>
      </w:r>
    </w:p>
    <w:p>
      <w:pPr>
        <w:spacing w:after="0" w:line="158"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The Term Loans bear interest at a fixed rate of 12.0% per annum, payable quarterly at the end of each March, June, September and December. No principal payments will be due during an interest-only period, commencing on the funding date for the Initial Term Loan (the “Initial Borrowing Date”) and continuing through and including March 31, 2020. The Company is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the Company may elect to pay interest in cash on the outstanding principal amounts of the Term Loans at a fixed rate of 9.0%, with the remaining 3.0% of the 12.0% interest paid-in-kind by adding such paid-in-kind interest to the outstanding principal amounts of the Term Loans.</w:t>
      </w:r>
    </w:p>
    <w:p>
      <w:pPr>
        <w:spacing w:after="0" w:line="178"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The Company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w:t>
      </w:r>
    </w:p>
    <w:p>
      <w:pPr>
        <w:ind w:right="240"/>
        <w:spacing w:after="0" w:line="255" w:lineRule="auto"/>
        <w:rPr>
          <w:sz w:val="20"/>
          <w:szCs w:val="20"/>
          <w:color w:val="auto"/>
        </w:rPr>
      </w:pPr>
      <w:r>
        <w:rPr>
          <w:rFonts w:ascii="Arial" w:cs="Arial" w:eastAsia="Arial" w:hAnsi="Arial"/>
          <w:sz w:val="18"/>
          <w:szCs w:val="18"/>
          <w:color w:val="auto"/>
        </w:rPr>
        <w:t>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0" w:lineRule="exact"/>
        <w:rPr>
          <w:sz w:val="20"/>
          <w:szCs w:val="20"/>
          <w:color w:val="auto"/>
        </w:rPr>
      </w:pPr>
    </w:p>
    <w:p>
      <w:pPr>
        <w:ind w:right="180" w:firstLine="441"/>
        <w:spacing w:after="0" w:line="272" w:lineRule="auto"/>
        <w:rPr>
          <w:sz w:val="20"/>
          <w:szCs w:val="20"/>
          <w:color w:val="auto"/>
        </w:rPr>
      </w:pPr>
      <w:r>
        <w:rPr>
          <w:rFonts w:ascii="Arial" w:cs="Arial" w:eastAsia="Arial" w:hAnsi="Arial"/>
          <w:sz w:val="17"/>
          <w:szCs w:val="17"/>
          <w:color w:val="auto"/>
        </w:rPr>
        <w:t>The Company’s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 As of March 31, 2016, the Company was in compliance with the loan covenants.</w:t>
      </w:r>
    </w:p>
    <w:p>
      <w:pPr>
        <w:spacing w:after="0" w:line="178"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Concurrent with entering into the Credit Agreement, the Company entered into an agreement with Visium pursuant to which, for a period of one year following the Initial Borrowing Date, Visium has the right to participate in certain future equity financings of the Company in an amount of up to $5.0 million with no preferential terms.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2016, the net debt obligation for the Credit Agreement was as follows (in thousands of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2016</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principal</w:t>
            </w:r>
          </w:p>
        </w:tc>
        <w:tc>
          <w:tcPr>
            <w:tcW w:w="4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Deferred debt issuance costs</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debt obligation</w:t>
            </w:r>
          </w:p>
        </w:tc>
        <w:tc>
          <w:tcPr>
            <w:tcW w:w="4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280" w:type="dxa"/>
            <w:vAlign w:val="bottom"/>
            <w:vMerge w:val="restart"/>
          </w:tcPr>
          <w:p>
            <w:pPr>
              <w:jc w:val="right"/>
              <w:ind w:right="279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380" w:type="dxa"/>
            <w:vAlign w:val="bottom"/>
            <w:tcBorders>
              <w:bottom w:val="single" w:sz="8" w:color="808080"/>
            </w:tcBorders>
          </w:tcPr>
          <w:p>
            <w:pPr>
              <w:spacing w:after="0"/>
              <w:rPr>
                <w:sz w:val="11"/>
                <w:szCs w:val="11"/>
                <w:color w:val="auto"/>
              </w:rPr>
            </w:pPr>
          </w:p>
        </w:tc>
        <w:tc>
          <w:tcPr>
            <w:tcW w:w="4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carrying value of the debt approximates its fair value because the interest rate approximates market rates that the Company could obtain for debt with similar terms. The deferred debt issuance costs of $548,000 will be amortized until the Term Loans mature on March 31, 2022. For the three months ended March 31, 2016, interest expense was $8,000 and amortization of the deferred debt issuance costs was less than $1,000.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under the Credit Agreement are as follows (in thousands of dollars):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8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15,625</w:t>
            </w:r>
          </w:p>
        </w:tc>
      </w:tr>
      <w:tr>
        <w:trPr>
          <w:trHeight w:val="21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June 2013, the Company entered into a loan and security agreement (“Original Loan”) with a financial institution. The Original Loan provided for term loans of up to $10.0 million in aggregate. The Company drew down $5.0 million in funds under the agreement in June 2013, and did not draw the remaining $5.0 million on or before the expiration date of March 31, 2014. The Company was required to repay the outstanding principal in 30 equal</w:t>
      </w:r>
    </w:p>
    <w:p>
      <w:pPr>
        <w:sectPr>
          <w:pgSz w:w="11900" w:h="16838" w:orient="portrait"/>
          <w:cols w:equalWidth="0" w:num="1">
            <w:col w:w="11460"/>
          </w:cols>
          <w:pgMar w:left="240" w:top="125" w:right="199" w:bottom="0" w:gutter="0" w:footer="0" w:header="0"/>
        </w:sectPr>
      </w:pPr>
    </w:p>
    <w:bookmarkStart w:id="8" w:name="page9"/>
    <w:bookmarkEnd w:id="8"/>
    <w:p>
      <w:pPr>
        <w:ind w:right="540"/>
        <w:spacing w:after="0" w:line="342" w:lineRule="auto"/>
        <w:rPr>
          <w:sz w:val="20"/>
          <w:szCs w:val="20"/>
          <w:color w:val="auto"/>
        </w:rPr>
      </w:pPr>
      <w:r>
        <w:rPr>
          <w:rFonts w:ascii="Arial" w:cs="Arial" w:eastAsia="Arial" w:hAnsi="Arial"/>
          <w:sz w:val="16"/>
          <w:szCs w:val="16"/>
          <w:color w:val="auto"/>
        </w:rPr>
        <w:t>installments beginning 18 months after the date of the borrowing and was due in full in June 2017. The Original Loan had an interest rate of 6.06% per annum, carried prepayment penalties of 2.25% and 1.50% for prepayment within one and two years, respectively, and 0.75% thereafter.</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December 2014, the Company amended certain terms and conditions of the Original Loan (“Amended Loan”). The Amended Loan provided for term loans of up to $15.0 million in aggregate, in three tranches of $5.0 million each. The Company borrowed $5.0 million under the first tranche in December 2014 and used the funds for repayment of the $5.0 million in principal outstanding under the Original Loan, in a cashless transaction. In addition, the Company paid the accrued but unpaid interest of $14,000 due on the Original Loan and the related end-of-term payment of $110,000. The Amended Loan waived the prepayment premium of $75,000 under the Original Loan and reduced the end-of-term payment of $225,000 under the Original Loan to $110,000. In November 2015, the Company further amended the loan to extend the availability of the second $5.0 million tranche under the Amended Loan through June 30, 2016 from December 31, 2015 originally. The Company could have borrowed the third $5.0 million tranche any time through June 30, 2016 after achieving the third tranche revenue milestone as defined in the Amended Loan.</w:t>
      </w:r>
    </w:p>
    <w:p>
      <w:pPr>
        <w:spacing w:after="0" w:line="17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Under the Amended Loan borrowing, the Company was required to repay the outstanding principal in 24 equal installments beginning 24 months after the date of the borrowing and was due in full in December 2018. The first tranche of the Amended Loan bore interest at a rate of 5.00% per annum. The Amended Loan carried prepayment penalties of 2.00% and 1.00% for prepayment within one and two years, respectively, and no prepayment penalty thereafter. In connection with the Amended Loan, the Company paid approximately $45,000 in third-party fees.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on the loan and security agreement was as follows (in thousands of dollars):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Nominal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22617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6175" cy="14605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and write-off of debt discount and debt issuance costs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Prepayment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2261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617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End-of-term payment interest</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226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26175" cy="15430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The Company had reserved shares of common stock for issuance as follows:</w:t>
      </w:r>
    </w:p>
    <w:p>
      <w:pPr>
        <w:spacing w:after="0" w:line="3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579755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Options available for grant under stock option plans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available for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-130810</wp:posOffset>
            </wp:positionV>
            <wp:extent cx="57975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Total</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right"/>
        <w:ind w:right="13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c>
          <w:tcPr>
            <w:tcW w:w="26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March 31, 2016</w:t>
      </w:r>
      <w:r>
        <w:rPr>
          <w:sz w:val="20"/>
          <w:szCs w:val="20"/>
          <w:color w:val="auto"/>
        </w:rPr>
        <w:tab/>
      </w:r>
      <w:r>
        <w:rPr>
          <w:rFonts w:ascii="Arial" w:cs="Arial" w:eastAsia="Arial" w:hAnsi="Arial"/>
          <w:sz w:val="12"/>
          <w:szCs w:val="12"/>
          <w:b w:val="1"/>
          <w:bCs w:val="1"/>
          <w:color w:val="auto"/>
        </w:rPr>
        <w:t>December 31, 2015</w:t>
      </w:r>
    </w:p>
    <w:p>
      <w:pPr>
        <w:spacing w:after="0" w:line="25" w:lineRule="exact"/>
        <w:rPr>
          <w:sz w:val="20"/>
          <w:szCs w:val="20"/>
          <w:color w:val="auto"/>
        </w:rPr>
      </w:pPr>
    </w:p>
    <w:p>
      <w:pPr>
        <w:ind w:left="560"/>
        <w:spacing w:after="0"/>
        <w:tabs>
          <w:tab w:leader="none" w:pos="2420" w:val="left"/>
        </w:tabs>
        <w:rPr>
          <w:sz w:val="20"/>
          <w:szCs w:val="20"/>
          <w:color w:val="auto"/>
        </w:rPr>
      </w:pPr>
      <w:r>
        <w:rPr>
          <w:rFonts w:ascii="Arial" w:cs="Arial" w:eastAsia="Arial" w:hAnsi="Arial"/>
          <w:sz w:val="18"/>
          <w:szCs w:val="18"/>
          <w:color w:val="auto"/>
        </w:rPr>
        <w:t>5,283,180</w:t>
      </w:r>
      <w:r>
        <w:rPr>
          <w:sz w:val="20"/>
          <w:szCs w:val="20"/>
          <w:color w:val="auto"/>
        </w:rPr>
        <w:tab/>
      </w:r>
      <w:r>
        <w:rPr>
          <w:rFonts w:ascii="Arial" w:cs="Arial" w:eastAsia="Arial" w:hAnsi="Arial"/>
          <w:sz w:val="18"/>
          <w:szCs w:val="18"/>
          <w:color w:val="auto"/>
        </w:rPr>
        <w:t>4,179,521</w:t>
      </w:r>
    </w:p>
    <w:p>
      <w:pPr>
        <w:spacing w:after="0" w:line="8" w:lineRule="exact"/>
        <w:rPr>
          <w:sz w:val="20"/>
          <w:szCs w:val="20"/>
          <w:color w:val="auto"/>
        </w:rPr>
      </w:pPr>
    </w:p>
    <w:p>
      <w:pPr>
        <w:ind w:left="680"/>
        <w:spacing w:after="0"/>
        <w:tabs>
          <w:tab w:leader="none" w:pos="2420" w:val="left"/>
        </w:tabs>
        <w:rPr>
          <w:sz w:val="20"/>
          <w:szCs w:val="20"/>
          <w:color w:val="auto"/>
        </w:rPr>
      </w:pPr>
      <w:r>
        <w:rPr>
          <w:rFonts w:ascii="Arial" w:cs="Arial" w:eastAsia="Arial" w:hAnsi="Arial"/>
          <w:sz w:val="18"/>
          <w:szCs w:val="18"/>
          <w:color w:val="auto"/>
        </w:rPr>
        <w:t>961,818</w:t>
      </w:r>
      <w:r>
        <w:rPr>
          <w:sz w:val="20"/>
          <w:szCs w:val="20"/>
          <w:color w:val="auto"/>
        </w:rPr>
        <w:tab/>
      </w:r>
      <w:r>
        <w:rPr>
          <w:rFonts w:ascii="Arial" w:cs="Arial" w:eastAsia="Arial" w:hAnsi="Arial"/>
          <w:sz w:val="18"/>
          <w:szCs w:val="18"/>
          <w:color w:val="auto"/>
        </w:rPr>
        <w:t>1,058,359</w:t>
      </w:r>
    </w:p>
    <w:p>
      <w:pPr>
        <w:spacing w:after="0" w:line="9" w:lineRule="exact"/>
        <w:rPr>
          <w:sz w:val="20"/>
          <w:szCs w:val="20"/>
          <w:color w:val="auto"/>
        </w:rPr>
      </w:pPr>
    </w:p>
    <w:p>
      <w:pPr>
        <w:ind w:left="680"/>
        <w:spacing w:after="0"/>
        <w:tabs>
          <w:tab w:leader="none" w:pos="2560" w:val="left"/>
        </w:tabs>
        <w:rPr>
          <w:sz w:val="20"/>
          <w:szCs w:val="20"/>
          <w:color w:val="auto"/>
        </w:rPr>
      </w:pPr>
      <w:r>
        <w:rPr>
          <w:rFonts w:ascii="Arial" w:cs="Arial" w:eastAsia="Arial" w:hAnsi="Arial"/>
          <w:sz w:val="18"/>
          <w:szCs w:val="18"/>
          <w:color w:val="auto"/>
        </w:rPr>
        <w:t>684,272</w:t>
      </w:r>
      <w:r>
        <w:rPr>
          <w:sz w:val="20"/>
          <w:szCs w:val="20"/>
          <w:color w:val="auto"/>
        </w:rPr>
        <w:tab/>
      </w:r>
      <w:r>
        <w:rPr>
          <w:rFonts w:ascii="Arial" w:cs="Arial" w:eastAsia="Arial" w:hAnsi="Arial"/>
          <w:sz w:val="18"/>
          <w:szCs w:val="18"/>
          <w:color w:val="auto"/>
        </w:rPr>
        <w:t>750,000</w:t>
      </w:r>
    </w:p>
    <w:p>
      <w:pPr>
        <w:spacing w:after="0" w:line="9" w:lineRule="exact"/>
        <w:rPr>
          <w:sz w:val="20"/>
          <w:szCs w:val="20"/>
          <w:color w:val="auto"/>
        </w:rPr>
      </w:pPr>
    </w:p>
    <w:p>
      <w:pPr>
        <w:ind w:left="560"/>
        <w:spacing w:after="0"/>
        <w:tabs>
          <w:tab w:leader="none" w:pos="2420" w:val="left"/>
        </w:tabs>
        <w:rPr>
          <w:sz w:val="20"/>
          <w:szCs w:val="20"/>
          <w:color w:val="auto"/>
        </w:rPr>
      </w:pPr>
      <w:r>
        <w:rPr>
          <w:rFonts w:ascii="Arial" w:cs="Arial" w:eastAsia="Arial" w:hAnsi="Arial"/>
          <w:sz w:val="18"/>
          <w:szCs w:val="18"/>
          <w:color w:val="auto"/>
        </w:rPr>
        <w:t>6,929,270</w:t>
      </w:r>
      <w:r>
        <w:rPr>
          <w:sz w:val="20"/>
          <w:szCs w:val="20"/>
          <w:color w:val="auto"/>
        </w:rPr>
        <w:tab/>
      </w:r>
      <w:r>
        <w:rPr>
          <w:rFonts w:ascii="Arial" w:cs="Arial" w:eastAsia="Arial" w:hAnsi="Arial"/>
          <w:sz w:val="18"/>
          <w:szCs w:val="18"/>
          <w:color w:val="auto"/>
        </w:rPr>
        <w:t>5,987,880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14605</wp:posOffset>
            </wp:positionV>
            <wp:extent cx="221234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12340" cy="26035"/>
                    </a:xfrm>
                    <a:prstGeom prst="rect">
                      <a:avLst/>
                    </a:prstGeom>
                    <a:noFill/>
                  </pic:spPr>
                </pic:pic>
              </a:graphicData>
            </a:graphic>
          </wp:anchor>
        </w:drawing>
        <w:drawing>
          <wp:anchor simplePos="0" relativeHeight="251657728" behindDoc="1" locked="0" layoutInCell="0" allowOverlap="1">
            <wp:simplePos x="0" y="0"/>
            <wp:positionH relativeFrom="column">
              <wp:posOffset>-203835</wp:posOffset>
            </wp:positionH>
            <wp:positionV relativeFrom="paragraph">
              <wp:posOffset>-130810</wp:posOffset>
            </wp:positionV>
            <wp:extent cx="22123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6160" w:space="680"/>
            <w:col w:w="4580"/>
          </w:cols>
          <w:pgMar w:left="240" w:top="125"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Available</w:t>
            </w: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 Grant</w:t>
            </w: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Exercise Price</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1,058,359</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4,179,521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Arial" w:cs="Arial" w:eastAsia="Arial" w:hAnsi="Arial"/>
                <w:sz w:val="18"/>
                <w:szCs w:val="18"/>
                <w:color w:val="auto"/>
              </w:rPr>
              <w:t>Additional options authorized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1,107,411</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(1,259,650)</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1,259,650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0"/>
              <w:spacing w:after="0"/>
              <w:rPr>
                <w:sz w:val="20"/>
                <w:szCs w:val="20"/>
                <w:color w:val="auto"/>
              </w:rPr>
            </w:pPr>
            <w:r>
              <w:rPr>
                <w:rFonts w:ascii="Arial" w:cs="Arial" w:eastAsia="Arial" w:hAnsi="Arial"/>
                <w:sz w:val="18"/>
                <w:szCs w:val="18"/>
                <w:color w:val="auto"/>
              </w:rPr>
              <w:t>Canceled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55,698</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(48,693)</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12.94</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(107,298)</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Balance—March 31, 2016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961,818</w:t>
            </w:r>
          </w:p>
        </w:tc>
        <w:tc>
          <w:tcPr>
            <w:tcW w:w="30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5,283,180</w:t>
            </w:r>
          </w:p>
        </w:tc>
        <w:tc>
          <w:tcPr>
            <w:tcW w:w="2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7.68</w:t>
            </w:r>
          </w:p>
        </w:tc>
        <w:tc>
          <w:tcPr>
            <w:tcW w:w="17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8.10</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8"/>
              </w:rPr>
              <w:t>Options vested and exercisable—March 31, 2016</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2,159,237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6.66</w:t>
            </w:r>
          </w:p>
        </w:tc>
        <w:tc>
          <w:tcPr>
            <w:tcW w:w="17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6.58</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Options vested and expected to vest—March 31,</w:t>
            </w: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2016</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4,951,621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7.67</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2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which was $5.40 per share as of March 31, 2016.</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$3.36 and $5.37 for the three months ended March 31, 2016 and 2015,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fair value of stock options exercised was $1.71 and $2.50 for the three months ended March 31, 2016 and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stock options exercised was $365,000 and $145,000 for the three months ended March 31, 2016 and 2015,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The following table summarizes stock-based compensation expense related to stock options and pursuant to the employee stock purchase plan (“ESPP”) for the three months ended March 31, 2016 and 2015, and are included in the condensed statements of operations and comprehensive loss as follows (in thousands of dollars):</w:t>
      </w:r>
    </w:p>
    <w:p>
      <w:pPr>
        <w:sectPr>
          <w:pgSz w:w="11900" w:h="16838" w:orient="portrait"/>
          <w:cols w:equalWidth="0" w:num="1">
            <w:col w:w="11420"/>
          </w:cols>
          <w:pgMar w:left="240" w:top="125" w:right="239" w:bottom="0" w:gutter="0" w:footer="0" w:header="0"/>
          <w:type w:val="continuous"/>
        </w:sectPr>
      </w:pPr>
    </w:p>
    <w:bookmarkStart w:id="9" w:name="page10"/>
    <w:bookmarkEnd w:id="9"/>
    <w:tbl>
      <w:tblPr>
        <w:tblLayout w:type="fixed"/>
        <w:tblInd w:w="6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9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10"/>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March 31, 2016, the Company had $13.2 million of unrecognized compensation expense related to unvested stock options, which is expected to be recognized over an estimated weighted-average period of 2.92 years.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estimated grant-date fair value of employee stock options was calculated using the Black-Scholes option-pricing model, based on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84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557"/>
              <w:spacing w:after="0" w:line="142"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ind w:right="5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1840" w:type="dxa"/>
            <w:vAlign w:val="bottom"/>
          </w:tcPr>
          <w:p>
            <w:pPr>
              <w:spacing w:after="0"/>
              <w:rPr>
                <w:sz w:val="12"/>
                <w:szCs w:val="12"/>
                <w:color w:val="auto"/>
              </w:rPr>
            </w:pPr>
          </w:p>
        </w:tc>
      </w:tr>
      <w:tr>
        <w:trPr>
          <w:trHeight w:val="210"/>
        </w:trPr>
        <w:tc>
          <w:tcPr>
            <w:tcW w:w="13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56.36%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68.82%</w:t>
            </w:r>
          </w:p>
        </w:tc>
        <w:tc>
          <w:tcPr>
            <w:tcW w:w="100" w:type="dxa"/>
            <w:vAlign w:val="bottom"/>
            <w:shd w:val="clear" w:color="auto" w:fill="CCEEFF"/>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160" w:type="dxa"/>
            <w:vAlign w:val="bottom"/>
          </w:tcPr>
          <w:p>
            <w:pPr>
              <w:spacing w:after="0"/>
              <w:rPr>
                <w:sz w:val="18"/>
                <w:szCs w:val="18"/>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6.08 – 6.23</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6.08 – 6.08</w:t>
            </w:r>
          </w:p>
        </w:tc>
        <w:tc>
          <w:tcPr>
            <w:tcW w:w="184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1.79%</w:t>
            </w:r>
          </w:p>
        </w:tc>
        <w:tc>
          <w:tcPr>
            <w:tcW w:w="1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gridSpan w:val="2"/>
          </w:tcPr>
          <w:p>
            <w:pPr>
              <w:jc w:val="center"/>
              <w:ind w:right="88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0"/>
                <w:szCs w:val="20"/>
                <w:color w:val="auto"/>
              </w:rPr>
            </w:pPr>
          </w:p>
        </w:tc>
        <w:tc>
          <w:tcPr>
            <w:tcW w:w="106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w:t>
            </w:r>
          </w:p>
        </w:tc>
        <w:tc>
          <w:tcPr>
            <w:tcW w:w="184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36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estimated grant date fair value of the ESPP shares was calculated using the Black-Scholes option-pricing model, based on the following assumptions: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7200" w:type="dxa"/>
            <w:vAlign w:val="bottom"/>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2016</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67.71 – 75.72%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0.49 – 1.00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0.47 – 0.47%</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to non-employees during the three months ended March 31, 2016 and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Genzyme Co-Promotion Agreement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will receive a percentage of U.S. cash receipts that the Company has received related to Afirma as co-promotion fees. The percentage was 50% in 2012, 40% from January 2013 through February 2014, and 32% beginning in February 2014.</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November 2014, the Company signed an Amended and Restated U.S. Co-Promotion Agreement (“Amended Agreement”) with Genzyme. Under the Amended Agreement, the co-promotion fees Genzyme will receive as a percentage of U.S. cash receipts were reduced from 32% to 15% beginning January 1, 2015. Through August 11, 2014, the Company amortized the $10.0 million upfront co-promotion fee straight-line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could terminate the agreement without penalty. The Company accounted for the change in accounting estimate prospectively. Either party may terminate the agreement with six months prior notice, however, under the Amended Agreement, neither party can terminate the agreement for convenience prior to June 30, 2016. The agreement with Genzyme expires in 2027. On March 9, 2016, the Company gave Genzyme notice of termination of the Amended Agreement effective September 9, 2016. The balance of the unamortized up-front co-promotion fee was $518,000 at March 31, 2016 and the amortization of the upfront co-promotion fee has been further extended to September 2016.</w:t>
      </w:r>
    </w:p>
    <w:p>
      <w:pPr>
        <w:spacing w:after="0" w:line="178"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In February 2015, the Company entered into an Ex-U.S. Co-promotion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pays Genzyme 25% of net revenue from the sale of the Afirma GEC test in Brazil and Singapore over a five-year period commencing January 1, 2015. Beginning in the fourth year of the agreement, if the Company terminates the agreement for convenience, the Company may be required to pay a termination fee contingent on the number of GEC billable results generated.</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incurred $2.1 million and $1.7 million in co-promotion expense, excluding the amortization of the up-front co-promotion fee, for the three months ended March 31, 2016 and 2015, respectively, and is included in selling and marketing expenses in the condensed statements of operations and comprehensive loss. The Company’s outstanding obligations to Genzyme totaled $2.1 million as of March 31, 2016 and December 31, 2015, and are included in accrued liabilities on the Company’s condensed balance sheets.</w:t>
      </w:r>
    </w:p>
    <w:p>
      <w:pPr>
        <w:spacing w:after="0" w:line="18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Company amortized $431,000 and $474,000 of the $10.0 million up-front co-promotion fee the three months ended March 31, 2016 and 2015, respectively, which is reflected as a reduction to selling and marketing expenses in the condensed statements of operations and comprehensive loss.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18" w:right="199" w:bottom="0" w:gutter="0" w:footer="0" w:header="0"/>
          <w:type w:val="continuous"/>
        </w:sectPr>
      </w:pPr>
    </w:p>
    <w:bookmarkStart w:id="10" w:name="page11"/>
    <w:bookmarkEnd w:id="10"/>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Thyroid Cytopathology Partners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use a portion of the Company’s facility in Austin, Texas. The Company does not have an ownership interest in or provide any form of financial or other support to TCP.</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statements of operations and comprehensive loss. The Company incurred $1.3 million and $1.1 million for the three months ended March 31, 2016 and 2015, respectively, in cytopathology testing and evaluation services expenses with TCP. The Company’s outstanding obligations to TCP for cytopathology testing services were $889,000 and $820,000 as of March 31, 2016 and December 31, 2015, respectively, and are included in accounts payable on the Company’s condensed balance sheets.</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TCP reimburses the Company for a proportionate share of the Company’s rent and related operating expenses for the leased facility. TCP’s portion of rent and related operating expense for the subleased space at the Austin, Texas facility was $23,000 and $23,000 for the three months ended March 31, 2016 and 2015 and is included in other income, net in the Company’s condensed statements of operations and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and three months ended March 31, 2016 and 2015, respectively. The Company continues to maintain a full valuation allowance against its net deferred tax assets.</w:t>
      </w:r>
    </w:p>
    <w:p>
      <w:pPr>
        <w:spacing w:after="0" w:line="1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As of March 31, 2016, the Company had unrecognized tax benefits of $1.9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March 31, 2016 will significantly increase or decrease within the next 12 months. There was no interest expense or penalties related to unrecognized tax benefits recorded through March 31, 2016.</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2015.</w:t>
      </w:r>
    </w:p>
    <w:p>
      <w:pPr>
        <w:spacing w:after="0" w:line="18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the potential benefits of our tests and any future tests we may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develop to patients, physicians and payers; the factors we believe drive demand for and reimbursement of our tests; our ability to sustain or increase demand for our tests; our intent to expand into other clinical areas; our ability to develop new tests, including tests for interstitial lung disease, and the timeframes for development or commercialization; our ability to get our data and clinical studies accepted in peer-reviewed publications; our dependence on and the terms of our agreements with Genzyme and Thyroid Cytopathology Partners, and on other strategic relationships, and the success of those relationships; our beliefs regarding our laboratory capacity; the applicability of clinical results to actual outcomes;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7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Percepta and any other tests we may develop;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w:t>
      </w:r>
    </w:p>
    <w:p>
      <w:pPr>
        <w:sectPr>
          <w:pgSz w:w="11900" w:h="16867" w:orient="portrait"/>
          <w:cols w:equalWidth="0" w:num="1">
            <w:col w:w="11420"/>
          </w:cols>
          <w:pgMar w:left="240" w:top="337" w:right="239" w:bottom="0" w:gutter="0" w:footer="0" w:header="0"/>
        </w:sectPr>
      </w:pPr>
    </w:p>
    <w:bookmarkStart w:id="11" w:name="page12"/>
    <w:bookmarkEnd w:id="11"/>
    <w:p>
      <w:pPr>
        <w:ind w:right="40"/>
        <w:spacing w:after="0" w:line="272" w:lineRule="auto"/>
        <w:rPr>
          <w:sz w:val="20"/>
          <w:szCs w:val="20"/>
          <w:color w:val="auto"/>
        </w:rPr>
      </w:pPr>
      <w:r>
        <w:rPr>
          <w:rFonts w:ascii="Arial" w:cs="Arial" w:eastAsia="Arial" w:hAnsi="Arial"/>
          <w:sz w:val="17"/>
          <w:szCs w:val="17"/>
          <w:i w:val="1"/>
          <w:iCs w:val="1"/>
          <w:color w:val="auto"/>
        </w:rPr>
        <w:t>our dependence on strategic relationships, collaborations and co-promotion arrangements; our ability to successfully transition away from our co-promotion agreement;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and products;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We also refer to trademarks of other corporations or organizations in this report.</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We are a molecular diagnostics company that focuses on genomic solutions that resolve diagnostic ambiguity, thus enabling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Afirma Gene Expression Classifier, or GEC, which is becoming a new standard of care in thyroid nodule assessment. The Afirma GEC helps physicians reduce the number of unnecessary surgeries by approximately 50% by employing a proprietary 142-gene signature to preoperatively identify benign thyroid nodules among those deemed indeterminate by cytopathology alone. An additional 25 genes are used to differentiate uncommon neoplasm subtypes. We have demonstrated the clinical utility and cost effectiveness of the Afirma GEC in multiple studies published in peer-reviewed journals and established the test’s clinical validity in a study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in 2012. The comprehensive Afirma offering also includes cytopathology testing and the Afirma Malignancy Classifiers, launched in May 2014. Since we commercially launched Afirma in January 2011 through March 31, 2016, we have received over 240,000 fine needle aspiration, or FNA, samples for evaluation using Afirma and performed over 55,000 GECs to resolve indeterminate cytopathology results.</w:t>
      </w:r>
    </w:p>
    <w:p>
      <w:pPr>
        <w:spacing w:after="0" w:line="18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April 2015, we accelerated our entry into pulmonology, our second clinical area, with the launch of the Percepta Bronchial Genomic Classifier, which we obtained through our acquisition of Allegro Diagnostics Corp., or Allegro, in September 2014. The Percepta test is designed to improve the preoperative diagnosis of lung cancer, thus helping to reduce unnecessary invasive, risky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costly procedures in patients with suspicious lung nodules and lesions that were initially found on CT scans. Clinical validation data from two multicenter, prospective studies—AEGIS I and II—were published in July 2015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Our initial focus is on building our library of clinical evidence, including clinical utility, for the Percepta classifier, while we work to secure reimbursement coverage for the test from Medicare and private payers. As of March 2016, we have expanded to 40 the number of thought-leading academic and other institutions around the country that are now offering Percepta to their patients during this initial stage of commercialization.</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second pulmonology product, which we plan to introduce in the fourth quarter of 2016, is designed to preoperatively assess the likelihood of idiopathic pulmonary fibrosis, or IPF, among patients presenting with a suspected interstitial lung disease, or ILD.</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have an Amended and Restated U.S. Co-Promotion Agreement, or Amended Agreement, with Genzyme to market the Afirma test in the United States. On March 9, 2016, we formalized the decision to conclude the Amended Agreement with Genzyme effective September 9, 2016. In February 2015, we entered into an Ex-U.S. Co-Promotion Agreement, or Ex-U.S.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increased the list price billed for the GEC from $4,875 to $6,400 per test in July 2015, while the list price billed for routine cytopathology remained at $490 per test. We obtained Medicare coverage for the GEC effective in January 2012 and contracted reimbursement at an agreed upon rate of $3,200. We have entered into contracts establishing in-network allowable rates for both our GEC and cytopathology tests with payers including United Healthcare, Aetna and Cigna, as well as several Blue Cross Blue Shield plans, among others. We have also received positive coverage determinations from numerous other commercial payers and, as of March 2016, the GEC is covered by payers representing 180 million lives. We now have 130 million lives under contract. Payers that have agreed to pay for Afirma under contract are also counted as covered lives. Contracted and reimbursement rates vary by payer.</w:t>
      </w:r>
    </w:p>
    <w:p>
      <w:pPr>
        <w:spacing w:after="0" w:line="16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March 1, 2015, a separate CPT code, or Current Procedural Terminology code, for the Afirma GEC was issued, which we believe will continue to facilitate our progress with payer coverage and contracts, and reimbursement. The new code became effective January 1, 2016. In November 2015, the Centers for Medicare &amp; Medicaid Services, or CMS, issued a final determination for the 2016 Clinical Lab Fee Schedule, or CLFS, to establish a national limitation amount for this new CPT code under the gapfill process through the regional MACs during calendar year 2016.</w:t>
      </w:r>
    </w:p>
    <w:p>
      <w:pPr>
        <w:spacing w:after="0" w:line="154"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We recognized revenue of $13.6 million and $11.2 million for the three months ended March 31, 2016 and 2015, respectively. Revenue increased by 21% for the three months ended March 31, 2016 compared to the same period in 2015. We incurred a net loss of $10.1 million and $7.6 million for the three months ended March 31, 2016 and 2015, respectively. As of March 31, 2016, we had an accumulated deficit of $158.8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ectPr>
          <w:pgSz w:w="11900" w:h="16838" w:orient="portrait"/>
          <w:cols w:equalWidth="0" w:num="1">
            <w:col w:w="11420"/>
          </w:cols>
          <w:pgMar w:left="240" w:top="125" w:right="239" w:bottom="0" w:gutter="0" w:footer="0" w:header="0"/>
        </w:sectPr>
      </w:pPr>
    </w:p>
    <w:bookmarkStart w:id="12" w:name="page13"/>
    <w:bookmarkEnd w:id="12"/>
    <w:p>
      <w:pPr>
        <w:ind w:firstLine="648"/>
        <w:spacing w:after="0" w:line="268" w:lineRule="auto"/>
        <w:rPr>
          <w:sz w:val="20"/>
          <w:szCs w:val="20"/>
          <w:color w:val="auto"/>
        </w:rPr>
      </w:pPr>
      <w:r>
        <w:rPr>
          <w:rFonts w:ascii="Arial" w:cs="Arial" w:eastAsia="Arial" w:hAnsi="Arial"/>
          <w:sz w:val="17"/>
          <w:szCs w:val="17"/>
          <w:color w:val="auto"/>
        </w:rPr>
        <w:t>The growth in our business is tied to the number of FNAs we receive and the number of GECs performed. Approximately 87% of FNAs we receive are for the Afirma solution, which consists of services related to rendering a cytopathology diagnosis, and if the cytopathology result is indeterminate, the GEC is performed. The remaining approximate 13% of FNAs are received from customers performing cytopathology and when the cytopathology result is indeterminate, the FNA is sent to us for the GEC only. The rate at which adoption occurs in these two settings will cause these two percentages to fluctuate over time. Less than 1%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To date, only a small number of payers have reimbursed us for Afirma at full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internal sales force in high-volume geographies domestically over the last several years, along with increasing our marketing efforts. We have also hired institutional channel managers to focus on the institutional segment, which accounts generally send us only GECs.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average reimbursement per GEC was approximately $2,100 for the quarter ended March 31, 2016 as compared with approximately $2,300 for the same period in 2015. The average GEC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calculate the average GEC reimbursement from all payers, whether they are on a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 significant portion of our revenue is recognized upon the earlier of receipt of third-party notification of payment or when cash is received. For Medicare and certain other payers where we have an agreed upon reimbursement rate or we are able to make a reasonable estimate of reimbursement at the time delivery is complete, we recognize the related revenue on an accrual basis. In the first period in which revenue is accrued for a particular payer, there generally is a one-time increase in revenue. Until we have contracts with or can estimate the amount that will ultimately be received from a larger number of payers, we will recognize a large portion of our revenue upon the earlier of notification of payment or when cash is received. Additionally, as we commercialize new products, we will need to be able to make an estimate of the amount that will ultimately be received from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March 31, 2016, cumulative amounts billed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approximately $149.8 million.</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As of December 31, 2015, cumulative amounts billed at list price for tests processed which were not recognized as revenue upon delivery of a patient report because our accrual revenue recognition criteria were not met and for which we have not received notification of payment, collected cash or written off as uncollectible, totaled $134.3 million. Of this amount, we recognized revenue of approximately $3.6 million in the quarter ended March 31, 2016, when cash was received.</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5" w:right="259" w:bottom="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$10.0 million up-front co-promotion fee we received from Genzyme under the Co-Promotion Agreement dated as of January 18, 2012 is being amortized over the estimated useful life based on the provisions of the agreement as a reduction to selling and marketing expenses. We amortized $431,000 and $474,000 million of the $10.0 million for the three months ended March 31, 2016 and 2015, respectively. The agreement requires that we pay a certain percentage of our cash receipts from the sale of the Afirma solution to Genzyme, which percentage decreased over time. The percentage was 40% from January 2013 through February 2014, 32% from February 2014 through December 2014, and decreased to 15% in January 2015. Our co-promotion fees, excluding the amortization of the up-front co-promotion fee, were $2.1 million and $1.7 million for the three months ended March 31, 2016 and 2015, respectively, and are included in selling and marketing expenses in our statements of operations and comprehensive loss.</w:t>
      </w:r>
    </w:p>
    <w:p>
      <w:pPr>
        <w:spacing w:after="0" w:line="16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November 2014, we signed the Amended Agreement with Genzyme. Under the Amended Agreement, the co-promotion fees Genzyme will receive as a percentage of U.S. cash receipts from the sale of the Afirma solution were reduced from 32% to 15% beginning January 1, 2015. Either party may terminate the agreement for convenience with six months prior notice, however, neither party can terminate the agreement for convenience prior to June 30, 2016. On March 9, 2016, we formalized the decision to conclude the Amended Agreement with Genzyme effective September 9, 2016. The amortization of the upfront co-promotion fee has been further extended to September 2016 and the balance of the unamortized up-front co-promotion fee was $518,000 at March 31, 2016.</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Under the Ex-U.S. Agreement, or Ex-U.S. Agreement, we will pay Genzyme 25% of net revenue from the sale of the Afirma GEC test in Brazil and Singapore over a five-year period commencing January 1, 2015. Beginning in the fourth year of the agreement, which was effective in February 2015, if we terminate the agreement for convenience, we may be required to pay a termination fee contingent on the number of GEC billable results generated.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For example, in September 2014 we acquired Allegro and with it, the Percepta Bronchial Genomic Classifier, a molecular diagnostic lung cancer test designed to help physicians determine which patients with lung nodules who have had an inconclusive bronchoscopy result are at low risk for cancer and can thus be safely monitored with CT scans, rather than undergoing invasive procedures. We launched the Percepta test in April 2015. Additionally, we are pursuing a solution for interstitial lung disease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Cash Collections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business is subject to fluctuations in the number of FNA samples received for both cytopathology and GEC testing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beginning of each year which means that patients early in the year are responsible for a greater portion of the cost of our tests, and we have lower cash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Through March 31, 2016, all of our revenue have been derived from the sale of Afirma. To date, Afirma has been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ectPr>
          <w:pgSz w:w="11900" w:h="16838" w:orient="portrait"/>
          <w:cols w:equalWidth="0" w:num="1">
            <w:col w:w="11400"/>
          </w:cols>
          <w:pgMar w:left="240" w:top="517" w:right="259" w:bottom="0" w:gutter="0" w:footer="0" w:header="0"/>
        </w:sectPr>
      </w:pPr>
    </w:p>
    <w:bookmarkStart w:id="14" w:name="page15"/>
    <w:bookmarkEnd w:id="14"/>
    <w:tbl>
      <w:tblPr>
        <w:tblLayout w:type="fixed"/>
        <w:tblInd w:w="13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1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United Healthcare</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Cigna</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total revenue.</w:t>
      </w:r>
    </w:p>
    <w:p>
      <w:pPr>
        <w:spacing w:after="0" w:line="17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For tests performed where we have an agreed upon reimbursement rate or we can estimate the amount we will ultimately receive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ultimately receive. We determine the amount we expect to ultimately receive based on a per payer, per contract or agreement basis. The expected amount is typically lower than, if applicable, the agreed upon reimbursement amount due to several factors, such as the amount of patient co-payments, the existence of secondary payers and claim denials. In other situations, where we cannot estimate the amount that will be ultimately received, we recognize revenue upon the earlier of receipt of third-party payer notification of payment or when cash is received. Incremental accrued revenue as a result of additional payers meeting our revenue recognition criteria for the quarters ended March 31, 2016 and 2015 was approximately $146,000 and $325,000, respectively. The quarter ended March 31, 2015 also included a catch-up payment from a payer of $643,000. Upon ultimate collection, the amount received from Medicare and commercial payers where reimbursement was estimated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judgments underlying estimated reimbursement change, our financial results could be negatively impacted in future quarters.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and from the higher costs of our new facility.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future periods as we continue to invest in research and development activities related to developing additional products and evaluating various platforms. We expect that in 2016, the increase in research and development expenses will continue for the development and launch of our new ILD product and for the continued development and support of the Afirma and Percepta tests. Specifically, we plan to: increase the body of clinical evidence to support Afirma; incur research and development expenses associated with clinical utility studies to support the commercialization of Percepta; and incur expenses associated with development, analytical verification and clinical validation studies in our ILD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In November 2014, we amended the co-promotion agreement with Genzyme and our personnel and marketing costs increased as we took on more sales and marketing responsibilities related to Afirma, but these increases are offset by the lower rate we are required to pay Genzyme under the Amended Agreement beginning in January 2015. On March 9, 2016, we formalized the decision to conclude the Amended Agreement with Genzyme effective September 9, 2016. Consequently, in 2016, we have further expanded our internal sales force and marketing spending as we transition out of the relationship. We expect that these costs will be offset by the elimination of the co-promotion fee, beginning in mid-September 2016. In 2016, we also expect to incur increased selling and marketing expense as a result of investments in our lung product portfolio. We believe total selling and marketing expenses will continue to increase in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General and administrative expenses include those from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We expect our general and administration expenses to remain flat for the remainder of 2016 as consulting expenses are expected to decline, offset by higher personnel-related expenses from the expansion of our billing group to support anticipated increased demand for our tests.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ectPr>
          <w:pgSz w:w="11900" w:h="16838" w:orient="portrait"/>
          <w:cols w:equalWidth="0" w:num="1">
            <w:col w:w="11420"/>
          </w:cols>
          <w:pgMar w:left="240" w:top="333" w:right="239" w:bottom="0" w:gutter="0" w:footer="0" w:header="0"/>
        </w:sectPr>
      </w:pPr>
    </w:p>
    <w:bookmarkStart w:id="15" w:name="page16"/>
    <w:bookmarkEnd w:id="15"/>
    <w:p>
      <w:pPr>
        <w:ind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loan and security agreement and the credit agreement that replaced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Other income (expense), net, for the quarters ended March 31, 2016 and 2015 consists primarily of sublease rental income and interest income received from payers and from our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unaudited interim condensed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We recognize revenue in accordance with the provisions of Accounting Standards Codification (“ASC”) 954-605, </w:t>
      </w:r>
      <w:r>
        <w:rPr>
          <w:rFonts w:ascii="Arial" w:cs="Arial" w:eastAsia="Arial" w:hAnsi="Arial"/>
          <w:sz w:val="17"/>
          <w:szCs w:val="17"/>
          <w:i w:val="1"/>
          <w:iCs w:val="1"/>
          <w:color w:val="auto"/>
        </w:rPr>
        <w:t>Health Care Entities—Revenue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Our revenue is generated from the provision of diagnostic services using the Afirma solution and the service is completed upon the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test results to the prescribing physician, at which time we bill for the service. We recognize revenue related to billings for Medicare and commercial payers on an accrual basis, net of contractual and other adjustments, when amounts that will ultimately be realized can be estimated. Contractual and other adjustments represent the difference between the list price (the billing rate) and the estimated 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with the patient or other clearly enforceable legal right to demand payment from the patient, the related revenue is only recognized upon the earlier of payment notification, if applicable, or cash receipt.</w:t>
      </w:r>
    </w:p>
    <w:p>
      <w:pPr>
        <w:spacing w:after="0" w:line="18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estimates of amounts that will ultimately be realized requires significant judgment by management. Some patients have out-of-pocket costs for amounts not covered by their insurance carrier, and we may bill the patient directly for these amounts in the form of co-payments and co-insurance in accordance with their insurance carrier and health plans. Some payers may not cover our GEC as ordered by the prescribing physician under their reimbursement policies. We pursue reimbursement from such patients on a case-by-case basis. In the absence of contracted reimbursement coverage or the ability to estimate the amount that will ultimately be realized for our services, revenue is recognized upon the earlier of receipt of third-party payer notification of payment or when cash is received.</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use judgment in determining if we are able to make an estimate of what will be ultimately realized. We also use judgment in estimating the amounts we expect to collect by payer. Our judgments will continue to evolve in the future as we continue to gain payment experience with third-party payers and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Finite-lived intangible assets relates to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when events or circumstances indicate a reduction in the fair value below its carrying amount. There was no impairment for the three months ended March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2016 and 2015 (in thousands of dollars, except percentages)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4"/>
                <w:szCs w:val="14"/>
                <w:b w:val="1"/>
                <w:bCs w:val="1"/>
                <w:color w:val="auto"/>
                <w:w w:val="98"/>
              </w:rPr>
              <w:t>Three Months Ended March 31,</w:t>
            </w: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5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gridSpan w:val="2"/>
          </w:tcPr>
          <w:p>
            <w:pPr>
              <w:spacing w:after="0"/>
              <w:rPr>
                <w:sz w:val="12"/>
                <w:szCs w:val="12"/>
                <w:color w:val="auto"/>
              </w:rPr>
            </w:pPr>
          </w:p>
        </w:tc>
        <w:tc>
          <w:tcPr>
            <w:tcW w:w="112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2"/>
                <w:szCs w:val="12"/>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Operating expense: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2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0"/>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28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(278)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r>
      <w:tr>
        <w:trPr>
          <w:trHeight w:val="250"/>
        </w:trPr>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Net loss and comprehensive loss</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w:t>
            </w:r>
          </w:p>
        </w:tc>
        <w:tc>
          <w:tcPr>
            <w:tcW w:w="280" w:type="dxa"/>
            <w:vAlign w:val="bottom"/>
            <w:tcBorders>
              <w:bottom w:val="single" w:sz="8" w:color="CCEEFF"/>
            </w:tcBorders>
            <w:gridSpan w:val="2"/>
          </w:tcPr>
          <w:p>
            <w:pPr>
              <w:spacing w:after="0"/>
              <w:rPr>
                <w:sz w:val="21"/>
                <w:szCs w:val="21"/>
                <w:color w:val="auto"/>
              </w:rPr>
            </w:pPr>
          </w:p>
        </w:tc>
        <w:tc>
          <w:tcPr>
            <w:tcW w:w="14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170"/>
        </w:trPr>
        <w:tc>
          <w:tcPr>
            <w:tcW w:w="25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Other Operating Data:</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GECs processed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1,332</w:t>
            </w: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r>
      <w:tr>
        <w:trPr>
          <w:trHeight w:val="20"/>
        </w:trPr>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Revenue increased $2.3 million, or 21%, for the three months ended March 31, 2016 compared to the same period in 2015. The increase was primarily due to increased adoption of Afirma and the resultant increase in tests delivered, especially the proportion of GEC tests reported, and, to a lesser extent, additional payers meeting our revenue recognition criteria for accrual, partially offset by a decrease in revenue recorded when cash is received. As contracts are executed and as revenue and cash collection becomes more predictable, we expect to to accrue a greater proportion of revenue instead of waiting for cash receipt.</w:t>
      </w:r>
    </w:p>
    <w:p>
      <w:pPr>
        <w:spacing w:after="0" w:line="18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Revenue recognized when cash is received and on an accrual basis for the three months ended March 31, 2016 and 2015 was as follows (in thousands of dollars):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8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8,226</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r>
      <w:tr>
        <w:trPr>
          <w:trHeight w:val="210"/>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2016 and 2015 is as follows (in thousands of dollars, except percentages):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9"/>
              </w:rPr>
              <w:t>Three Months Ended March 31,</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w w:val="99"/>
              </w:rPr>
              <w:t>Reagents, chips, consumables and related</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2,290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Cytopathology fees and related costs</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1,480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Sample collection</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labor</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3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Cost of revenue increased $1.7 million, or 38%, for the three months ended March 31, 2016 compared to the same period in 2015. Given our corporate focus on GEC growth and the adoption of the Afirma test, GEC tests increased by 33% and cytopathology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tests increased by 21%. The increase in reagents, chips, consumables and related costs is associated primarily with increased GEC test volume. The increase in cytopathology fees is related to the volume increase in FNA samples processed. The increase in sample collection costs is primarily related to increased volume of samples. The increase in direct labor is associated with the increase in 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and increased allocation to cost of revenue due to an average headcount increase of 28%.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2016 and 2015 is as follows (in thousands of dollars, except percentages):</w:t>
      </w:r>
    </w:p>
    <w:p>
      <w:pPr>
        <w:spacing w:after="0" w:line="217" w:lineRule="exact"/>
        <w:rPr>
          <w:sz w:val="20"/>
          <w:szCs w:val="20"/>
          <w:color w:val="auto"/>
        </w:rPr>
      </w:pPr>
    </w:p>
    <w:p>
      <w:pPr>
        <w:jc w:val="center"/>
        <w:ind w:left="30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6350</wp:posOffset>
            </wp:positionV>
            <wp:extent cx="3422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ind w:left="4980"/>
        <w:spacing w:after="0"/>
        <w:tabs>
          <w:tab w:leader="none" w:pos="6380" w:val="left"/>
          <w:tab w:leader="none" w:pos="7700" w:val="left"/>
          <w:tab w:leader="none" w:pos="92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Change</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57975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11400"/>
          </w:cols>
          <w:pgMar w:left="240" w:top="368" w:right="259" w:bottom="0" w:gutter="0" w:footer="0" w:header="0"/>
        </w:sectPr>
      </w:pPr>
    </w:p>
    <w:p>
      <w:pPr>
        <w:ind w:left="980"/>
        <w:spacing w:after="0"/>
        <w:rPr>
          <w:sz w:val="20"/>
          <w:szCs w:val="20"/>
          <w:color w:val="auto"/>
        </w:rPr>
      </w:pPr>
      <w:r>
        <w:rPr>
          <w:rFonts w:ascii="Arial" w:cs="Arial" w:eastAsia="Arial" w:hAnsi="Arial"/>
          <w:sz w:val="15"/>
          <w:szCs w:val="15"/>
          <w:color w:val="auto"/>
        </w:rPr>
        <w:t>Research and development expense:</w:t>
      </w:r>
    </w:p>
    <w:p>
      <w:pPr>
        <w:sectPr>
          <w:pgSz w:w="11900" w:h="16838" w:orient="portrait"/>
          <w:cols w:equalWidth="0" w:num="1">
            <w:col w:w="11400"/>
          </w:cols>
          <w:pgMar w:left="240" w:top="368" w:right="259" w:bottom="0" w:gutter="0" w:footer="0" w:header="0"/>
          <w:type w:val="continuous"/>
        </w:sectPr>
      </w:pPr>
    </w:p>
    <w:bookmarkStart w:id="17" w:name="page18"/>
    <w:bookmarkEnd w:id="17"/>
    <w:tbl>
      <w:tblPr>
        <w:tblLayout w:type="fixed"/>
        <w:tblInd w:w="980" w:type="dxa"/>
        <w:tblCellMar>
          <w:top w:w="0" w:type="dxa"/>
          <w:left w:w="0" w:type="dxa"/>
          <w:bottom w:w="0" w:type="dxa"/>
          <w:right w:w="0" w:type="dxa"/>
        </w:tblCellMar>
      </w:tblP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1,668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1,425</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ind w:left="380"/>
              <w:spacing w:after="0"/>
              <w:rPr>
                <w:sz w:val="20"/>
                <w:szCs w:val="20"/>
                <w:color w:val="auto"/>
              </w:rPr>
            </w:pPr>
            <w:r>
              <w:rPr>
                <w:rFonts w:ascii="Arial" w:cs="Arial" w:eastAsia="Arial" w:hAnsi="Arial"/>
                <w:sz w:val="18"/>
                <w:szCs w:val="18"/>
                <w:color w:val="auto"/>
                <w:w w:val="86"/>
              </w:rPr>
              <w:t>243</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47</w:t>
            </w:r>
          </w:p>
        </w:tc>
        <w:tc>
          <w:tcPr>
            <w:tcW w:w="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58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4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813</w:t>
            </w:r>
          </w:p>
        </w:tc>
        <w:tc>
          <w:tcPr>
            <w:tcW w:w="4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615</w:t>
            </w:r>
          </w:p>
        </w:tc>
        <w:tc>
          <w:tcPr>
            <w:tcW w:w="480" w:type="dxa"/>
            <w:vAlign w:val="bottom"/>
          </w:tcPr>
          <w:p>
            <w:pPr>
              <w:spacing w:after="0"/>
              <w:rPr>
                <w:sz w:val="18"/>
                <w:szCs w:val="18"/>
                <w:color w:val="auto"/>
              </w:rPr>
            </w:pPr>
          </w:p>
        </w:tc>
        <w:tc>
          <w:tcPr>
            <w:tcW w:w="660" w:type="dxa"/>
            <w:vAlign w:val="bottom"/>
            <w:gridSpan w:val="2"/>
          </w:tcPr>
          <w:p>
            <w:pPr>
              <w:ind w:left="380"/>
              <w:spacing w:after="0"/>
              <w:rPr>
                <w:sz w:val="20"/>
                <w:szCs w:val="20"/>
                <w:color w:val="auto"/>
              </w:rPr>
            </w:pPr>
            <w:r>
              <w:rPr>
                <w:rFonts w:ascii="Arial" w:cs="Arial" w:eastAsia="Arial" w:hAnsi="Arial"/>
                <w:sz w:val="18"/>
                <w:szCs w:val="18"/>
                <w:color w:val="auto"/>
                <w:w w:val="86"/>
              </w:rPr>
              <w:t>198</w:t>
            </w: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6"/>
              </w:rPr>
              <w:t>186</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3580" w:type="dxa"/>
            <w:vAlign w:val="bottom"/>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674</w:t>
            </w:r>
          </w:p>
        </w:tc>
        <w:tc>
          <w:tcPr>
            <w:tcW w:w="20" w:type="dxa"/>
            <w:vAlign w:val="bottom"/>
            <w:tcBorders>
              <w:bottom w:val="single" w:sz="8" w:color="auto"/>
            </w:tcBorders>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3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Research and development expense increased $0.7 million, or 24%, for the three months ended March 31, 2016 compared to the same period in 2015. The increase in personnel-related expense was primarily due to increased accrued bonuses as a result of increased bonus targets and performance. The increase in stock-based compensation expense reflects option grants to new and existing employees. The increase in direct R&amp;D expense was primarily due to materials purchased for research and development experiments. Other expense increased primarily as a result of increased information technology and facilities expenses that were related to research and development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2016 and 2015 is as follows (in thousands of dollars, except percentages):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6"/>
              </w:rPr>
              <w:t>Three Months Ended March 31,</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Selling and marketing expense: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w w:val="94"/>
              </w:rPr>
              <w:t>Genzyme co-promotion expense, net</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1,210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416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Personnel-related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w w:val="95"/>
              </w:rPr>
              <w:t>Stock-based compensation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r>
      <w:tr>
        <w:trPr>
          <w:trHeight w:val="210"/>
        </w:trPr>
        <w:tc>
          <w:tcPr>
            <w:tcW w:w="2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Selling and marketing expense increased $1.4 million, or 26%, for the three months ended March 31, 2016 compared to the same period in 2015. The increase in Genzyme co-promotion expense, net, reflects an increase in cash collections for Afirma. The increase in personnel-related expense was primarily due to a 31% increase in average headcount of our sales and marketing team, as we prepare for the termination of the Amended Agreement, as well as increased commissions and accrued bonus as a result of increased performance and bonus targets. The increase in stock-based compensation expense reflects option grants to new and existing employees. The decrease in direct marketing expense was due primarily to a reduction of expenses associated with Afirma, including trade shows, market research, advertising, public relations, and speaker programs. The increase in other expense was primarily due to an increase in information technology and facilities expenses that were related to sales and marketing activities.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2016 and 2015 is as follows (in thousands of dollars, except percentages):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9"/>
              </w:rPr>
              <w:t>Three Months Ended March 31,</w:t>
            </w:r>
          </w:p>
        </w:tc>
        <w:tc>
          <w:tcPr>
            <w:tcW w:w="1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3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12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General and administrative expense:</w:t>
            </w: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Personnel-related expense</w:t>
            </w:r>
          </w:p>
        </w:tc>
        <w:tc>
          <w:tcPr>
            <w:tcW w:w="110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3,026</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2,550</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476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Stock-based compensation expense</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Professional fees expense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(418)</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other facilities expense</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0"/>
        </w:trPr>
        <w:tc>
          <w:tcPr>
            <w:tcW w:w="3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6,228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0"/>
        </w:trPr>
        <w:tc>
          <w:tcPr>
            <w:tcW w:w="3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 and administrative expense increased $0.4 million, or 7%, for the three months ended March 31, 2016 compared to the same period in 2015. The increase in personnel-related expense was primarily due to increased accrued bonuses as a result of increased bonus targets and performance, as well as a 9% increase in average headcount for the three months ended March 31, 2016 as compared to the same period in 2015. The increase in stock-based compensation expense was primarily due to option grants to new and existing employees. The decrease in professional fees was primarily due to lower accounting, audit and legal expenses. The increase in rent and other facilities expense was largely due to incurring expense for our new South San Francisco facility, as well as our previous space, for which the lease ends in March 2016. While we do not begin to make rent payments for our new South San Francisco facility until April 2016, in accordance with GAAP, the rent is expensed on a straight-line basis over the lease period. The decrease in other expense was due primarily to consulting expense of approximately $0.5 million for the three months ended March 31, 2015 that did not recur, partially offset by higher general administrative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Interest expense increased $278,000 for the three months ended March 31, 2016 compared to the same period in 2015 due to paying off the loan and security agreement in March 2016, which included expenses for an end-of-term payment, a prepayment penalty and the write-off of debt issuance costs and debt discount.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Other income (expense), net, increased $11,000 for the three months ended March 31, 2016 compared to the same period in 2015 primarily due higher interest income from our money market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0" w:gutter="0" w:footer="0" w:header="0"/>
        </w:sectPr>
      </w:pPr>
    </w:p>
    <w:bookmarkStart w:id="18" w:name="page19"/>
    <w:bookmarkEnd w:id="18"/>
    <w:p>
      <w:pPr>
        <w:ind w:right="200" w:firstLine="648"/>
        <w:spacing w:after="0" w:line="264" w:lineRule="auto"/>
        <w:rPr>
          <w:sz w:val="20"/>
          <w:szCs w:val="20"/>
          <w:color w:val="auto"/>
        </w:rPr>
      </w:pPr>
      <w:r>
        <w:rPr>
          <w:rFonts w:ascii="Arial" w:cs="Arial" w:eastAsia="Arial" w:hAnsi="Arial"/>
          <w:sz w:val="18"/>
          <w:szCs w:val="18"/>
          <w:color w:val="auto"/>
        </w:rPr>
        <w:t>We have incurred net losses since our inception. For the three months ended March 31, 2016 and 2015, we had a net loss of $10.1 million and $7.6 million, respectively, and we expect to incur additional losses in 2016 and in future years. As of March 31, 2016, we had an accumulated deficit of $158.8 million. We may never achieve revenue sufficient to offset our expenses.</w:t>
      </w:r>
    </w:p>
    <w:p>
      <w:pPr>
        <w:spacing w:after="0" w:line="1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believe our existing cash and cash equivalents of $47.5 million as of March 31, 2016 and our revenue during the next 12 months will be sufficient to meet our anticipated cash requirements for at least the next 12 months.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From inception through March 31, 2016, we have received $217.1 million in net proceeds from various sources to finance our operations, including net proceeds of $78.6 million from sales of our preferred stock, net proceeds of $59.2 million from our IPO, net proceeds of $37.3 million from our sale of common stock in a private placement, $10.0 million from the Genzyme co-promotion agreement, net borrowings of $4.9 million under our loan and security agreement which was paid off in March 2016, net borrowings of $24.5 million under our credit agreement and $2.6 million from the exercise of stock options and employee stock purchases.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March 2016, we entered into a credit agreement, or Credit Agreement, with Visium Healthcare Partners, LP, or Visium. Under the Credit Agreement, two term loans are available to us with an aggregate principal amount of up to $40.0 million. We drew down the initial $25.0 million term loan, or Initial Term Loan on March 30, 2016. On or prior to June 30, 2017, we may request the second term loan of up to $15.0 million, or the Second Term Loan. The Initial Term Loan and the Second Term Loan are referred to as Term Loans, which mature on March 31, 2022.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Loans bear interest at a fixed rate of 12.0% per annum, payable quarterly at the end of each March, June,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September and December. No principal payments will be due during an interest-only period, commencing on the funding date for the Initial Term Loan, or Initial Borrowing Date, and continuing through and including March 31, 2020. We are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we may elect to pay interest in cash on the outstanding principal amounts of the Term Loans at a fixed rate of 9.0%, with the remaining 3.0% of the 12.0% interest paid-in-kind by adding such paid-in-kind interest to the outstanding principal amounts of the Term Loans.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93"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Our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The Credit Agreement also includes financial covenants requiring minimum cash and cash equivalents balances and minimum revenues. To the extent we form or acquire certain subsidiaries domiciled in the United States, those subsidiaries are required to be guarantors of our obligations under the Credit Agreement. As of March 31, 2016, we were in compliance with the loan covenants.</w:t>
      </w:r>
    </w:p>
    <w:p>
      <w:pPr>
        <w:spacing w:after="0" w:line="16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April 2015, we completed a private placement of 4,907,975 shares of our common stock to certain accredited investors, the Investors, at a purchase price of $8.15 per share. Gross proceeds to us were $40.0 million, and we received $37.3 million in net proceeds, after deducting placement agent fees and other expenses payable by us of $2.7 million.</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June 2013, we entered into a loan and security agreement with a financial institution, or the Original Loan. The Original Loan provided for term loans of up to $10.0 million in aggregate. We drew down $5.0 million in funds under the agreement in June 2013, and did not draw the remaining $5.0 million on or before the expiration date of March 31, 2014. We were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December 2014, we amended certain terms and conditions of the Original Loan, which we refer to as the Amended Loan. The Amended Loan provided for term loans of up to $15.0 million in aggregate, in three tranches of $5.0 million each. We borrowed $5.0 million under the first tranche in December 2014 and used the funds for repayment of the $5.0 million in principal outstanding under the Original Loan, in a cashless transaction. In addition, we paid the accrued but unpaid interest of $14,000 due on the Original Loan and the related end-of-term payment of $110,000. The Amended Loan waived the prepayment premium of $75,000 under the Original Loan and reduced the end-of-term payment of $225,000 under the Original Loan to $110,000. In November 2015, we further amended the Amended Loan to extend the availability of the second $5.0 million tranche under the Amended Loan through June 30, 2016 from December 31, 2015 originally. We could have borrowed the third $5.0 million tranche any time through June 30, 2016 after achieving the third tranche revenue milestone as defined in the Amended Loan.</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Amended Loan, we were required to repay the outstanding principal in 24 equal installments beginning 24 months after the date of the borrowing and the loan was due in full in December 2018. The first tranche of the Amended Loan bore interest at a rate of 5.00% per annum and the obligation included an end-of-term payment of $237,500, representing 4.75% of the total outstanding principal balance, which accreted over the life of the loan as interest expense. The Amended Loan carried prepayment penalties of 2.00% and 1.00% for prepayment within one and two years, respectively, and no prepayment penalty thereafter. In connection with the Amended Loan, we paid approximately $45,000 in third-party fees. As a result of the debt discount and the end-of-term payment, the effective interest rate for the Amended Loan differed from the contractual rate.</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March 2016, a portion of the net proceeds from the Visium Initial Term Loan was used to pay off the remaining balances of the Amended Loan and the Amended Loan agreement was cancelled.</w:t>
      </w:r>
    </w:p>
    <w:p>
      <w:pPr>
        <w:sectPr>
          <w:pgSz w:w="11900" w:h="16838" w:orient="portrait"/>
          <w:cols w:equalWidth="0" w:num="1">
            <w:col w:w="11420"/>
          </w:cols>
          <w:pgMar w:left="240" w:top="125" w:right="239" w:bottom="0" w:gutter="0" w:footer="0" w:header="0"/>
        </w:sectPr>
      </w:pPr>
    </w:p>
    <w:bookmarkStart w:id="19" w:name="page20"/>
    <w:bookmarkEnd w:id="19"/>
    <w:p>
      <w:pPr>
        <w:ind w:right="540" w:firstLine="648"/>
        <w:spacing w:after="0" w:line="264" w:lineRule="auto"/>
        <w:rPr>
          <w:sz w:val="20"/>
          <w:szCs w:val="20"/>
          <w:color w:val="auto"/>
        </w:rPr>
      </w:pPr>
      <w:r>
        <w:rPr>
          <w:rFonts w:ascii="Arial" w:cs="Arial" w:eastAsia="Arial" w:hAnsi="Arial"/>
          <w:sz w:val="18"/>
          <w:szCs w:val="18"/>
          <w:color w:val="auto"/>
        </w:rPr>
        <w:t>We expect that our near- and longer-term liquidity requirements will continue to consist of selling and marketing expenses, research and development expenses, working capital, and general corporate expenses associated with the growth of our business. However, we may also use cash to acquire or invest in complementary businesses, technologies, services or products that would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three months ended March 31, 2016 and 2015 (in thousands of dollars):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(2,975)</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1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19,945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Cash used in operating activities for the three months ended March 31, 2016 was $8.6 million. The net loss of $10.1 million includes non-cash charges of $0.4 million in amortization of the deferred fee received from Genzyme, offset primarily by $1.5 million of stock-based compensation expense, $0.8 million of depreciation and amortization, which includes $0.3 million of intangible asset amortization, and $0.3 million in interest and prepayment penalty relating to the repayment of our borrowings under our Amended Loan. The increase in net operating assets of $0.7 million was due to a decrease of $1.1 million in accrued liabilities and deferred rent primarily from the payment of annual bonuses, offset by a $0.3 million increase in accounts payable from the timing of payments.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used in operating activities for the three months ended March 31, 2015 was $8.9 million. The net loss of $7.6 million includes non-cash charges of $0.5 million in amortization of the deferred fee received from Genzyme, offset primarily by $1.2 million of stock-based compensation expense and $0.4 million of depreciation and amortization. The increase in net operating assets of $2.4 million was primarily due to a $2.9 million decrease in accounts payable and accrued liabilities resulting from the timing of payments, especially payments to Genzyme, offset by a $0.5 million decrease in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Cash used in investing activities for the three months ended March 31, 2016 was $3.0 million. The investing activities for the three months ended March 31, 2016 consisted mainly of $2.9 million used for the acquisition of property and equipment, primarily for the build out of office space and the new laboratory for our new South San Francisco facility.</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Cash used in investing activities for the three months ended March 31, 2015 was $0.4 million. The investing activities for the three months ended March 31, 2015 consisted primarily of $0.5 million used for the acquisition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provided by financing activities for the three months ended March 31, 2016 was $19.9 million. The financing activities for the three months ended March 31, 2016 consisted of $24.6 million of net proceeds from the draw down of the Initial Term Loan of the Credit Agreement and $0.6 million from the exercise of options to purchase our common stock, partially offset by the payment of $5.0 million for the remaining principal balance and a $0.3 million of end-of-term payment and prepayment penalty related to the Amended Loan.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provided by financing activities for the three months ended March 31, 2015 was $0.1 million from the exercise of options to purchase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certain contractual obligations as of March 31, 2016 (in thousands of dollars):</w:t>
      </w:r>
    </w:p>
    <w:p>
      <w:pPr>
        <w:sectPr>
          <w:pgSz w:w="11900" w:h="16838" w:orient="portrait"/>
          <w:cols w:equalWidth="0" w:num="1">
            <w:col w:w="11400"/>
          </w:cols>
          <w:pgMar w:left="240" w:top="125" w:right="259" w:bottom="0" w:gutter="0" w:footer="0" w:header="0"/>
        </w:sectPr>
      </w:pPr>
    </w:p>
    <w:bookmarkStart w:id="20" w:name="page21"/>
    <w:bookmarkEnd w:id="20"/>
    <w:tbl>
      <w:tblPr>
        <w:tblLayout w:type="fixed"/>
        <w:tblInd w:w="116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Less than</w:t>
            </w:r>
          </w:p>
        </w:tc>
        <w:tc>
          <w:tcPr>
            <w:tcW w:w="220" w:type="dxa"/>
            <w:vAlign w:val="bottom"/>
          </w:tcPr>
          <w:p>
            <w:pPr>
              <w:spacing w:after="0"/>
              <w:rPr>
                <w:sz w:val="10"/>
                <w:szCs w:val="10"/>
                <w:color w:val="auto"/>
              </w:rPr>
            </w:pPr>
          </w:p>
        </w:tc>
        <w:tc>
          <w:tcPr>
            <w:tcW w:w="10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1 to 3</w:t>
            </w:r>
          </w:p>
        </w:tc>
        <w:tc>
          <w:tcPr>
            <w:tcW w:w="220" w:type="dxa"/>
            <w:vAlign w:val="bottom"/>
          </w:tcPr>
          <w:p>
            <w:pPr>
              <w:spacing w:after="0"/>
              <w:rPr>
                <w:sz w:val="10"/>
                <w:szCs w:val="10"/>
                <w:color w:val="auto"/>
              </w:rPr>
            </w:pPr>
          </w:p>
        </w:tc>
        <w:tc>
          <w:tcPr>
            <w:tcW w:w="10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3 to 5</w:t>
            </w:r>
          </w:p>
        </w:tc>
        <w:tc>
          <w:tcPr>
            <w:tcW w:w="140" w:type="dxa"/>
            <w:vAlign w:val="bottom"/>
          </w:tcPr>
          <w:p>
            <w:pPr>
              <w:spacing w:after="0"/>
              <w:rPr>
                <w:sz w:val="10"/>
                <w:szCs w:val="10"/>
                <w:color w:val="auto"/>
              </w:rPr>
            </w:pPr>
          </w:p>
        </w:tc>
        <w:tc>
          <w:tcPr>
            <w:tcW w:w="10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More than</w:t>
            </w:r>
          </w:p>
        </w:tc>
        <w:tc>
          <w:tcPr>
            <w:tcW w:w="220" w:type="dxa"/>
            <w:vAlign w:val="bottom"/>
          </w:tcPr>
          <w:p>
            <w:pPr>
              <w:spacing w:after="0"/>
              <w:rPr>
                <w:sz w:val="10"/>
                <w:szCs w:val="10"/>
                <w:color w:val="auto"/>
              </w:rPr>
            </w:pPr>
          </w:p>
        </w:tc>
        <w:tc>
          <w:tcPr>
            <w:tcW w:w="8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3"/>
              </w:rPr>
              <w:t>11,956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3"/>
              </w:rPr>
              <w:t>21,879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Arial" w:cs="Arial" w:eastAsia="Arial" w:hAnsi="Arial"/>
                <w:sz w:val="18"/>
                <w:szCs w:val="18"/>
                <w:color w:val="auto"/>
              </w:rPr>
              <w:t>Long-term debt obligations</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9,375</w:t>
            </w:r>
          </w:p>
        </w:tc>
        <w:tc>
          <w:tcPr>
            <w:tcW w:w="14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15,625</w:t>
            </w:r>
          </w:p>
        </w:tc>
        <w:tc>
          <w:tcPr>
            <w:tcW w:w="22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w w:val="87"/>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purchase commitments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3"/>
              </w:rPr>
              <w:t>27,581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3"/>
              </w:rPr>
              <w:t>47,692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2015, we signed a non-cancelable lease agreement for approximately 59,000 square feet to serve as our new South San Francisco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lease began in June 2015 and expires in March 2026, and contains extension of lease term and expansion options.</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November 2012, we entered into a non-cancelable lease agreement commencing February 2013 for our laboratory and office space in Austin, Texas. The lease expires in July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requiring an entity to recognize the amount of revenue to which it expects to be entitled for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We have not yet selected a transition method and are currently evaluating the potential effect of the updated standard on our financial statements.</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August 2014, FASB issued Accounting Standards Update No. 2014-15, </w:t>
      </w:r>
      <w:r>
        <w:rPr>
          <w:rFonts w:ascii="Arial" w:cs="Arial" w:eastAsia="Arial" w:hAnsi="Arial"/>
          <w:sz w:val="17"/>
          <w:szCs w:val="17"/>
          <w:i w:val="1"/>
          <w:iCs w:val="1"/>
          <w:color w:val="auto"/>
        </w:rPr>
        <w:t>Presentation of Financial Statements Going Concern—Disclosure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w:t>
      </w:r>
      <w:r>
        <w:rPr>
          <w:rFonts w:ascii="Arial" w:cs="Arial" w:eastAsia="Arial" w:hAnsi="Arial"/>
          <w:sz w:val="17"/>
          <w:szCs w:val="17"/>
          <w:color w:val="auto"/>
        </w:rPr>
        <w:t>. The amendments require management to assess an entity’s ability to continue as a</w:t>
      </w:r>
      <w:r>
        <w:rPr>
          <w:rFonts w:ascii="Arial" w:cs="Arial" w:eastAsia="Arial" w:hAnsi="Arial"/>
          <w:sz w:val="17"/>
          <w:szCs w:val="17"/>
          <w:i w:val="1"/>
          <w:iCs w:val="1"/>
          <w:color w:val="auto"/>
        </w:rPr>
        <w:t xml:space="preserve"> </w:t>
      </w:r>
      <w:r>
        <w:rPr>
          <w:rFonts w:ascii="Arial" w:cs="Arial" w:eastAsia="Arial" w:hAnsi="Arial"/>
          <w:sz w:val="17"/>
          <w:szCs w:val="17"/>
          <w:color w:val="auto"/>
        </w:rPr>
        <w:t>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us beginning with our annual report for fiscal 2016 and interim periods thereafter. We do not anticipate that the adoption of this ASU will have a significant impact on our financial statements.</w:t>
      </w:r>
    </w:p>
    <w:p>
      <w:pPr>
        <w:spacing w:after="0" w:line="178"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to require debt issuance costs to be presented as an offset against debt outstanding. The update does not change current guidance on the recognition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and measurement of debt issuance costs. The ASU is effective for interim and annual periods beginning after December 15, 2015. Adoption of the ASU is retrospective to each prior period presented. We have adopted this ASU and the retrospective adjustment of the prior period presentation was not material.</w:t>
      </w:r>
    </w:p>
    <w:p>
      <w:pPr>
        <w:spacing w:after="0" w:line="1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The ASU requires that deferred tax assets and liabilities be classified as noncurrent in the statement of financial position, thereby simplifying the current guidance that requires an entity to separate deferred assets and liabilities into current and noncurrent amounts. This ASU will be effective for us beginning in the first quarter of fiscal year 2018 though early adoption is permitted. We early-adopted the ASU as of December 31, 2015 and the impact of adoption on our statement of financial position was not material.</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related to the tax effects of share-based awards. This ASU requires that all the tax effects of share-based awards be recorded through the income statement, thereby simplifying the current guidance that requires related tax deductions in excess of compensation cost (“Excess”) be recorded in equity and tax deficiencies, when compensation cost exceed tax deductions, be recorded in equity to the extent of the previously recognized Excess with the remainder to be recorded in income tax expense. The ASU will be effective for interim and annual periods beginning after December 15, 2016. We do not anticipate that the adoption of this ASU will have a significant impact on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$47.5 million as of March 31, 2016 which includes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ectPr>
          <w:pgSz w:w="11900" w:h="16838" w:orient="portrait"/>
          <w:cols w:equalWidth="0" w:num="1">
            <w:col w:w="11420"/>
          </w:cols>
          <w:pgMar w:left="240" w:top="118" w:right="239" w:bottom="9"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March 31, 2016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have incurred net losses since our inception. For the three months ended March 31, 2016, we had a net loss of $10.1 million and we expect to incur additional losses for the remainder of 2016 and in future years. As of March 31, 2016, we had an accumulated deficit of $158.8 million. We may never achieve revenue sufficient to offset our expenses. Over the next couple of years, we expect to continue to devote substantially all of our resources to increase adoption of, and reimbursement for, Afirma, as well as our lung cancer test, Percepta, which we launched in April 2015, and the development of additional tests we plan to commercialize, including our test for Idiopathic Pulmonary Fibrosis, or IPF.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All of our revenues have been derived from the sale of Afirma, which we commercially launched in January 2011. For the foreseeable future, we expect to derive substantially all of our revenue from sales of Afirma and a smaller amount from the sale of Percepta. We launched our first product in pulmonology for lung cancer, Percepta, in April 2015, and our commercialization efforts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or successfully commercialize Percepta and develop and commercialize other solutions, our revenue and our ability to achieve and sustain profitability would be impaired, and the market price of our common stock could decline.</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Revenue for tests performed on patients covered by Medicare, UnitedHealthcare and Cigna was 31%, 13% and 6%, respectively, of our revenue for the three months ended March 31, 2016, compared with 24%, 14% and 15%, respectively, in the three months ended March 31, 2015.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Gene Expression Classifier, or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 In September 2015, the Centers for Medicare &amp; Medicaid Services, or CMS, issued a preliminary determination for the 2016 Clinical Lab Fee Schedule, or CLFS, to establish a national limitation amount for GEC under the “crosswalk” process. If implemented, this would have significantly reduced the Medicare payment rate for GEC in 2016. A final determination was issued in November 2015 that reversed CMS’ earlier decision, indicating that the rate would be set using the gapfill process. We do not yet know whether the gapfill process for GEC will impact the 2016 Medicare payment rate. Medicare may change the rates at which they reimburse us for our tests, and these changes may have an adverse effect on our business, financial condition, results of operations and the price of our stock.</w:t>
      </w:r>
    </w:p>
    <w:p>
      <w:pPr>
        <w:spacing w:after="0" w:line="17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Although we have entered into contracts with certain third-party payers which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ectPr>
          <w:pgSz w:w="11900" w:h="16838" w:orient="portrait"/>
          <w:cols w:equalWidth="0" w:num="1">
            <w:col w:w="11420"/>
          </w:cols>
          <w:pgMar w:left="240" w:top="121" w:right="239" w:bottom="0" w:gutter="0" w:footer="0" w:header="0"/>
        </w:sectPr>
      </w:pPr>
    </w:p>
    <w:bookmarkStart w:id="22" w:name="page23"/>
    <w:bookmarkEnd w:id="22"/>
    <w:p>
      <w:pPr>
        <w:ind w:right="10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1"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do not have a contracted rate of reimbursement with many payers for Afirma, and we do not have any contracted reimbursement with respect to Percepta.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7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Afirma GEC, Afirma Malignancy Classifiers, launched in May 2014, Percepta, launched in 2015,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Several existing guidelines and historical practices in the United States regarding indeterminate thyroid nodule fine needle aspiration, or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often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recognize a large portion of our revenue upon the earlier of receipt of third-party payer notification of payment or when cash is received. We have little visibility as to when we will receive payment for our diagnostic tests, and we must appeal negative payment decisions, which delays collections. We may receive a large number of past payments from a payer all at once which might cause a one-time increase in revenues. For tests performed where we have an agreed upon reimbursement rate or we are able to estimate the amount that will ultimately be realized at the time delivery of a patient report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realize. We determine the amount we expect to realize based on a per payer, per contract or agreement basis. In the first period in which revenue is accrued for a particular payer, there generally is a one-time increase in revenue. In situations where we cannot estimate the amount that will ultimately be collected, we recognize revenue upon the earlier of receipt of third-party notification of payment or when cash is received. Upon ultimate collection, the amount received from Medicare and other payers where reimbursement was estimated is compared to previous estimates and the contractual allowance is adjusted accordingly. These factors will likely result in fluctuations in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32" w:gutter="0" w:footer="0" w:header="0"/>
        </w:sectPr>
      </w:pPr>
    </w:p>
    <w:bookmarkStart w:id="23" w:name="page24"/>
    <w:bookmarkEnd w:id="23"/>
    <w:p>
      <w:pPr>
        <w:spacing w:after="0" w:line="3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7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was effective through December 31, 2015 and automatically renews every year thereafter unless either party provides notice of intent not to renew at least 12 months prior to the end of the then-current term.</w:t>
      </w:r>
    </w:p>
    <w:p>
      <w:pPr>
        <w:spacing w:after="0" w:line="188"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As demand for Afirma and Percepta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collectively the ACA, enacted in March 2010, makes changes that are expected to significantly affect the pharmaceutical and medical device industries and clinical laboratories. Effective January 1, 2013, the ACA includes a 2.3% excise tax on the sale of certain medical devices sold outside of the retail setting. Although a moratorium has been imposed on this excise tax for 2016 and 2017, the excise tax is scheduled to be restored in 2018. Although the FDA has issued draft guidance that, if finalized, would regulate certain laboratory developed tests, or LDTs, as medical devices, our tests are not currently listed as medical devices with the FDA. We cannot assure you that the tax will not be extended to services such as ours in the future if our tests were to be regulated as devices.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ACA to determine the trends and changes that may be necessitated by the legislation, any of which may potentially affect our business.</w:t>
      </w:r>
    </w:p>
    <w:p>
      <w:pPr>
        <w:spacing w:after="0" w:line="19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to the 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laboratory payment rates on the Medicare CLFS by 2% in 2013. In addition, under the Budget Control Act of 2011, which is effective for dates of service on or after April 1, 2013, Medicare payments, including payments to clinical laboratories, are subject to a reduction of 2% due to</w:t>
      </w:r>
    </w:p>
    <w:p>
      <w:pPr>
        <w:sectPr>
          <w:pgSz w:w="11900" w:h="16877" w:orient="portrait"/>
          <w:cols w:equalWidth="0" w:num="1">
            <w:col w:w="11400"/>
          </w:cols>
          <w:pgMar w:left="240" w:top="125" w:right="259" w:bottom="0" w:gutter="0" w:footer="0" w:header="0"/>
        </w:sectPr>
      </w:pPr>
    </w:p>
    <w:bookmarkStart w:id="24" w:name="page25"/>
    <w:bookmarkEnd w:id="24"/>
    <w:p>
      <w:pPr>
        <w:spacing w:after="0" w:line="3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4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packaging provision.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March 1, 2015, a separate CPT code, or Current Procedural Terminology code, for the Afirma GEC was issued. The new code became effective January 1, 2016. In November 2015, the CMS issued a final determination for the 2016 CLFS to establish a national limitation amount for this new CPT code under the gapfill process through the regional MACs during calendar year 2016. We do not yet know whether the gapfill process for our new CPT code for Afirma GEC will impact the current Medicare payment rate.</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Protecting Access to Medicare Act of 2014, or PAMA, includes a substantial new payment system for clinical laboratory tests under the CLFS. Under PAMA, laboratories that receive the majority of their Medicare revenues from payments made under the CLFS would report initially and then on a subsequent three year basis thereafter (or annually for advanced diagnostic laboratory tests, or ADLTs), private payer payment rates and volumes for their tests. When the ruling is issued, we will be able to determine the timeline for reporting data to comply with the new PAMA process. CMS will use the rates and volumes reported by laboratories to develop Medicare payment rates for the tests equal to the volume-weighted median of the private payer payment rates for the tests. Although CMS has not yet issued regulations to implement PAMA, we believe our Afirma GEC as well as our Percepta test, once covered, would be considered ADLTs. We cannot assure you that reimbursement rates under the final regulation for tests like ours will not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Under current Medicare billing rules, payment for our tests performed on Medicare beneficiaries who were hospital inpatients at the time the tissue samples were obtained and whose tests were ordered less than 14 days from discharge must be bundled into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that fall under these rules. We cannot assure you that Medicare will not change this limitation in the future.</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Clinical laboratory tests like our tests are regulated under the Clinical Laboratory Improvement Amendments of 1988, or CLIA, as well as by applicable state laws. Most laboratory developed tests are not currently subject to FDA regulation, although reagents, instruments, software or components provided by third parties and used to perform LDTs may be subject to regulation. We believe that the Afirma GEC and Percepta tests are LDTs. FDA currently exercises its enforcement discretion for LDTs. In October 2014, the FDA published draft guidance documents describing the framework by which they might regulate LDTs. The framework is similar to the guidance they issued previously. There is no timeframe in which the FDA must issue final guidance documents.</w:t>
      </w:r>
    </w:p>
    <w:p>
      <w:pPr>
        <w:spacing w:after="0" w:line="19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If the FDA requires us to seek clearance or approval to offer our existing tests or any of our future products for clinical use, we may not be able to obtain such approvals on a timely basis, or at all. If premarket review is required, our business could be negatively impacted if we are required to stop selling our products pending their clearance or approval or the launch of any new products that we develop could be delayed by new requirements. The cost of conducting clinical trials and otherwise developing data and information to support premarket applications may be significant. Further, if the FDA were to issue guidance requiring our ILD test to obtain FDA approval prior to commercial availability, our LDT launch could be delayed.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In addition, we could be subject to a recall or seizure of current or future products, operating restrictions, partial suspension or total shutdown of production.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7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Some of the materials we use for the Afirma and Percepta tests and that we may use for future products are labeled for research use only. In November 2013, the FDA finalized guidance regarding the sale and use of products labeled for research or investigational use only. Among other things, the guidance advises that the FDA continues to be concerned about distribution of research or investigational 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w:t>
      </w:r>
    </w:p>
    <w:p>
      <w:pPr>
        <w:sectPr>
          <w:pgSz w:w="11900" w:h="16874" w:orient="portrait"/>
          <w:cols w:equalWidth="0" w:num="1">
            <w:col w:w="11420"/>
          </w:cols>
          <w:pgMar w:left="240" w:top="125" w:right="239" w:bottom="0" w:gutter="0" w:footer="0" w:header="0"/>
        </w:sectPr>
      </w:pPr>
    </w:p>
    <w:bookmarkStart w:id="25" w:name="page26"/>
    <w:bookmarkEnd w:id="25"/>
    <w:p>
      <w:pPr>
        <w:spacing w:after="0" w:line="293" w:lineRule="auto"/>
        <w:rPr>
          <w:sz w:val="20"/>
          <w:szCs w:val="20"/>
          <w:color w:val="auto"/>
        </w:rPr>
      </w:pPr>
      <w:r>
        <w:rPr>
          <w:rFonts w:ascii="Arial" w:cs="Arial" w:eastAsia="Arial" w:hAnsi="Arial"/>
          <w:sz w:val="16"/>
          <w:szCs w:val="16"/>
          <w:color w:val="auto"/>
        </w:rPr>
        <w:t>the product in question. The FDA has advised that if evidence demonstrates that a product is inappropriately labeled for research or investigational use only, the device would be misbranded and adulterated within the meaning of the Federal Food, Drug and Cosmetic Act. Some of the reagents, instruments, software or components obtained by us from suppliers for use in our products are currently labeled as investigational or research-use only products. If the FDA were to undertake enforcement actions, some of our suppliers might cease selling investigational or research-use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w:t>
      </w:r>
    </w:p>
    <w:p>
      <w:pPr>
        <w:spacing w:after="0" w:line="171"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With the Percepta test, we believe our primary competition will similarly come from traditional methods used by physicians to diagnose lung cancer, as well as from companies such as Integrated Diagnostics, Inc. We also anticipate facing potential competition from companies offering or developing approaches for assessing malignancy risk in patients with lung nodules using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alternative samples, such as blood, urine or sputum. However, such “liquid biopsies” are often used earlier in the diagnostic paradigm—for instance, to screen for cancer—or to gauge risk of recurrence or response to treatment.</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5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for Afirma as we transition out of our Genzyme Corporation co-promotion agreement in the United States. There can be no assurance that they will be successful in maintaining and growing the business. As we plan to further increase our sales channels for new tests we commercialize, we may have difficulties locating and recruiting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ectPr>
          <w:pgSz w:w="11900" w:h="16838" w:orient="portrait"/>
          <w:cols w:equalWidth="0" w:num="1">
            <w:col w:w="11420"/>
          </w:cols>
          <w:pgMar w:left="240" w:top="125" w:right="239" w:bottom="100" w:gutter="0" w:footer="0" w:header="0"/>
        </w:sectPr>
      </w:pPr>
    </w:p>
    <w:bookmarkStart w:id="26" w:name="page27"/>
    <w:bookmarkEnd w:id="26"/>
    <w:p>
      <w:pPr>
        <w:ind w:right="40" w:firstLine="648"/>
        <w:spacing w:after="0" w:line="257" w:lineRule="auto"/>
        <w:rPr>
          <w:sz w:val="20"/>
          <w:szCs w:val="20"/>
          <w:color w:val="auto"/>
        </w:rPr>
      </w:pPr>
      <w:r>
        <w:rPr>
          <w:rFonts w:ascii="Arial" w:cs="Arial" w:eastAsia="Arial" w:hAnsi="Arial"/>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The move of our laboratory facility to a new location in South San Francisco required us to notify appropriate regulatory agencies, which may result in an inspection or audit of the new facility which would disrupt our business, including the provision of Afirma GEC and Percepta test reports, and require the investment of resources. If we are unable to manage our growth effectively, it may be difficult for us to execute our business strategy and our business could be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to transitioning to such a code and updating their billing systems will not result in errors, delays in payments and a related increase in accounts receivable balances. The separate CPT code for the Afirma GEC test became effective January 1, 2016. There can be no assurance that we or our customers who bill will not face issues as the new code is utilized, which could have an adverse effect on our collection rates, revenue, and cost of collecting.</w:t>
      </w:r>
    </w:p>
    <w:p>
      <w:pPr>
        <w:spacing w:after="0" w:line="167"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As we introduce new tests,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October 2015, CMS replaced the ICD-9 code set with the ICD-10 code set. The transition requires ordering physicians to submit ICD-10 codes along with their requisitions for our tests. If physicians do not send proper coding with requisitions, electronic billing systems are not prepared for the transition, or payers have not upgraded their systems to appropriately pay claims with the new codes, we may experience delays in collecting payments, which would impact our revenue recognized on a cash basis, and our cash position.</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w:t>
      </w:r>
    </w:p>
    <w:p>
      <w:pPr>
        <w:sectPr>
          <w:pgSz w:w="11900" w:h="16838" w:orient="portrait"/>
          <w:cols w:equalWidth="0" w:num="1">
            <w:col w:w="11420"/>
          </w:cols>
          <w:pgMar w:left="240" w:top="125" w:right="239" w:bottom="0" w:gutter="0" w:footer="0" w:header="0"/>
        </w:sectPr>
      </w:pPr>
    </w:p>
    <w:bookmarkStart w:id="27" w:name="page28"/>
    <w:bookmarkEnd w:id="27"/>
    <w:p>
      <w:pPr>
        <w:spacing w:after="0" w:line="2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sell Afirma in the United States through our internal sales team and through our Amended and Restated U.S. Co-promotion Agreement with Genzyme Corporation, or the Amended Agreement. On March 9, 2016, we formalized the decision to conclude the Amended Agreement with Genzyme effective September 9, 2016. In connection with the transition, we have hired additional sales personnel to sell our Afirma solution which we previously co-promoted with Genzyme, and we may in the future hire additional sales personnel. If we are unsuccessful in transitioning the sales and marketing of Afirma from Genzyme solely to our internal sales and marketing personnel, we may experience declining test volumes and associated declines in revenue. We may not be able to market or sell Afirma effectively enough to maintain or increase demand for the test, or without significant additional sales and marketing efforts and expense. Our failure to do so successfully without the benefit of Genzyme’ efforts could have an adverse effect on our business, financial condition and results of operations.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have recently launched the Percepta test and are in the process of developing a test for interstitial lung disease, specifically IPF. We still must complete studies that meet the clinical evidence required to obtain reimbursement, which studies are currently underway. Our product for interstitial lung diseases may not be fully developed and introduced as planned in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w:t>
      </w:r>
    </w:p>
    <w:p>
      <w:pPr>
        <w:sectPr>
          <w:pgSz w:w="11900" w:h="16867" w:orient="portrait"/>
          <w:cols w:equalWidth="0" w:num="1">
            <w:col w:w="11400"/>
          </w:cols>
          <w:pgMar w:left="240" w:top="125" w:right="259" w:bottom="0" w:gutter="0" w:footer="0" w:header="0"/>
        </w:sectPr>
      </w:pPr>
    </w:p>
    <w:bookmarkStart w:id="28" w:name="page29"/>
    <w:bookmarkEnd w:id="28"/>
    <w:p>
      <w:pPr>
        <w:ind w:right="100"/>
        <w:spacing w:after="0" w:line="312" w:lineRule="auto"/>
        <w:rPr>
          <w:sz w:val="20"/>
          <w:szCs w:val="20"/>
          <w:color w:val="auto"/>
        </w:rPr>
      </w:pPr>
      <w:r>
        <w:rPr>
          <w:rFonts w:ascii="Arial" w:cs="Arial" w:eastAsia="Arial" w:hAnsi="Arial"/>
          <w:sz w:val="16"/>
          <w:szCs w:val="16"/>
          <w:color w:val="auto"/>
        </w:rPr>
        <w:t>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contains covenants that could limit our ability to acquire companies or technologies, sell debt securities or obtain additional debt financing arrangements.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or personnel qualifications and responsibilities, facility administration, general laboratory systems, quality assessment, quality control, pre-analytic, analytic, and post-analytic systems and proficiency testing. CLIA certification is also required in order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With our recent relocation of our South San Francisco CLIA laboratory to our new building, we may be subject to additional inspections or audits by federal or state regulatory agencies to maintain our CLIA certificate. If we relocate our Texas facility, we may be subject to the same inspections or audits at our new facility.</w:t>
      </w:r>
    </w:p>
    <w:p>
      <w:pPr>
        <w:spacing w:after="0" w:line="17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are also required to maintain state licenses to conduct testing in our laboratories. California, New York, Texas, among other states’ laws, require that we maintain a license and comply with state regulation as a clinical laboratory; including the training and skills required of personnel and quality control matters. In addition, both of our clinical laboratories are required to be licensed on a test-specific basis by New York State. We have received approval for the Afirma tests and our license for the Percepta test is pending. We will be required to obtain approval for other tests we may offer in the future.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our tests internationally. Other limitations, such as prohibitions on the import of tissue necessary for us to perform our tests or restrictions on the export of tissue imposed by countries outside of the United States, may constrain our ability to offer tests internationally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ind w:left="980" w:right="120" w:hanging="324"/>
        <w:spacing w:after="0" w:line="312" w:lineRule="auto"/>
        <w:tabs>
          <w:tab w:leader="none" w:pos="94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w:t>
      </w:r>
    </w:p>
    <w:p>
      <w:pPr>
        <w:sectPr>
          <w:pgSz w:w="11900" w:h="16838" w:orient="portrait"/>
          <w:cols w:equalWidth="0" w:num="1">
            <w:col w:w="11400"/>
          </w:cols>
          <w:pgMar w:left="240" w:top="125" w:right="259" w:bottom="0" w:gutter="0" w:footer="0" w:header="0"/>
        </w:sectPr>
      </w:pPr>
    </w:p>
    <w:bookmarkStart w:id="29" w:name="page30"/>
    <w:bookmarkEnd w:id="29"/>
    <w:p>
      <w:pPr>
        <w:ind w:left="980" w:right="180"/>
        <w:spacing w:after="0" w:line="277" w:lineRule="auto"/>
        <w:rPr>
          <w:sz w:val="20"/>
          <w:szCs w:val="20"/>
          <w:color w:val="auto"/>
        </w:rPr>
      </w:pPr>
      <w:r>
        <w:rPr>
          <w:rFonts w:ascii="Arial" w:cs="Arial" w:eastAsia="Arial" w:hAnsi="Arial"/>
          <w:sz w:val="18"/>
          <w:szCs w:val="18"/>
          <w:color w:val="auto"/>
        </w:rPr>
        <w:t>strengthen and expand HIPAA privacy and security compliance requirements, increase penalties for violators, extend enforcement authority to state attorneys general, and impose requirements for breach notification;</w:t>
      </w:r>
    </w:p>
    <w:p>
      <w:pPr>
        <w:spacing w:after="0" w:line="170"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arranging for, or recommending of an item or service that is reimbursable, in whole or in part, by a federal health care program;</w:t>
      </w:r>
    </w:p>
    <w:p>
      <w:pPr>
        <w:spacing w:after="0" w:line="225" w:lineRule="exact"/>
        <w:rPr>
          <w:sz w:val="20"/>
          <w:szCs w:val="20"/>
          <w:color w:val="auto"/>
        </w:rPr>
      </w:pPr>
    </w:p>
    <w:p>
      <w:pPr>
        <w:ind w:left="980" w:right="80" w:hanging="324"/>
        <w:spacing w:after="0" w:line="259"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ind w:left="980" w:right="180" w:hanging="324"/>
        <w:spacing w:after="0" w:line="286"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46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right="240" w:hanging="324"/>
        <w:spacing w:after="0" w:line="264"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60" w:hanging="324"/>
        <w:spacing w:after="0" w:line="264"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62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ectPr>
          <w:pgSz w:w="11900" w:h="16838" w:orient="portrait"/>
          <w:cols w:equalWidth="0" w:num="1">
            <w:col w:w="11420"/>
          </w:cols>
          <w:pgMar w:left="240" w:top="125" w:right="239" w:bottom="0" w:gutter="0" w:footer="0" w:header="0"/>
        </w:sectPr>
      </w:pPr>
    </w:p>
    <w:bookmarkStart w:id="30" w:name="page31"/>
    <w:bookmarkEnd w:id="30"/>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40" w:hanging="324"/>
        <w:spacing w:after="0" w:line="308" w:lineRule="auto"/>
        <w:tabs>
          <w:tab w:leader="none" w:pos="944"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and our Percepta test,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perform all of the Afirma GEC and Percepta testing at our laboratory in South San Francisco, California. Our laboratory in Austin, Texas accepts and stores substantially all FNA samples pending transfer to our California laboratory for Afirma GEC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ectPr>
          <w:pgSz w:w="11900" w:h="16838" w:orient="portrait"/>
          <w:cols w:equalWidth="0" w:num="1">
            <w:col w:w="11420"/>
          </w:cols>
          <w:pgMar w:left="240" w:top="125" w:right="239" w:bottom="45" w:gutter="0" w:footer="0" w:header="0"/>
        </w:sectPr>
      </w:pPr>
    </w:p>
    <w:bookmarkStart w:id="31" w:name="page32"/>
    <w:bookmarkEnd w:id="31"/>
    <w:p>
      <w:pPr>
        <w:spacing w:after="0" w:line="2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expect continued capital expenditures and operating losses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69"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eight issued patents that expire between 2029 and 2032 related to methods used in the Afirma diagnostic platform, in addition to eight pending U.S. utility patent applications and six U.S. provisional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We also own two applications related to other lung diseases, and a PCT application, a pending U.S. application, and two ex-U.S. applications related to our interstitial lung disease test under development. Any patents granted from the current</w:t>
      </w:r>
    </w:p>
    <w:p>
      <w:pPr>
        <w:sectPr>
          <w:pgSz w:w="11900" w:h="16863" w:orient="portrait"/>
          <w:cols w:equalWidth="0" w:num="1">
            <w:col w:w="11420"/>
          </w:cols>
          <w:pgMar w:left="240" w:top="125" w:right="239" w:bottom="0" w:gutter="0" w:footer="0" w:header="0"/>
        </w:sectPr>
      </w:pPr>
    </w:p>
    <w:bookmarkStart w:id="32" w:name="page33"/>
    <w:bookmarkEnd w:id="32"/>
    <w:p>
      <w:pPr>
        <w:spacing w:after="0" w:line="9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lung cancer patent applications will expire no earlier than 2035 and those from the interstitial lung disease patent applications will expire no earlier than from 2034 to 2035.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products, our competitive position could be adversely affected, as could our business. Both the patent application process and the process of managing patent disputes can be time consuming and expensive.</w:t>
      </w:r>
    </w:p>
    <w:p>
      <w:pPr>
        <w:sectPr>
          <w:pgSz w:w="11900" w:h="16929" w:orient="portrait"/>
          <w:cols w:equalWidth="0" w:num="1">
            <w:col w:w="11420"/>
          </w:cols>
          <w:pgMar w:left="240" w:top="125" w:right="239" w:bottom="0" w:gutter="0" w:footer="0" w:header="0"/>
        </w:sectPr>
      </w:pPr>
    </w:p>
    <w:bookmarkStart w:id="33" w:name="page34"/>
    <w:bookmarkEnd w:id="33"/>
    <w:p>
      <w:pPr>
        <w:spacing w:after="0" w:line="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connection with any infringement claims, we could incur significant costs and expenses that could adversely affect our business, operating results,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ectPr>
          <w:pgSz w:w="11900" w:h="16908" w:orient="portrait"/>
          <w:cols w:equalWidth="0" w:num="1">
            <w:col w:w="11420"/>
          </w:cols>
          <w:pgMar w:left="240" w:top="341" w:right="239" w:bottom="0" w:gutter="0" w:footer="0" w:header="0"/>
        </w:sectPr>
      </w:pPr>
    </w:p>
    <w:bookmarkStart w:id="34" w:name="page35"/>
    <w:bookmarkEnd w:id="34"/>
    <w:p>
      <w:pPr>
        <w:spacing w:after="0" w:line="2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 future disclosure we may make, there may be a less active trading market for our common stock and our stock price may be more volatile.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ectPr>
          <w:pgSz w:w="11900" w:h="16867" w:orient="portrait"/>
          <w:cols w:equalWidth="0" w:num="1">
            <w:col w:w="11420"/>
          </w:cols>
          <w:pgMar w:left="240" w:top="341" w:right="239" w:bottom="0" w:gutter="0" w:footer="0" w:header="0"/>
        </w:sectPr>
      </w:pPr>
    </w:p>
    <w:bookmarkStart w:id="35" w:name="page36"/>
    <w:bookmarkEnd w:id="35"/>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of April 29, 2016, directors and executive officers and their affiliates beneficially owned, in the aggregate, 41%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Credit Agreement dated as of March 25, 2016 by and among Veracyte, Inc.as Borrower, Visium Healthcare Partners, LP,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rPr>
              <w:t>Administrative Agent, the Guarantors from time to time party thereto and the Lenders from time to time party thereto.</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10.2</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7"/>
              </w:rPr>
              <w:t>Security Agreement dated March 30, 2016 between Veracyte, Inc. and Visium Healthcare Partners, LP, as Administrative Agent</w:t>
            </w:r>
          </w:p>
        </w:tc>
        <w:tc>
          <w:tcPr>
            <w:tcW w:w="0" w:type="dxa"/>
            <w:vAlign w:val="bottom"/>
          </w:tcPr>
          <w:p>
            <w:pPr>
              <w:spacing w:after="0"/>
              <w:rPr>
                <w:sz w:val="1"/>
                <w:szCs w:val="1"/>
                <w:color w:val="auto"/>
              </w:rPr>
            </w:pPr>
          </w:p>
        </w:tc>
      </w:tr>
      <w:tr>
        <w:trPr>
          <w:trHeight w:val="216"/>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10.3</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8"/>
              </w:rPr>
              <w:t>Pledge Agreement dated March 30, 2016 between Veracyte, Inc. and Visium Healthcare Partners, LP, as Administrative Agent</w:t>
            </w:r>
          </w:p>
        </w:tc>
        <w:tc>
          <w:tcPr>
            <w:tcW w:w="0" w:type="dxa"/>
            <w:vAlign w:val="bottom"/>
          </w:tcPr>
          <w:p>
            <w:pPr>
              <w:spacing w:after="0"/>
              <w:rPr>
                <w:sz w:val="1"/>
                <w:szCs w:val="1"/>
                <w:color w:val="auto"/>
              </w:rPr>
            </w:pPr>
          </w:p>
        </w:tc>
      </w:tr>
      <w:tr>
        <w:trPr>
          <w:trHeight w:val="230"/>
        </w:trPr>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ind w:left="180"/>
              <w:spacing w:after="0"/>
              <w:rPr>
                <w:sz w:val="20"/>
                <w:szCs w:val="20"/>
                <w:color w:val="auto"/>
              </w:rPr>
            </w:pPr>
            <w:r>
              <w:rPr>
                <w:rFonts w:ascii="Arial" w:cs="Arial" w:eastAsia="Arial" w:hAnsi="Arial"/>
                <w:sz w:val="18"/>
                <w:szCs w:val="18"/>
                <w:color w:val="auto"/>
                <w:w w:val="91"/>
              </w:rPr>
              <w:t>Letter agreement regarding potential opportunity to purchase common equity interests dated March 30, 2016 between Veracyte, Inc. and</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36" w:name="page37"/>
    <w:bookmarkEnd w:id="36"/>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Visium Healthcare Partners, LP</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7600" w:type="dxa"/>
            <w:vAlign w:val="bottom"/>
          </w:tcPr>
          <w:p>
            <w:pPr>
              <w:ind w:left="180"/>
              <w:spacing w:after="0"/>
              <w:rPr>
                <w:sz w:val="20"/>
                <w:szCs w:val="20"/>
                <w:color w:val="auto"/>
              </w:rPr>
            </w:pPr>
            <w:r>
              <w:rPr>
                <w:rFonts w:ascii="Arial" w:cs="Arial" w:eastAsia="Arial" w:hAnsi="Arial"/>
                <w:sz w:val="18"/>
                <w:szCs w:val="18"/>
                <w:color w:val="auto"/>
                <w:w w:val="91"/>
              </w:rPr>
              <w:t>Principal Executive Officer’s Certification Pursuant to Section 302 of the Sarbanes-Oxley Act of 2002.</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31.2</w:t>
            </w:r>
          </w:p>
        </w:tc>
        <w:tc>
          <w:tcPr>
            <w:tcW w:w="7600" w:type="dxa"/>
            <w:vAlign w:val="bottom"/>
          </w:tcPr>
          <w:p>
            <w:pPr>
              <w:ind w:left="180"/>
              <w:spacing w:after="0"/>
              <w:rPr>
                <w:sz w:val="20"/>
                <w:szCs w:val="20"/>
                <w:color w:val="auto"/>
              </w:rPr>
            </w:pPr>
            <w:r>
              <w:rPr>
                <w:rFonts w:ascii="Arial" w:cs="Arial" w:eastAsia="Arial" w:hAnsi="Arial"/>
                <w:sz w:val="18"/>
                <w:szCs w:val="18"/>
                <w:color w:val="auto"/>
                <w:w w:val="92"/>
              </w:rPr>
              <w:t>Principal Financial Officer’s Certification Pursuant to Section 302 of the Sarbanes-Oxley Act of 2002.</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32.1**</w:t>
            </w:r>
          </w:p>
        </w:tc>
        <w:tc>
          <w:tcPr>
            <w:tcW w:w="7600" w:type="dxa"/>
            <w:vAlign w:val="bottom"/>
          </w:tcPr>
          <w:p>
            <w:pPr>
              <w:ind w:left="18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32.2**</w:t>
            </w:r>
          </w:p>
        </w:tc>
        <w:tc>
          <w:tcPr>
            <w:tcW w:w="7600" w:type="dxa"/>
            <w:vAlign w:val="bottom"/>
          </w:tcPr>
          <w:p>
            <w:pPr>
              <w:ind w:left="18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rPr>
              <w:t>101.INS</w:t>
            </w:r>
          </w:p>
        </w:tc>
        <w:tc>
          <w:tcPr>
            <w:tcW w:w="760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w w:val="90"/>
              </w:rPr>
              <w:t>101.SCH</w:t>
            </w:r>
          </w:p>
        </w:tc>
        <w:tc>
          <w:tcPr>
            <w:tcW w:w="760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w w:val="94"/>
              </w:rPr>
              <w:t>101.CAL</w:t>
            </w:r>
          </w:p>
        </w:tc>
        <w:tc>
          <w:tcPr>
            <w:tcW w:w="760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w w:val="92"/>
              </w:rPr>
              <w:t>101.DEF</w:t>
            </w:r>
          </w:p>
        </w:tc>
        <w:tc>
          <w:tcPr>
            <w:tcW w:w="760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40" w:type="dxa"/>
            <w:vAlign w:val="bottom"/>
          </w:tcPr>
          <w:p>
            <w:pPr>
              <w:jc w:val="right"/>
              <w:ind w:right="70"/>
              <w:spacing w:after="0"/>
              <w:rPr>
                <w:sz w:val="20"/>
                <w:szCs w:val="20"/>
                <w:color w:val="auto"/>
              </w:rPr>
            </w:pPr>
            <w:r>
              <w:rPr>
                <w:rFonts w:ascii="Arial" w:cs="Arial" w:eastAsia="Arial" w:hAnsi="Arial"/>
                <w:sz w:val="18"/>
                <w:szCs w:val="18"/>
                <w:color w:val="auto"/>
                <w:w w:val="95"/>
              </w:rPr>
              <w:t>101.LAB</w:t>
            </w:r>
          </w:p>
        </w:tc>
        <w:tc>
          <w:tcPr>
            <w:tcW w:w="760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40" w:type="dxa"/>
            <w:vAlign w:val="bottom"/>
          </w:tcPr>
          <w:p>
            <w:pPr>
              <w:jc w:val="right"/>
              <w:ind w:right="70"/>
              <w:spacing w:after="0"/>
              <w:rPr>
                <w:sz w:val="20"/>
                <w:szCs w:val="20"/>
                <w:color w:val="auto"/>
              </w:rPr>
            </w:pPr>
            <w:r>
              <w:rPr>
                <w:rFonts w:ascii="Arial" w:cs="Arial" w:eastAsia="Arial" w:hAnsi="Arial"/>
                <w:sz w:val="18"/>
                <w:szCs w:val="18"/>
                <w:color w:val="auto"/>
                <w:w w:val="91"/>
              </w:rPr>
              <w:t>101.PRE</w:t>
            </w:r>
          </w:p>
        </w:tc>
        <w:tc>
          <w:tcPr>
            <w:tcW w:w="760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line="259" w:lineRule="auto"/>
        <w:tabs>
          <w:tab w:leader="none" w:pos="6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2"/>
          </w:tcPr>
          <w:p>
            <w:pPr>
              <w:ind w:left="428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tcPr>
          <w:p>
            <w:pPr>
              <w:ind w:left="428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1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gridSpan w:val="2"/>
          </w:tcPr>
          <w:p>
            <w:pPr>
              <w:ind w:left="4780"/>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gridSpan w:val="2"/>
          </w:tcPr>
          <w:p>
            <w:pPr>
              <w:ind w:left="4780"/>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ind w:left="4240"/>
              <w:spacing w:after="0"/>
              <w:rPr>
                <w:sz w:val="20"/>
                <w:szCs w:val="20"/>
                <w:color w:val="auto"/>
              </w:rPr>
            </w:pPr>
            <w:r>
              <w:rPr>
                <w:rFonts w:ascii="Arial" w:cs="Arial" w:eastAsia="Arial" w:hAnsi="Arial"/>
                <w:sz w:val="18"/>
                <w:szCs w:val="18"/>
                <w:color w:val="auto"/>
              </w:rPr>
              <w:t>48</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7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2"/>
          </w:tcPr>
          <w:p>
            <w:pPr>
              <w:ind w:left="35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992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9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Credit Agreement dated as of March 25, 2016 by and among Veracyte, Inc.as Borrower, Visium Healthcare Partners, LP, as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Administrative Agent, the Guarantors from time to time party thereto and the Lenders from time to time party thereto.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7"/>
              </w:rPr>
              <w:t>Security Agreement dated March 30, 2016 between Veracyte, Inc. and Visium Healthcare Partners, LP, as Administrative Agent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8"/>
              </w:rPr>
              <w:t>Pledge Agreement dated March 30, 2016 between Veracyte, Inc. and Visium Healthcare Partners, LP, as Administrative Agent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w w:val="91"/>
              </w:rPr>
              <w:t>Letter agreement regarding potential opportunity to purchase common equity interests dated March 30, 2016 between Veracyte, Inc.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Visium Healthcare Partners,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Certification Pursuant to 18 U.S.C. § 1350 (Section 906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101.INS</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101.SCH</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101.CAL</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101.DEF</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101.LAB</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101.PRE</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652"/>
        <w:spacing w:after="0" w:line="259" w:lineRule="auto"/>
        <w:tabs>
          <w:tab w:leader="none" w:pos="6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ectPr>
          <w:pgSz w:w="11900" w:h="16838" w:orient="portrait"/>
          <w:cols w:equalWidth="0" w:num="1">
            <w:col w:w="11460"/>
          </w:cols>
          <w:pgMar w:left="240" w:top="125" w:right="199" w:bottom="568"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568"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25,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DOMESTIC SUBSIDIARIES OF THE BORROWER,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Guarantors,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VISIUM HEALTHCARE PARTNERS,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700" w:type="dxa"/>
            <w:vAlign w:val="bottom"/>
            <w:gridSpan w:val="3"/>
          </w:tcPr>
          <w:p>
            <w:pPr>
              <w:jc w:val="right"/>
              <w:ind w:right="4820"/>
              <w:spacing w:after="0"/>
              <w:rPr>
                <w:sz w:val="20"/>
                <w:szCs w:val="20"/>
                <w:color w:val="auto"/>
              </w:rPr>
            </w:pPr>
            <w:r>
              <w:rPr>
                <w:rFonts w:ascii="Arial" w:cs="Arial" w:eastAsia="Arial" w:hAnsi="Arial"/>
                <w:sz w:val="18"/>
                <w:szCs w:val="18"/>
                <w:color w:val="auto"/>
                <w:w w:val="97"/>
              </w:rPr>
              <w:t>TABLE OF CONTENTS</w:t>
            </w:r>
          </w:p>
        </w:tc>
        <w:tc>
          <w:tcPr>
            <w:tcW w:w="0" w:type="dxa"/>
            <w:vAlign w:val="bottom"/>
          </w:tcPr>
          <w:p>
            <w:pPr>
              <w:spacing w:after="0"/>
              <w:rPr>
                <w:sz w:val="1"/>
                <w:szCs w:val="1"/>
                <w:color w:val="auto"/>
              </w:rPr>
            </w:pPr>
          </w:p>
        </w:tc>
      </w:tr>
      <w:tr>
        <w:trPr>
          <w:trHeight w:val="365"/>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ACCOUNTING TERMS</w:t>
            </w:r>
          </w:p>
        </w:tc>
        <w:tc>
          <w:tcPr>
            <w:tcW w:w="554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4740" w:type="dxa"/>
            <w:vAlign w:val="bottom"/>
            <w:gridSpan w:val="2"/>
            <w:vMerge w:val="continue"/>
          </w:tcPr>
          <w:p>
            <w:pPr>
              <w:spacing w:after="0"/>
              <w:rPr>
                <w:sz w:val="19"/>
                <w:szCs w:val="19"/>
                <w:color w:val="auto"/>
              </w:rPr>
            </w:pPr>
          </w:p>
        </w:tc>
        <w:tc>
          <w:tcPr>
            <w:tcW w:w="55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3960" w:type="dxa"/>
            <w:vAlign w:val="bottom"/>
          </w:tcPr>
          <w:p>
            <w:pPr>
              <w:ind w:left="280"/>
              <w:spacing w:after="0"/>
              <w:rPr>
                <w:sz w:val="20"/>
                <w:szCs w:val="20"/>
                <w:color w:val="auto"/>
              </w:rPr>
            </w:pPr>
            <w:r>
              <w:rPr>
                <w:rFonts w:ascii="Arial" w:cs="Arial" w:eastAsia="Arial" w:hAnsi="Arial"/>
                <w:sz w:val="18"/>
                <w:szCs w:val="18"/>
                <w:color w:val="auto"/>
              </w:rPr>
              <w:t>Defined Terms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1.02</w:t>
            </w:r>
          </w:p>
        </w:tc>
        <w:tc>
          <w:tcPr>
            <w:tcW w:w="3960" w:type="dxa"/>
            <w:vAlign w:val="bottom"/>
          </w:tcPr>
          <w:p>
            <w:pPr>
              <w:ind w:left="280"/>
              <w:spacing w:after="0"/>
              <w:rPr>
                <w:sz w:val="20"/>
                <w:szCs w:val="20"/>
                <w:color w:val="auto"/>
              </w:rPr>
            </w:pPr>
            <w:r>
              <w:rPr>
                <w:rFonts w:ascii="Arial" w:cs="Arial" w:eastAsia="Arial" w:hAnsi="Arial"/>
                <w:sz w:val="18"/>
                <w:szCs w:val="18"/>
                <w:color w:val="auto"/>
              </w:rPr>
              <w:t>Other Interpretive Provisions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1.03</w:t>
            </w:r>
          </w:p>
        </w:tc>
        <w:tc>
          <w:tcPr>
            <w:tcW w:w="3960" w:type="dxa"/>
            <w:vAlign w:val="bottom"/>
          </w:tcPr>
          <w:p>
            <w:pPr>
              <w:ind w:left="280"/>
              <w:spacing w:after="0"/>
              <w:rPr>
                <w:sz w:val="20"/>
                <w:szCs w:val="20"/>
                <w:color w:val="auto"/>
              </w:rPr>
            </w:pPr>
            <w:r>
              <w:rPr>
                <w:rFonts w:ascii="Arial" w:cs="Arial" w:eastAsia="Arial" w:hAnsi="Arial"/>
                <w:sz w:val="18"/>
                <w:szCs w:val="18"/>
                <w:color w:val="auto"/>
              </w:rPr>
              <w:t>Accounting Terms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1.04</w:t>
            </w:r>
          </w:p>
        </w:tc>
        <w:tc>
          <w:tcPr>
            <w:tcW w:w="3960" w:type="dxa"/>
            <w:vAlign w:val="bottom"/>
          </w:tcPr>
          <w:p>
            <w:pPr>
              <w:ind w:left="280"/>
              <w:spacing w:after="0"/>
              <w:rPr>
                <w:sz w:val="20"/>
                <w:szCs w:val="20"/>
                <w:color w:val="auto"/>
              </w:rPr>
            </w:pPr>
            <w:r>
              <w:rPr>
                <w:rFonts w:ascii="Arial" w:cs="Arial" w:eastAsia="Arial" w:hAnsi="Arial"/>
                <w:sz w:val="18"/>
                <w:szCs w:val="18"/>
                <w:color w:val="auto"/>
              </w:rPr>
              <w:t>Times of Day</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ARTICLE II THE COMMITMENTS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2.01</w:t>
            </w:r>
          </w:p>
        </w:tc>
        <w:tc>
          <w:tcPr>
            <w:tcW w:w="3960" w:type="dxa"/>
            <w:vAlign w:val="bottom"/>
          </w:tcPr>
          <w:p>
            <w:pPr>
              <w:ind w:left="280"/>
              <w:spacing w:after="0"/>
              <w:rPr>
                <w:sz w:val="20"/>
                <w:szCs w:val="20"/>
                <w:color w:val="auto"/>
              </w:rPr>
            </w:pPr>
            <w:r>
              <w:rPr>
                <w:rFonts w:ascii="Arial" w:cs="Arial" w:eastAsia="Arial" w:hAnsi="Arial"/>
                <w:sz w:val="18"/>
                <w:szCs w:val="18"/>
                <w:color w:val="auto"/>
              </w:rPr>
              <w:t>Commitments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2.02</w:t>
            </w:r>
          </w:p>
        </w:tc>
        <w:tc>
          <w:tcPr>
            <w:tcW w:w="3960" w:type="dxa"/>
            <w:vAlign w:val="bottom"/>
          </w:tcPr>
          <w:p>
            <w:pPr>
              <w:ind w:left="280"/>
              <w:spacing w:after="0"/>
              <w:rPr>
                <w:sz w:val="20"/>
                <w:szCs w:val="20"/>
                <w:color w:val="auto"/>
              </w:rPr>
            </w:pPr>
            <w:r>
              <w:rPr>
                <w:rFonts w:ascii="Arial" w:cs="Arial" w:eastAsia="Arial" w:hAnsi="Arial"/>
                <w:sz w:val="18"/>
                <w:szCs w:val="18"/>
                <w:color w:val="auto"/>
              </w:rPr>
              <w:t>Borrowings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2.03</w:t>
            </w:r>
          </w:p>
        </w:tc>
        <w:tc>
          <w:tcPr>
            <w:tcW w:w="3960" w:type="dxa"/>
            <w:vAlign w:val="bottom"/>
          </w:tcPr>
          <w:p>
            <w:pPr>
              <w:ind w:left="280"/>
              <w:spacing w:after="0"/>
              <w:rPr>
                <w:sz w:val="20"/>
                <w:szCs w:val="20"/>
                <w:color w:val="auto"/>
              </w:rPr>
            </w:pPr>
            <w:r>
              <w:rPr>
                <w:rFonts w:ascii="Arial" w:cs="Arial" w:eastAsia="Arial" w:hAnsi="Arial"/>
                <w:sz w:val="18"/>
                <w:szCs w:val="18"/>
                <w:color w:val="auto"/>
              </w:rPr>
              <w:t>Prepayments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2.04</w:t>
            </w:r>
          </w:p>
        </w:tc>
        <w:tc>
          <w:tcPr>
            <w:tcW w:w="3960" w:type="dxa"/>
            <w:vAlign w:val="bottom"/>
          </w:tcPr>
          <w:p>
            <w:pPr>
              <w:ind w:left="280"/>
              <w:spacing w:after="0"/>
              <w:rPr>
                <w:sz w:val="20"/>
                <w:szCs w:val="20"/>
                <w:color w:val="auto"/>
              </w:rPr>
            </w:pPr>
            <w:r>
              <w:rPr>
                <w:rFonts w:ascii="Arial" w:cs="Arial" w:eastAsia="Arial" w:hAnsi="Arial"/>
                <w:sz w:val="18"/>
                <w:szCs w:val="18"/>
                <w:color w:val="auto"/>
              </w:rPr>
              <w:t>Termination or Reduction of Commitments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2.05</w:t>
            </w:r>
          </w:p>
        </w:tc>
        <w:tc>
          <w:tcPr>
            <w:tcW w:w="3960" w:type="dxa"/>
            <w:vAlign w:val="bottom"/>
          </w:tcPr>
          <w:p>
            <w:pPr>
              <w:ind w:left="280"/>
              <w:spacing w:after="0"/>
              <w:rPr>
                <w:sz w:val="20"/>
                <w:szCs w:val="20"/>
                <w:color w:val="auto"/>
              </w:rPr>
            </w:pPr>
            <w:r>
              <w:rPr>
                <w:rFonts w:ascii="Arial" w:cs="Arial" w:eastAsia="Arial" w:hAnsi="Arial"/>
                <w:sz w:val="18"/>
                <w:szCs w:val="18"/>
                <w:color w:val="auto"/>
              </w:rPr>
              <w:t>Repayment of Loans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2.06</w:t>
            </w:r>
          </w:p>
        </w:tc>
        <w:tc>
          <w:tcPr>
            <w:tcW w:w="3960" w:type="dxa"/>
            <w:vAlign w:val="bottom"/>
          </w:tcPr>
          <w:p>
            <w:pPr>
              <w:ind w:left="280"/>
              <w:spacing w:after="0"/>
              <w:rPr>
                <w:sz w:val="20"/>
                <w:szCs w:val="20"/>
                <w:color w:val="auto"/>
              </w:rPr>
            </w:pPr>
            <w:r>
              <w:rPr>
                <w:rFonts w:ascii="Arial" w:cs="Arial" w:eastAsia="Arial" w:hAnsi="Arial"/>
                <w:sz w:val="18"/>
                <w:szCs w:val="18"/>
                <w:color w:val="auto"/>
              </w:rPr>
              <w:t>Interest</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2.07</w:t>
            </w:r>
          </w:p>
        </w:tc>
        <w:tc>
          <w:tcPr>
            <w:tcW w:w="3960" w:type="dxa"/>
            <w:vAlign w:val="bottom"/>
          </w:tcPr>
          <w:p>
            <w:pPr>
              <w:ind w:left="280"/>
              <w:spacing w:after="0"/>
              <w:rPr>
                <w:sz w:val="20"/>
                <w:szCs w:val="20"/>
                <w:color w:val="auto"/>
              </w:rPr>
            </w:pPr>
            <w:r>
              <w:rPr>
                <w:rFonts w:ascii="Arial" w:cs="Arial" w:eastAsia="Arial" w:hAnsi="Arial"/>
                <w:sz w:val="18"/>
                <w:szCs w:val="18"/>
                <w:color w:val="auto"/>
              </w:rPr>
              <w:t>Fees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2.08</w:t>
            </w:r>
          </w:p>
        </w:tc>
        <w:tc>
          <w:tcPr>
            <w:tcW w:w="3960" w:type="dxa"/>
            <w:vAlign w:val="bottom"/>
          </w:tcPr>
          <w:p>
            <w:pPr>
              <w:ind w:left="280"/>
              <w:spacing w:after="0"/>
              <w:rPr>
                <w:sz w:val="20"/>
                <w:szCs w:val="20"/>
                <w:color w:val="auto"/>
              </w:rPr>
            </w:pPr>
            <w:r>
              <w:rPr>
                <w:rFonts w:ascii="Arial" w:cs="Arial" w:eastAsia="Arial" w:hAnsi="Arial"/>
                <w:sz w:val="18"/>
                <w:szCs w:val="18"/>
                <w:color w:val="auto"/>
              </w:rPr>
              <w:t>Computation of Interest</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2.09</w:t>
            </w:r>
          </w:p>
        </w:tc>
        <w:tc>
          <w:tcPr>
            <w:tcW w:w="3960" w:type="dxa"/>
            <w:vAlign w:val="bottom"/>
          </w:tcPr>
          <w:p>
            <w:pPr>
              <w:ind w:left="280"/>
              <w:spacing w:after="0"/>
              <w:rPr>
                <w:sz w:val="20"/>
                <w:szCs w:val="20"/>
                <w:color w:val="auto"/>
              </w:rPr>
            </w:pPr>
            <w:r>
              <w:rPr>
                <w:rFonts w:ascii="Arial" w:cs="Arial" w:eastAsia="Arial" w:hAnsi="Arial"/>
                <w:sz w:val="18"/>
                <w:szCs w:val="18"/>
                <w:color w:val="auto"/>
              </w:rPr>
              <w:t>Evidence of Debt</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2.10</w:t>
            </w:r>
          </w:p>
        </w:tc>
        <w:tc>
          <w:tcPr>
            <w:tcW w:w="3960" w:type="dxa"/>
            <w:vAlign w:val="bottom"/>
          </w:tcPr>
          <w:p>
            <w:pPr>
              <w:ind w:left="280"/>
              <w:spacing w:after="0"/>
              <w:rPr>
                <w:sz w:val="20"/>
                <w:szCs w:val="20"/>
                <w:color w:val="auto"/>
              </w:rPr>
            </w:pPr>
            <w:r>
              <w:rPr>
                <w:rFonts w:ascii="Arial" w:cs="Arial" w:eastAsia="Arial" w:hAnsi="Arial"/>
                <w:sz w:val="18"/>
                <w:szCs w:val="18"/>
                <w:color w:val="auto"/>
              </w:rPr>
              <w:t>Payments Generally</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2.11</w:t>
            </w:r>
          </w:p>
        </w:tc>
        <w:tc>
          <w:tcPr>
            <w:tcW w:w="3960" w:type="dxa"/>
            <w:vAlign w:val="bottom"/>
          </w:tcPr>
          <w:p>
            <w:pPr>
              <w:ind w:left="280"/>
              <w:spacing w:after="0"/>
              <w:rPr>
                <w:sz w:val="20"/>
                <w:szCs w:val="20"/>
                <w:color w:val="auto"/>
              </w:rPr>
            </w:pPr>
            <w:r>
              <w:rPr>
                <w:rFonts w:ascii="Arial" w:cs="Arial" w:eastAsia="Arial" w:hAnsi="Arial"/>
                <w:sz w:val="18"/>
                <w:szCs w:val="18"/>
                <w:color w:val="auto"/>
              </w:rPr>
              <w:t>Sharing of Payments by Lenders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2.12</w:t>
            </w:r>
          </w:p>
        </w:tc>
        <w:tc>
          <w:tcPr>
            <w:tcW w:w="3960" w:type="dxa"/>
            <w:vAlign w:val="bottom"/>
          </w:tcPr>
          <w:p>
            <w:pPr>
              <w:ind w:left="280"/>
              <w:spacing w:after="0"/>
              <w:rPr>
                <w:sz w:val="20"/>
                <w:szCs w:val="20"/>
                <w:color w:val="auto"/>
              </w:rPr>
            </w:pPr>
            <w:r>
              <w:rPr>
                <w:rFonts w:ascii="Arial" w:cs="Arial" w:eastAsia="Arial" w:hAnsi="Arial"/>
                <w:sz w:val="18"/>
                <w:szCs w:val="18"/>
                <w:color w:val="auto"/>
              </w:rPr>
              <w:t>Defaulting Lenders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2.13</w:t>
            </w:r>
          </w:p>
        </w:tc>
        <w:tc>
          <w:tcPr>
            <w:tcW w:w="3960" w:type="dxa"/>
            <w:vAlign w:val="bottom"/>
          </w:tcPr>
          <w:p>
            <w:pPr>
              <w:ind w:left="280"/>
              <w:spacing w:after="0"/>
              <w:rPr>
                <w:sz w:val="20"/>
                <w:szCs w:val="20"/>
                <w:color w:val="auto"/>
              </w:rPr>
            </w:pPr>
            <w:r>
              <w:rPr>
                <w:rFonts w:ascii="Arial" w:cs="Arial" w:eastAsia="Arial" w:hAnsi="Arial"/>
                <w:sz w:val="18"/>
                <w:szCs w:val="18"/>
                <w:color w:val="auto"/>
              </w:rPr>
              <w:t>Right of First Offer</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ARTICLE III TAXES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3.01</w:t>
            </w:r>
          </w:p>
        </w:tc>
        <w:tc>
          <w:tcPr>
            <w:tcW w:w="3960" w:type="dxa"/>
            <w:vAlign w:val="bottom"/>
          </w:tcPr>
          <w:p>
            <w:pPr>
              <w:ind w:left="280"/>
              <w:spacing w:after="0"/>
              <w:rPr>
                <w:sz w:val="20"/>
                <w:szCs w:val="20"/>
                <w:color w:val="auto"/>
              </w:rPr>
            </w:pPr>
            <w:r>
              <w:rPr>
                <w:rFonts w:ascii="Arial" w:cs="Arial" w:eastAsia="Arial" w:hAnsi="Arial"/>
                <w:sz w:val="18"/>
                <w:szCs w:val="18"/>
                <w:color w:val="auto"/>
              </w:rPr>
              <w:t>Taxes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3.02</w:t>
            </w:r>
          </w:p>
        </w:tc>
        <w:tc>
          <w:tcPr>
            <w:tcW w:w="3960" w:type="dxa"/>
            <w:vAlign w:val="bottom"/>
          </w:tcPr>
          <w:p>
            <w:pPr>
              <w:ind w:left="280"/>
              <w:spacing w:after="0"/>
              <w:rPr>
                <w:sz w:val="20"/>
                <w:szCs w:val="20"/>
                <w:color w:val="auto"/>
              </w:rPr>
            </w:pPr>
            <w:r>
              <w:rPr>
                <w:rFonts w:ascii="Arial" w:cs="Arial" w:eastAsia="Arial" w:hAnsi="Arial"/>
                <w:sz w:val="18"/>
                <w:szCs w:val="18"/>
                <w:color w:val="auto"/>
              </w:rPr>
              <w:t>Survival</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ARTICLE IV GUARANTY</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4.01</w:t>
            </w:r>
          </w:p>
        </w:tc>
        <w:tc>
          <w:tcPr>
            <w:tcW w:w="3960" w:type="dxa"/>
            <w:vAlign w:val="bottom"/>
          </w:tcPr>
          <w:p>
            <w:pPr>
              <w:ind w:left="280"/>
              <w:spacing w:after="0"/>
              <w:rPr>
                <w:sz w:val="20"/>
                <w:szCs w:val="20"/>
                <w:color w:val="auto"/>
              </w:rPr>
            </w:pPr>
            <w:r>
              <w:rPr>
                <w:rFonts w:ascii="Arial" w:cs="Arial" w:eastAsia="Arial" w:hAnsi="Arial"/>
                <w:sz w:val="18"/>
                <w:szCs w:val="18"/>
                <w:color w:val="auto"/>
              </w:rPr>
              <w:t>The Guaranty</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4.02</w:t>
            </w:r>
          </w:p>
        </w:tc>
        <w:tc>
          <w:tcPr>
            <w:tcW w:w="3960" w:type="dxa"/>
            <w:vAlign w:val="bottom"/>
          </w:tcPr>
          <w:p>
            <w:pPr>
              <w:ind w:left="280"/>
              <w:spacing w:after="0"/>
              <w:rPr>
                <w:sz w:val="20"/>
                <w:szCs w:val="20"/>
                <w:color w:val="auto"/>
              </w:rPr>
            </w:pPr>
            <w:r>
              <w:rPr>
                <w:rFonts w:ascii="Arial" w:cs="Arial" w:eastAsia="Arial" w:hAnsi="Arial"/>
                <w:sz w:val="18"/>
                <w:szCs w:val="18"/>
                <w:color w:val="auto"/>
              </w:rPr>
              <w:t>Obligations Unconditional</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4.03</w:t>
            </w:r>
          </w:p>
        </w:tc>
        <w:tc>
          <w:tcPr>
            <w:tcW w:w="3960" w:type="dxa"/>
            <w:vAlign w:val="bottom"/>
          </w:tcPr>
          <w:p>
            <w:pPr>
              <w:ind w:left="280"/>
              <w:spacing w:after="0"/>
              <w:rPr>
                <w:sz w:val="20"/>
                <w:szCs w:val="20"/>
                <w:color w:val="auto"/>
              </w:rPr>
            </w:pPr>
            <w:r>
              <w:rPr>
                <w:rFonts w:ascii="Arial" w:cs="Arial" w:eastAsia="Arial" w:hAnsi="Arial"/>
                <w:sz w:val="18"/>
                <w:szCs w:val="18"/>
                <w:color w:val="auto"/>
              </w:rPr>
              <w:t>Reinstatement</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4.04</w:t>
            </w:r>
          </w:p>
        </w:tc>
        <w:tc>
          <w:tcPr>
            <w:tcW w:w="3960" w:type="dxa"/>
            <w:vAlign w:val="bottom"/>
          </w:tcPr>
          <w:p>
            <w:pPr>
              <w:ind w:left="280"/>
              <w:spacing w:after="0"/>
              <w:rPr>
                <w:sz w:val="20"/>
                <w:szCs w:val="20"/>
                <w:color w:val="auto"/>
              </w:rPr>
            </w:pPr>
            <w:r>
              <w:rPr>
                <w:rFonts w:ascii="Arial" w:cs="Arial" w:eastAsia="Arial" w:hAnsi="Arial"/>
                <w:sz w:val="18"/>
                <w:szCs w:val="18"/>
                <w:color w:val="auto"/>
              </w:rPr>
              <w:t>Certain Additional Waivers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4.05</w:t>
            </w:r>
          </w:p>
        </w:tc>
        <w:tc>
          <w:tcPr>
            <w:tcW w:w="3960" w:type="dxa"/>
            <w:vAlign w:val="bottom"/>
          </w:tcPr>
          <w:p>
            <w:pPr>
              <w:ind w:left="280"/>
              <w:spacing w:after="0"/>
              <w:rPr>
                <w:sz w:val="20"/>
                <w:szCs w:val="20"/>
                <w:color w:val="auto"/>
              </w:rPr>
            </w:pPr>
            <w:r>
              <w:rPr>
                <w:rFonts w:ascii="Arial" w:cs="Arial" w:eastAsia="Arial" w:hAnsi="Arial"/>
                <w:sz w:val="18"/>
                <w:szCs w:val="18"/>
                <w:color w:val="auto"/>
              </w:rPr>
              <w:t>Remedies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4.06</w:t>
            </w:r>
          </w:p>
        </w:tc>
        <w:tc>
          <w:tcPr>
            <w:tcW w:w="3960" w:type="dxa"/>
            <w:vAlign w:val="bottom"/>
          </w:tcPr>
          <w:p>
            <w:pPr>
              <w:ind w:left="280"/>
              <w:spacing w:after="0"/>
              <w:rPr>
                <w:sz w:val="20"/>
                <w:szCs w:val="20"/>
                <w:color w:val="auto"/>
              </w:rPr>
            </w:pPr>
            <w:r>
              <w:rPr>
                <w:rFonts w:ascii="Arial" w:cs="Arial" w:eastAsia="Arial" w:hAnsi="Arial"/>
                <w:sz w:val="18"/>
                <w:szCs w:val="18"/>
                <w:color w:val="auto"/>
              </w:rPr>
              <w:t>Rights of Contribution</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4.07</w:t>
            </w:r>
          </w:p>
        </w:tc>
        <w:tc>
          <w:tcPr>
            <w:tcW w:w="3960" w:type="dxa"/>
            <w:vAlign w:val="bottom"/>
          </w:tcPr>
          <w:p>
            <w:pPr>
              <w:ind w:left="280"/>
              <w:spacing w:after="0"/>
              <w:rPr>
                <w:sz w:val="20"/>
                <w:szCs w:val="20"/>
                <w:color w:val="auto"/>
              </w:rPr>
            </w:pPr>
            <w:r>
              <w:rPr>
                <w:rFonts w:ascii="Arial" w:cs="Arial" w:eastAsia="Arial" w:hAnsi="Arial"/>
                <w:sz w:val="18"/>
                <w:szCs w:val="18"/>
                <w:color w:val="auto"/>
                <w:w w:val="99"/>
              </w:rPr>
              <w:t>Guarantee of Payment; Continuing Guarantee</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w w:val="96"/>
              </w:rPr>
              <w:t>ARTICLE V CONDITIONS PRECEDENT TO BORROWINGS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5.01</w:t>
            </w:r>
          </w:p>
        </w:tc>
        <w:tc>
          <w:tcPr>
            <w:tcW w:w="3960" w:type="dxa"/>
            <w:vAlign w:val="bottom"/>
          </w:tcPr>
          <w:p>
            <w:pPr>
              <w:ind w:left="280"/>
              <w:spacing w:after="0"/>
              <w:rPr>
                <w:sz w:val="20"/>
                <w:szCs w:val="20"/>
                <w:color w:val="auto"/>
              </w:rPr>
            </w:pPr>
            <w:r>
              <w:rPr>
                <w:rFonts w:ascii="Arial" w:cs="Arial" w:eastAsia="Arial" w:hAnsi="Arial"/>
                <w:sz w:val="18"/>
                <w:szCs w:val="18"/>
                <w:color w:val="auto"/>
              </w:rPr>
              <w:t>Condition to Effectiveness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5.02</w:t>
            </w:r>
          </w:p>
        </w:tc>
        <w:tc>
          <w:tcPr>
            <w:tcW w:w="3960" w:type="dxa"/>
            <w:vAlign w:val="bottom"/>
          </w:tcPr>
          <w:p>
            <w:pPr>
              <w:ind w:left="280"/>
              <w:spacing w:after="0"/>
              <w:rPr>
                <w:sz w:val="20"/>
                <w:szCs w:val="20"/>
                <w:color w:val="auto"/>
              </w:rPr>
            </w:pPr>
            <w:r>
              <w:rPr>
                <w:rFonts w:ascii="Arial" w:cs="Arial" w:eastAsia="Arial" w:hAnsi="Arial"/>
                <w:sz w:val="18"/>
                <w:szCs w:val="18"/>
                <w:color w:val="auto"/>
              </w:rPr>
              <w:t>Conditions to Initial Extensions of Credit</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5.03</w:t>
            </w:r>
          </w:p>
        </w:tc>
        <w:tc>
          <w:tcPr>
            <w:tcW w:w="3960" w:type="dxa"/>
            <w:vAlign w:val="bottom"/>
          </w:tcPr>
          <w:p>
            <w:pPr>
              <w:ind w:left="280"/>
              <w:spacing w:after="0"/>
              <w:rPr>
                <w:sz w:val="20"/>
                <w:szCs w:val="20"/>
                <w:color w:val="auto"/>
              </w:rPr>
            </w:pPr>
            <w:r>
              <w:rPr>
                <w:rFonts w:ascii="Arial" w:cs="Arial" w:eastAsia="Arial" w:hAnsi="Arial"/>
                <w:sz w:val="18"/>
                <w:szCs w:val="18"/>
                <w:color w:val="auto"/>
              </w:rPr>
              <w:t>Conditions to all Borrowings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32"/>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6.01</w:t>
            </w:r>
          </w:p>
        </w:tc>
        <w:tc>
          <w:tcPr>
            <w:tcW w:w="3960" w:type="dxa"/>
            <w:vAlign w:val="bottom"/>
          </w:tcPr>
          <w:p>
            <w:pPr>
              <w:ind w:left="280"/>
              <w:spacing w:after="0"/>
              <w:rPr>
                <w:sz w:val="20"/>
                <w:szCs w:val="20"/>
                <w:color w:val="auto"/>
              </w:rPr>
            </w:pPr>
            <w:r>
              <w:rPr>
                <w:rFonts w:ascii="Arial" w:cs="Arial" w:eastAsia="Arial" w:hAnsi="Arial"/>
                <w:sz w:val="18"/>
                <w:szCs w:val="18"/>
                <w:color w:val="auto"/>
              </w:rPr>
              <w:t>Existence, Qualification and Power</w:t>
            </w:r>
          </w:p>
        </w:tc>
        <w:tc>
          <w:tcPr>
            <w:tcW w:w="670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8" w:name="page39"/>
    <w:bookmarkEnd w:id="3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6.02</w:t>
            </w:r>
          </w:p>
        </w:tc>
        <w:tc>
          <w:tcPr>
            <w:tcW w:w="9460" w:type="dxa"/>
            <w:vAlign w:val="bottom"/>
          </w:tcPr>
          <w:p>
            <w:pPr>
              <w:ind w:left="280"/>
              <w:spacing w:after="0"/>
              <w:rPr>
                <w:sz w:val="20"/>
                <w:szCs w:val="20"/>
                <w:color w:val="auto"/>
              </w:rPr>
            </w:pPr>
            <w:r>
              <w:rPr>
                <w:rFonts w:ascii="Arial" w:cs="Arial" w:eastAsia="Arial" w:hAnsi="Arial"/>
                <w:sz w:val="18"/>
                <w:szCs w:val="18"/>
                <w:color w:val="auto"/>
              </w:rPr>
              <w:t>Authorization; No Contravention</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6.03</w:t>
            </w:r>
          </w:p>
        </w:tc>
        <w:tc>
          <w:tcPr>
            <w:tcW w:w="9460" w:type="dxa"/>
            <w:vAlign w:val="bottom"/>
          </w:tcPr>
          <w:p>
            <w:pPr>
              <w:ind w:left="280"/>
              <w:spacing w:after="0"/>
              <w:rPr>
                <w:sz w:val="20"/>
                <w:szCs w:val="20"/>
                <w:color w:val="auto"/>
              </w:rPr>
            </w:pPr>
            <w:r>
              <w:rPr>
                <w:rFonts w:ascii="Arial" w:cs="Arial" w:eastAsia="Arial" w:hAnsi="Arial"/>
                <w:sz w:val="18"/>
                <w:szCs w:val="18"/>
                <w:color w:val="auto"/>
              </w:rPr>
              <w:t>Governmental Authorization; Other Consents</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6.04</w:t>
            </w:r>
          </w:p>
        </w:tc>
        <w:tc>
          <w:tcPr>
            <w:tcW w:w="9460" w:type="dxa"/>
            <w:vAlign w:val="bottom"/>
          </w:tcPr>
          <w:p>
            <w:pPr>
              <w:ind w:left="280"/>
              <w:spacing w:after="0"/>
              <w:rPr>
                <w:sz w:val="20"/>
                <w:szCs w:val="20"/>
                <w:color w:val="auto"/>
              </w:rPr>
            </w:pPr>
            <w:r>
              <w:rPr>
                <w:rFonts w:ascii="Arial" w:cs="Arial" w:eastAsia="Arial" w:hAnsi="Arial"/>
                <w:sz w:val="18"/>
                <w:szCs w:val="18"/>
                <w:color w:val="auto"/>
              </w:rPr>
              <w:t>Binding Effect</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6.05</w:t>
            </w:r>
          </w:p>
        </w:tc>
        <w:tc>
          <w:tcPr>
            <w:tcW w:w="9460" w:type="dxa"/>
            <w:vAlign w:val="bottom"/>
          </w:tcPr>
          <w:p>
            <w:pPr>
              <w:ind w:left="280"/>
              <w:spacing w:after="0"/>
              <w:rPr>
                <w:sz w:val="20"/>
                <w:szCs w:val="20"/>
                <w:color w:val="auto"/>
              </w:rPr>
            </w:pPr>
            <w:r>
              <w:rPr>
                <w:rFonts w:ascii="Arial" w:cs="Arial" w:eastAsia="Arial" w:hAnsi="Arial"/>
                <w:sz w:val="18"/>
                <w:szCs w:val="18"/>
                <w:color w:val="auto"/>
              </w:rPr>
              <w:t>Financial Statements; No Material Adverse Effect</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6.06</w:t>
            </w:r>
          </w:p>
        </w:tc>
        <w:tc>
          <w:tcPr>
            <w:tcW w:w="9460" w:type="dxa"/>
            <w:vAlign w:val="bottom"/>
          </w:tcPr>
          <w:p>
            <w:pPr>
              <w:ind w:left="280"/>
              <w:spacing w:after="0"/>
              <w:rPr>
                <w:sz w:val="20"/>
                <w:szCs w:val="20"/>
                <w:color w:val="auto"/>
              </w:rPr>
            </w:pPr>
            <w:r>
              <w:rPr>
                <w:rFonts w:ascii="Arial" w:cs="Arial" w:eastAsia="Arial" w:hAnsi="Arial"/>
                <w:sz w:val="18"/>
                <w:szCs w:val="18"/>
                <w:color w:val="auto"/>
              </w:rPr>
              <w:t>Litigation</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6.07</w:t>
            </w:r>
          </w:p>
        </w:tc>
        <w:tc>
          <w:tcPr>
            <w:tcW w:w="9460" w:type="dxa"/>
            <w:vAlign w:val="bottom"/>
          </w:tcPr>
          <w:p>
            <w:pPr>
              <w:ind w:left="280"/>
              <w:spacing w:after="0"/>
              <w:rPr>
                <w:sz w:val="20"/>
                <w:szCs w:val="20"/>
                <w:color w:val="auto"/>
              </w:rPr>
            </w:pPr>
            <w:r>
              <w:rPr>
                <w:rFonts w:ascii="Arial" w:cs="Arial" w:eastAsia="Arial" w:hAnsi="Arial"/>
                <w:sz w:val="18"/>
                <w:szCs w:val="18"/>
                <w:color w:val="auto"/>
              </w:rPr>
              <w:t>No Default</w:t>
            </w: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780" w:type="dxa"/>
            <w:vAlign w:val="bottom"/>
          </w:tcPr>
          <w:p>
            <w:pPr>
              <w:spacing w:after="0"/>
              <w:rPr>
                <w:sz w:val="24"/>
                <w:szCs w:val="24"/>
                <w:color w:val="auto"/>
              </w:rPr>
            </w:pPr>
          </w:p>
        </w:tc>
        <w:tc>
          <w:tcPr>
            <w:tcW w:w="9460" w:type="dxa"/>
            <w:vAlign w:val="bottom"/>
          </w:tcPr>
          <w:p>
            <w:pPr>
              <w:ind w:left="4900"/>
              <w:spacing w:after="0"/>
              <w:rPr>
                <w:sz w:val="20"/>
                <w:szCs w:val="20"/>
                <w:color w:val="auto"/>
              </w:rPr>
            </w:pPr>
            <w:r>
              <w:rPr>
                <w:rFonts w:ascii="Arial" w:cs="Arial" w:eastAsia="Arial" w:hAnsi="Arial"/>
                <w:sz w:val="18"/>
                <w:szCs w:val="18"/>
                <w:color w:val="auto"/>
              </w:rPr>
              <w:t>i</w:t>
            </w:r>
          </w:p>
        </w:tc>
        <w:tc>
          <w:tcPr>
            <w:tcW w:w="1220" w:type="dxa"/>
            <w:vAlign w:val="bottom"/>
          </w:tcPr>
          <w:p>
            <w:pPr>
              <w:spacing w:after="0"/>
              <w:rPr>
                <w:sz w:val="24"/>
                <w:szCs w:val="24"/>
                <w:color w:val="auto"/>
              </w:rPr>
            </w:pPr>
          </w:p>
        </w:tc>
      </w:tr>
      <w:tr>
        <w:trPr>
          <w:trHeight w:val="132"/>
        </w:trPr>
        <w:tc>
          <w:tcPr>
            <w:tcW w:w="780" w:type="dxa"/>
            <w:vAlign w:val="bottom"/>
            <w:tcBorders>
              <w:bottom w:val="single" w:sz="8" w:color="808080"/>
            </w:tcBorders>
          </w:tcPr>
          <w:p>
            <w:pPr>
              <w:spacing w:after="0"/>
              <w:rPr>
                <w:sz w:val="11"/>
                <w:szCs w:val="11"/>
                <w:color w:val="auto"/>
              </w:rPr>
            </w:pPr>
          </w:p>
        </w:tc>
        <w:tc>
          <w:tcPr>
            <w:tcW w:w="94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r>
      <w:tr>
        <w:trPr>
          <w:trHeight w:val="76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6.08</w:t>
            </w:r>
          </w:p>
        </w:tc>
        <w:tc>
          <w:tcPr>
            <w:tcW w:w="9460" w:type="dxa"/>
            <w:vAlign w:val="bottom"/>
          </w:tcPr>
          <w:p>
            <w:pPr>
              <w:ind w:left="280"/>
              <w:spacing w:after="0"/>
              <w:rPr>
                <w:sz w:val="20"/>
                <w:szCs w:val="20"/>
                <w:color w:val="auto"/>
              </w:rPr>
            </w:pPr>
            <w:r>
              <w:rPr>
                <w:rFonts w:ascii="Arial" w:cs="Arial" w:eastAsia="Arial" w:hAnsi="Arial"/>
                <w:sz w:val="18"/>
                <w:szCs w:val="18"/>
                <w:color w:val="auto"/>
              </w:rPr>
              <w:t>Ownership of Property; Liens</w:t>
            </w: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6.09</w:t>
            </w:r>
          </w:p>
        </w:tc>
        <w:tc>
          <w:tcPr>
            <w:tcW w:w="9460" w:type="dxa"/>
            <w:vAlign w:val="bottom"/>
          </w:tcPr>
          <w:p>
            <w:pPr>
              <w:ind w:left="280"/>
              <w:spacing w:after="0"/>
              <w:rPr>
                <w:sz w:val="20"/>
                <w:szCs w:val="20"/>
                <w:color w:val="auto"/>
              </w:rPr>
            </w:pPr>
            <w:r>
              <w:rPr>
                <w:rFonts w:ascii="Arial" w:cs="Arial" w:eastAsia="Arial" w:hAnsi="Arial"/>
                <w:sz w:val="18"/>
                <w:szCs w:val="18"/>
                <w:color w:val="auto"/>
              </w:rPr>
              <w:t>Environmental Compliance</w:t>
            </w: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6.10</w:t>
            </w:r>
          </w:p>
        </w:tc>
        <w:tc>
          <w:tcPr>
            <w:tcW w:w="9460" w:type="dxa"/>
            <w:vAlign w:val="bottom"/>
          </w:tcPr>
          <w:p>
            <w:pPr>
              <w:ind w:left="280"/>
              <w:spacing w:after="0"/>
              <w:rPr>
                <w:sz w:val="20"/>
                <w:szCs w:val="20"/>
                <w:color w:val="auto"/>
              </w:rPr>
            </w:pPr>
            <w:r>
              <w:rPr>
                <w:rFonts w:ascii="Arial" w:cs="Arial" w:eastAsia="Arial" w:hAnsi="Arial"/>
                <w:sz w:val="18"/>
                <w:szCs w:val="18"/>
                <w:color w:val="auto"/>
              </w:rPr>
              <w:t>Insurance</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6.11</w:t>
            </w:r>
          </w:p>
        </w:tc>
        <w:tc>
          <w:tcPr>
            <w:tcW w:w="9460" w:type="dxa"/>
            <w:vAlign w:val="bottom"/>
          </w:tcPr>
          <w:p>
            <w:pPr>
              <w:ind w:left="280"/>
              <w:spacing w:after="0"/>
              <w:rPr>
                <w:sz w:val="20"/>
                <w:szCs w:val="20"/>
                <w:color w:val="auto"/>
              </w:rPr>
            </w:pPr>
            <w:r>
              <w:rPr>
                <w:rFonts w:ascii="Arial" w:cs="Arial" w:eastAsia="Arial" w:hAnsi="Arial"/>
                <w:sz w:val="18"/>
                <w:szCs w:val="18"/>
                <w:color w:val="auto"/>
              </w:rPr>
              <w:t>Taxes</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6.12</w:t>
            </w:r>
          </w:p>
        </w:tc>
        <w:tc>
          <w:tcPr>
            <w:tcW w:w="9460" w:type="dxa"/>
            <w:vAlign w:val="bottom"/>
          </w:tcPr>
          <w:p>
            <w:pPr>
              <w:ind w:left="280"/>
              <w:spacing w:after="0"/>
              <w:rPr>
                <w:sz w:val="20"/>
                <w:szCs w:val="20"/>
                <w:color w:val="auto"/>
              </w:rPr>
            </w:pPr>
            <w:r>
              <w:rPr>
                <w:rFonts w:ascii="Arial" w:cs="Arial" w:eastAsia="Arial" w:hAnsi="Arial"/>
                <w:sz w:val="18"/>
                <w:szCs w:val="18"/>
                <w:color w:val="auto"/>
              </w:rPr>
              <w:t>ERISA Compliance</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6.13</w:t>
            </w:r>
          </w:p>
        </w:tc>
        <w:tc>
          <w:tcPr>
            <w:tcW w:w="9460" w:type="dxa"/>
            <w:vAlign w:val="bottom"/>
          </w:tcPr>
          <w:p>
            <w:pPr>
              <w:ind w:left="280"/>
              <w:spacing w:after="0"/>
              <w:rPr>
                <w:sz w:val="20"/>
                <w:szCs w:val="20"/>
                <w:color w:val="auto"/>
              </w:rPr>
            </w:pPr>
            <w:r>
              <w:rPr>
                <w:rFonts w:ascii="Arial" w:cs="Arial" w:eastAsia="Arial" w:hAnsi="Arial"/>
                <w:sz w:val="18"/>
                <w:szCs w:val="18"/>
                <w:color w:val="auto"/>
              </w:rPr>
              <w:t>Subsidiaries and Capitalization</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6.14</w:t>
            </w:r>
          </w:p>
        </w:tc>
        <w:tc>
          <w:tcPr>
            <w:tcW w:w="9460" w:type="dxa"/>
            <w:vAlign w:val="bottom"/>
          </w:tcPr>
          <w:p>
            <w:pPr>
              <w:ind w:left="280"/>
              <w:spacing w:after="0"/>
              <w:rPr>
                <w:sz w:val="20"/>
                <w:szCs w:val="20"/>
                <w:color w:val="auto"/>
              </w:rPr>
            </w:pPr>
            <w:r>
              <w:rPr>
                <w:rFonts w:ascii="Arial" w:cs="Arial" w:eastAsia="Arial" w:hAnsi="Arial"/>
                <w:sz w:val="18"/>
                <w:szCs w:val="18"/>
                <w:color w:val="auto"/>
              </w:rPr>
              <w:t>Margin Regulations; Investment Company Act</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6.15</w:t>
            </w:r>
          </w:p>
        </w:tc>
        <w:tc>
          <w:tcPr>
            <w:tcW w:w="9460" w:type="dxa"/>
            <w:vAlign w:val="bottom"/>
          </w:tcPr>
          <w:p>
            <w:pPr>
              <w:ind w:left="280"/>
              <w:spacing w:after="0"/>
              <w:rPr>
                <w:sz w:val="20"/>
                <w:szCs w:val="20"/>
                <w:color w:val="auto"/>
              </w:rPr>
            </w:pPr>
            <w:r>
              <w:rPr>
                <w:rFonts w:ascii="Arial" w:cs="Arial" w:eastAsia="Arial" w:hAnsi="Arial"/>
                <w:sz w:val="18"/>
                <w:szCs w:val="18"/>
                <w:color w:val="auto"/>
              </w:rPr>
              <w:t>Disclosure</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6.16</w:t>
            </w:r>
          </w:p>
        </w:tc>
        <w:tc>
          <w:tcPr>
            <w:tcW w:w="9460" w:type="dxa"/>
            <w:vAlign w:val="bottom"/>
          </w:tcPr>
          <w:p>
            <w:pPr>
              <w:ind w:left="280"/>
              <w:spacing w:after="0"/>
              <w:rPr>
                <w:sz w:val="20"/>
                <w:szCs w:val="20"/>
                <w:color w:val="auto"/>
              </w:rPr>
            </w:pPr>
            <w:r>
              <w:rPr>
                <w:rFonts w:ascii="Arial" w:cs="Arial" w:eastAsia="Arial" w:hAnsi="Arial"/>
                <w:sz w:val="18"/>
                <w:szCs w:val="18"/>
                <w:color w:val="auto"/>
              </w:rPr>
              <w:t>Compliance with Laws</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6.17</w:t>
            </w:r>
          </w:p>
        </w:tc>
        <w:tc>
          <w:tcPr>
            <w:tcW w:w="9460" w:type="dxa"/>
            <w:vAlign w:val="bottom"/>
          </w:tcPr>
          <w:p>
            <w:pPr>
              <w:ind w:left="280"/>
              <w:spacing w:after="0"/>
              <w:rPr>
                <w:sz w:val="20"/>
                <w:szCs w:val="20"/>
                <w:color w:val="auto"/>
              </w:rPr>
            </w:pPr>
            <w:r>
              <w:rPr>
                <w:rFonts w:ascii="Arial" w:cs="Arial" w:eastAsia="Arial" w:hAnsi="Arial"/>
                <w:sz w:val="18"/>
                <w:szCs w:val="18"/>
                <w:color w:val="auto"/>
              </w:rPr>
              <w:t>Intellectual Property; Licenses, Etc.</w:t>
            </w: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6.18</w:t>
            </w:r>
          </w:p>
        </w:tc>
        <w:tc>
          <w:tcPr>
            <w:tcW w:w="9460" w:type="dxa"/>
            <w:vAlign w:val="bottom"/>
          </w:tcPr>
          <w:p>
            <w:pPr>
              <w:ind w:left="280"/>
              <w:spacing w:after="0"/>
              <w:rPr>
                <w:sz w:val="20"/>
                <w:szCs w:val="20"/>
                <w:color w:val="auto"/>
              </w:rPr>
            </w:pPr>
            <w:r>
              <w:rPr>
                <w:rFonts w:ascii="Arial" w:cs="Arial" w:eastAsia="Arial" w:hAnsi="Arial"/>
                <w:sz w:val="18"/>
                <w:szCs w:val="18"/>
                <w:color w:val="auto"/>
              </w:rPr>
              <w:t>Solvency</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6.19</w:t>
            </w:r>
          </w:p>
        </w:tc>
        <w:tc>
          <w:tcPr>
            <w:tcW w:w="9460" w:type="dxa"/>
            <w:vAlign w:val="bottom"/>
          </w:tcPr>
          <w:p>
            <w:pPr>
              <w:ind w:left="280"/>
              <w:spacing w:after="0"/>
              <w:rPr>
                <w:sz w:val="20"/>
                <w:szCs w:val="20"/>
                <w:color w:val="auto"/>
              </w:rPr>
            </w:pPr>
            <w:r>
              <w:rPr>
                <w:rFonts w:ascii="Arial" w:cs="Arial" w:eastAsia="Arial" w:hAnsi="Arial"/>
                <w:sz w:val="18"/>
                <w:szCs w:val="18"/>
                <w:color w:val="auto"/>
              </w:rPr>
              <w:t>Perfection of Security Interests in the Collateral</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6.20</w:t>
            </w:r>
          </w:p>
        </w:tc>
        <w:tc>
          <w:tcPr>
            <w:tcW w:w="9460" w:type="dxa"/>
            <w:vAlign w:val="bottom"/>
          </w:tcPr>
          <w:p>
            <w:pPr>
              <w:ind w:left="280"/>
              <w:spacing w:after="0"/>
              <w:rPr>
                <w:sz w:val="20"/>
                <w:szCs w:val="20"/>
                <w:color w:val="auto"/>
              </w:rPr>
            </w:pPr>
            <w:r>
              <w:rPr>
                <w:rFonts w:ascii="Arial" w:cs="Arial" w:eastAsia="Arial" w:hAnsi="Arial"/>
                <w:sz w:val="18"/>
                <w:szCs w:val="18"/>
                <w:color w:val="auto"/>
              </w:rPr>
              <w:t>Business Locations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6.21</w:t>
            </w:r>
          </w:p>
        </w:tc>
        <w:tc>
          <w:tcPr>
            <w:tcW w:w="9460" w:type="dxa"/>
            <w:vAlign w:val="bottom"/>
          </w:tcPr>
          <w:p>
            <w:pPr>
              <w:ind w:left="280"/>
              <w:spacing w:after="0"/>
              <w:rPr>
                <w:sz w:val="20"/>
                <w:szCs w:val="20"/>
                <w:color w:val="auto"/>
              </w:rPr>
            </w:pPr>
            <w:r>
              <w:rPr>
                <w:rFonts w:ascii="Arial" w:cs="Arial" w:eastAsia="Arial" w:hAnsi="Arial"/>
                <w:sz w:val="18"/>
                <w:szCs w:val="18"/>
                <w:color w:val="auto"/>
              </w:rPr>
              <w:t>Sanctions Concerns; Anti-Corruption Laws; PATRIOT Act</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6.22</w:t>
            </w:r>
          </w:p>
        </w:tc>
        <w:tc>
          <w:tcPr>
            <w:tcW w:w="9460" w:type="dxa"/>
            <w:vAlign w:val="bottom"/>
          </w:tcPr>
          <w:p>
            <w:pPr>
              <w:ind w:left="280"/>
              <w:spacing w:after="0"/>
              <w:rPr>
                <w:sz w:val="20"/>
                <w:szCs w:val="20"/>
                <w:color w:val="auto"/>
              </w:rPr>
            </w:pPr>
            <w:r>
              <w:rPr>
                <w:rFonts w:ascii="Arial" w:cs="Arial" w:eastAsia="Arial" w:hAnsi="Arial"/>
                <w:sz w:val="18"/>
                <w:szCs w:val="18"/>
                <w:color w:val="auto"/>
              </w:rPr>
              <w:t>Material Contracts</w:t>
            </w: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6.23</w:t>
            </w:r>
          </w:p>
        </w:tc>
        <w:tc>
          <w:tcPr>
            <w:tcW w:w="9460" w:type="dxa"/>
            <w:vAlign w:val="bottom"/>
          </w:tcPr>
          <w:p>
            <w:pPr>
              <w:ind w:left="280"/>
              <w:spacing w:after="0"/>
              <w:rPr>
                <w:sz w:val="20"/>
                <w:szCs w:val="20"/>
                <w:color w:val="auto"/>
              </w:rPr>
            </w:pPr>
            <w:r>
              <w:rPr>
                <w:rFonts w:ascii="Arial" w:cs="Arial" w:eastAsia="Arial" w:hAnsi="Arial"/>
                <w:sz w:val="18"/>
                <w:szCs w:val="18"/>
                <w:color w:val="auto"/>
              </w:rPr>
              <w:t>Compliance of Products</w:t>
            </w: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6.24</w:t>
            </w:r>
          </w:p>
        </w:tc>
        <w:tc>
          <w:tcPr>
            <w:tcW w:w="9460" w:type="dxa"/>
            <w:vAlign w:val="bottom"/>
          </w:tcPr>
          <w:p>
            <w:pPr>
              <w:ind w:left="280"/>
              <w:spacing w:after="0"/>
              <w:rPr>
                <w:sz w:val="20"/>
                <w:szCs w:val="20"/>
                <w:color w:val="auto"/>
              </w:rPr>
            </w:pPr>
            <w:r>
              <w:rPr>
                <w:rFonts w:ascii="Arial" w:cs="Arial" w:eastAsia="Arial" w:hAnsi="Arial"/>
                <w:sz w:val="18"/>
                <w:szCs w:val="18"/>
                <w:color w:val="auto"/>
              </w:rPr>
              <w:t>Labor Matters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VII AFFIRMATIVE COVENANTS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7.01</w:t>
            </w:r>
          </w:p>
        </w:tc>
        <w:tc>
          <w:tcPr>
            <w:tcW w:w="9460" w:type="dxa"/>
            <w:vAlign w:val="bottom"/>
          </w:tcPr>
          <w:p>
            <w:pPr>
              <w:ind w:left="280"/>
              <w:spacing w:after="0"/>
              <w:rPr>
                <w:sz w:val="20"/>
                <w:szCs w:val="20"/>
                <w:color w:val="auto"/>
              </w:rPr>
            </w:pPr>
            <w:r>
              <w:rPr>
                <w:rFonts w:ascii="Arial" w:cs="Arial" w:eastAsia="Arial" w:hAnsi="Arial"/>
                <w:sz w:val="18"/>
                <w:szCs w:val="18"/>
                <w:color w:val="auto"/>
              </w:rPr>
              <w:t>Financial Statements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7.02</w:t>
            </w:r>
          </w:p>
        </w:tc>
        <w:tc>
          <w:tcPr>
            <w:tcW w:w="9460" w:type="dxa"/>
            <w:vAlign w:val="bottom"/>
          </w:tcPr>
          <w:p>
            <w:pPr>
              <w:ind w:left="280"/>
              <w:spacing w:after="0"/>
              <w:rPr>
                <w:sz w:val="20"/>
                <w:szCs w:val="20"/>
                <w:color w:val="auto"/>
              </w:rPr>
            </w:pPr>
            <w:r>
              <w:rPr>
                <w:rFonts w:ascii="Arial" w:cs="Arial" w:eastAsia="Arial" w:hAnsi="Arial"/>
                <w:sz w:val="18"/>
                <w:szCs w:val="18"/>
                <w:color w:val="auto"/>
              </w:rPr>
              <w:t>Certificates; Other Information</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7.03</w:t>
            </w:r>
          </w:p>
        </w:tc>
        <w:tc>
          <w:tcPr>
            <w:tcW w:w="9460" w:type="dxa"/>
            <w:vAlign w:val="bottom"/>
          </w:tcPr>
          <w:p>
            <w:pPr>
              <w:ind w:left="280"/>
              <w:spacing w:after="0"/>
              <w:rPr>
                <w:sz w:val="20"/>
                <w:szCs w:val="20"/>
                <w:color w:val="auto"/>
              </w:rPr>
            </w:pPr>
            <w:r>
              <w:rPr>
                <w:rFonts w:ascii="Arial" w:cs="Arial" w:eastAsia="Arial" w:hAnsi="Arial"/>
                <w:sz w:val="18"/>
                <w:szCs w:val="18"/>
                <w:color w:val="auto"/>
              </w:rPr>
              <w:t>Notices</w:t>
            </w: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7.04</w:t>
            </w:r>
          </w:p>
        </w:tc>
        <w:tc>
          <w:tcPr>
            <w:tcW w:w="9460" w:type="dxa"/>
            <w:vAlign w:val="bottom"/>
          </w:tcPr>
          <w:p>
            <w:pPr>
              <w:ind w:left="280"/>
              <w:spacing w:after="0"/>
              <w:rPr>
                <w:sz w:val="20"/>
                <w:szCs w:val="20"/>
                <w:color w:val="auto"/>
              </w:rPr>
            </w:pPr>
            <w:r>
              <w:rPr>
                <w:rFonts w:ascii="Arial" w:cs="Arial" w:eastAsia="Arial" w:hAnsi="Arial"/>
                <w:sz w:val="18"/>
                <w:szCs w:val="18"/>
                <w:color w:val="auto"/>
              </w:rPr>
              <w:t>Payment of Obligations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7.05</w:t>
            </w:r>
          </w:p>
        </w:tc>
        <w:tc>
          <w:tcPr>
            <w:tcW w:w="9460" w:type="dxa"/>
            <w:vAlign w:val="bottom"/>
          </w:tcPr>
          <w:p>
            <w:pPr>
              <w:ind w:left="280"/>
              <w:spacing w:after="0"/>
              <w:rPr>
                <w:sz w:val="20"/>
                <w:szCs w:val="20"/>
                <w:color w:val="auto"/>
              </w:rPr>
            </w:pPr>
            <w:r>
              <w:rPr>
                <w:rFonts w:ascii="Arial" w:cs="Arial" w:eastAsia="Arial" w:hAnsi="Arial"/>
                <w:sz w:val="18"/>
                <w:szCs w:val="18"/>
                <w:color w:val="auto"/>
              </w:rPr>
              <w:t>Preservation of Existence, Etc.</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7.06</w:t>
            </w:r>
          </w:p>
        </w:tc>
        <w:tc>
          <w:tcPr>
            <w:tcW w:w="9460" w:type="dxa"/>
            <w:vAlign w:val="bottom"/>
          </w:tcPr>
          <w:p>
            <w:pPr>
              <w:ind w:left="280"/>
              <w:spacing w:after="0"/>
              <w:rPr>
                <w:sz w:val="20"/>
                <w:szCs w:val="20"/>
                <w:color w:val="auto"/>
              </w:rPr>
            </w:pPr>
            <w:r>
              <w:rPr>
                <w:rFonts w:ascii="Arial" w:cs="Arial" w:eastAsia="Arial" w:hAnsi="Arial"/>
                <w:sz w:val="18"/>
                <w:szCs w:val="18"/>
                <w:color w:val="auto"/>
              </w:rPr>
              <w:t>Maintenance of Properties</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7.07</w:t>
            </w:r>
          </w:p>
        </w:tc>
        <w:tc>
          <w:tcPr>
            <w:tcW w:w="9460" w:type="dxa"/>
            <w:vAlign w:val="bottom"/>
          </w:tcPr>
          <w:p>
            <w:pPr>
              <w:ind w:left="280"/>
              <w:spacing w:after="0"/>
              <w:rPr>
                <w:sz w:val="20"/>
                <w:szCs w:val="20"/>
                <w:color w:val="auto"/>
              </w:rPr>
            </w:pPr>
            <w:r>
              <w:rPr>
                <w:rFonts w:ascii="Arial" w:cs="Arial" w:eastAsia="Arial" w:hAnsi="Arial"/>
                <w:sz w:val="18"/>
                <w:szCs w:val="18"/>
                <w:color w:val="auto"/>
              </w:rPr>
              <w:t>Maintenance of Insurance</w:t>
            </w: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7.08</w:t>
            </w:r>
          </w:p>
        </w:tc>
        <w:tc>
          <w:tcPr>
            <w:tcW w:w="9460" w:type="dxa"/>
            <w:vAlign w:val="bottom"/>
          </w:tcPr>
          <w:p>
            <w:pPr>
              <w:ind w:left="280"/>
              <w:spacing w:after="0"/>
              <w:rPr>
                <w:sz w:val="20"/>
                <w:szCs w:val="20"/>
                <w:color w:val="auto"/>
              </w:rPr>
            </w:pPr>
            <w:r>
              <w:rPr>
                <w:rFonts w:ascii="Arial" w:cs="Arial" w:eastAsia="Arial" w:hAnsi="Arial"/>
                <w:sz w:val="18"/>
                <w:szCs w:val="18"/>
                <w:color w:val="auto"/>
              </w:rPr>
              <w:t>Compliance with Laws</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7.09</w:t>
            </w:r>
          </w:p>
        </w:tc>
        <w:tc>
          <w:tcPr>
            <w:tcW w:w="9460" w:type="dxa"/>
            <w:vAlign w:val="bottom"/>
          </w:tcPr>
          <w:p>
            <w:pPr>
              <w:ind w:left="280"/>
              <w:spacing w:after="0"/>
              <w:rPr>
                <w:sz w:val="20"/>
                <w:szCs w:val="20"/>
                <w:color w:val="auto"/>
              </w:rPr>
            </w:pPr>
            <w:r>
              <w:rPr>
                <w:rFonts w:ascii="Arial" w:cs="Arial" w:eastAsia="Arial" w:hAnsi="Arial"/>
                <w:sz w:val="18"/>
                <w:szCs w:val="18"/>
                <w:color w:val="auto"/>
              </w:rPr>
              <w:t>Books and Records</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7.10</w:t>
            </w:r>
          </w:p>
        </w:tc>
        <w:tc>
          <w:tcPr>
            <w:tcW w:w="9460" w:type="dxa"/>
            <w:vAlign w:val="bottom"/>
          </w:tcPr>
          <w:p>
            <w:pPr>
              <w:ind w:left="280"/>
              <w:spacing w:after="0"/>
              <w:rPr>
                <w:sz w:val="20"/>
                <w:szCs w:val="20"/>
                <w:color w:val="auto"/>
              </w:rPr>
            </w:pPr>
            <w:r>
              <w:rPr>
                <w:rFonts w:ascii="Arial" w:cs="Arial" w:eastAsia="Arial" w:hAnsi="Arial"/>
                <w:sz w:val="18"/>
                <w:szCs w:val="18"/>
                <w:color w:val="auto"/>
              </w:rPr>
              <w:t>Inspection Rights</w:t>
            </w: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7.11</w:t>
            </w:r>
          </w:p>
        </w:tc>
        <w:tc>
          <w:tcPr>
            <w:tcW w:w="9460" w:type="dxa"/>
            <w:vAlign w:val="bottom"/>
          </w:tcPr>
          <w:p>
            <w:pPr>
              <w:ind w:left="280"/>
              <w:spacing w:after="0"/>
              <w:rPr>
                <w:sz w:val="20"/>
                <w:szCs w:val="20"/>
                <w:color w:val="auto"/>
              </w:rPr>
            </w:pPr>
            <w:r>
              <w:rPr>
                <w:rFonts w:ascii="Arial" w:cs="Arial" w:eastAsia="Arial" w:hAnsi="Arial"/>
                <w:sz w:val="18"/>
                <w:szCs w:val="18"/>
                <w:color w:val="auto"/>
              </w:rPr>
              <w:t>Use of Proceeds</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7.12</w:t>
            </w:r>
          </w:p>
        </w:tc>
        <w:tc>
          <w:tcPr>
            <w:tcW w:w="9460" w:type="dxa"/>
            <w:vAlign w:val="bottom"/>
          </w:tcPr>
          <w:p>
            <w:pPr>
              <w:ind w:left="280"/>
              <w:spacing w:after="0"/>
              <w:rPr>
                <w:sz w:val="20"/>
                <w:szCs w:val="20"/>
                <w:color w:val="auto"/>
              </w:rPr>
            </w:pPr>
            <w:r>
              <w:rPr>
                <w:rFonts w:ascii="Arial" w:cs="Arial" w:eastAsia="Arial" w:hAnsi="Arial"/>
                <w:sz w:val="18"/>
                <w:szCs w:val="18"/>
                <w:color w:val="auto"/>
              </w:rPr>
              <w:t>Additional Subsidiaries</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7.13</w:t>
            </w:r>
          </w:p>
        </w:tc>
        <w:tc>
          <w:tcPr>
            <w:tcW w:w="9460" w:type="dxa"/>
            <w:vAlign w:val="bottom"/>
          </w:tcPr>
          <w:p>
            <w:pPr>
              <w:ind w:left="280"/>
              <w:spacing w:after="0"/>
              <w:rPr>
                <w:sz w:val="20"/>
                <w:szCs w:val="20"/>
                <w:color w:val="auto"/>
              </w:rPr>
            </w:pPr>
            <w:r>
              <w:rPr>
                <w:rFonts w:ascii="Arial" w:cs="Arial" w:eastAsia="Arial" w:hAnsi="Arial"/>
                <w:sz w:val="18"/>
                <w:szCs w:val="18"/>
                <w:color w:val="auto"/>
              </w:rPr>
              <w:t>ERISA Compliance</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7.14</w:t>
            </w:r>
          </w:p>
        </w:tc>
        <w:tc>
          <w:tcPr>
            <w:tcW w:w="9460" w:type="dxa"/>
            <w:vAlign w:val="bottom"/>
          </w:tcPr>
          <w:p>
            <w:pPr>
              <w:ind w:left="280"/>
              <w:spacing w:after="0"/>
              <w:rPr>
                <w:sz w:val="20"/>
                <w:szCs w:val="20"/>
                <w:color w:val="auto"/>
              </w:rPr>
            </w:pPr>
            <w:r>
              <w:rPr>
                <w:rFonts w:ascii="Arial" w:cs="Arial" w:eastAsia="Arial" w:hAnsi="Arial"/>
                <w:sz w:val="18"/>
                <w:szCs w:val="18"/>
                <w:color w:val="auto"/>
              </w:rPr>
              <w:t>Pledged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7.15</w:t>
            </w:r>
          </w:p>
        </w:tc>
        <w:tc>
          <w:tcPr>
            <w:tcW w:w="9460" w:type="dxa"/>
            <w:vAlign w:val="bottom"/>
          </w:tcPr>
          <w:p>
            <w:pPr>
              <w:ind w:left="280"/>
              <w:spacing w:after="0"/>
              <w:rPr>
                <w:sz w:val="20"/>
                <w:szCs w:val="20"/>
                <w:color w:val="auto"/>
              </w:rPr>
            </w:pPr>
            <w:r>
              <w:rPr>
                <w:rFonts w:ascii="Arial" w:cs="Arial" w:eastAsia="Arial" w:hAnsi="Arial"/>
                <w:sz w:val="18"/>
                <w:szCs w:val="18"/>
                <w:color w:val="auto"/>
              </w:rPr>
              <w:t>Compliance with Material Contracts</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7.16</w:t>
            </w:r>
          </w:p>
        </w:tc>
        <w:tc>
          <w:tcPr>
            <w:tcW w:w="9460" w:type="dxa"/>
            <w:vAlign w:val="bottom"/>
          </w:tcPr>
          <w:p>
            <w:pPr>
              <w:ind w:left="280"/>
              <w:spacing w:after="0"/>
              <w:rPr>
                <w:sz w:val="20"/>
                <w:szCs w:val="20"/>
                <w:color w:val="auto"/>
              </w:rPr>
            </w:pPr>
            <w:r>
              <w:rPr>
                <w:rFonts w:ascii="Arial" w:cs="Arial" w:eastAsia="Arial" w:hAnsi="Arial"/>
                <w:sz w:val="18"/>
                <w:szCs w:val="18"/>
                <w:color w:val="auto"/>
              </w:rPr>
              <w:t>Products and Required Permits</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7.17</w:t>
            </w:r>
          </w:p>
        </w:tc>
        <w:tc>
          <w:tcPr>
            <w:tcW w:w="9460" w:type="dxa"/>
            <w:vAlign w:val="bottom"/>
          </w:tcPr>
          <w:p>
            <w:pPr>
              <w:ind w:left="280"/>
              <w:spacing w:after="0"/>
              <w:rPr>
                <w:sz w:val="20"/>
                <w:szCs w:val="20"/>
                <w:color w:val="auto"/>
              </w:rPr>
            </w:pPr>
            <w:r>
              <w:rPr>
                <w:rFonts w:ascii="Arial" w:cs="Arial" w:eastAsia="Arial" w:hAnsi="Arial"/>
                <w:sz w:val="18"/>
                <w:szCs w:val="18"/>
                <w:color w:val="auto"/>
              </w:rPr>
              <w:t>Consent of Licensors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7.18</w:t>
            </w:r>
          </w:p>
        </w:tc>
        <w:tc>
          <w:tcPr>
            <w:tcW w:w="9460" w:type="dxa"/>
            <w:vAlign w:val="bottom"/>
          </w:tcPr>
          <w:p>
            <w:pPr>
              <w:ind w:left="280"/>
              <w:spacing w:after="0"/>
              <w:rPr>
                <w:sz w:val="20"/>
                <w:szCs w:val="20"/>
                <w:color w:val="auto"/>
              </w:rPr>
            </w:pPr>
            <w:r>
              <w:rPr>
                <w:rFonts w:ascii="Arial" w:cs="Arial" w:eastAsia="Arial" w:hAnsi="Arial"/>
                <w:sz w:val="18"/>
                <w:szCs w:val="18"/>
                <w:color w:val="auto"/>
              </w:rPr>
              <w:t>Anti-Corruption Laws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7.19</w:t>
            </w:r>
          </w:p>
        </w:tc>
        <w:tc>
          <w:tcPr>
            <w:tcW w:w="9460" w:type="dxa"/>
            <w:vAlign w:val="bottom"/>
          </w:tcPr>
          <w:p>
            <w:pPr>
              <w:ind w:left="280"/>
              <w:spacing w:after="0"/>
              <w:rPr>
                <w:sz w:val="20"/>
                <w:szCs w:val="20"/>
                <w:color w:val="auto"/>
              </w:rPr>
            </w:pPr>
            <w:r>
              <w:rPr>
                <w:rFonts w:ascii="Arial" w:cs="Arial" w:eastAsia="Arial" w:hAnsi="Arial"/>
                <w:sz w:val="18"/>
                <w:szCs w:val="18"/>
                <w:color w:val="auto"/>
              </w:rPr>
              <w:t>Maintenance of IP Rights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7.20</w:t>
            </w:r>
          </w:p>
        </w:tc>
        <w:tc>
          <w:tcPr>
            <w:tcW w:w="9460" w:type="dxa"/>
            <w:vAlign w:val="bottom"/>
          </w:tcPr>
          <w:p>
            <w:pPr>
              <w:ind w:left="280"/>
              <w:spacing w:after="0"/>
              <w:rPr>
                <w:sz w:val="20"/>
                <w:szCs w:val="20"/>
                <w:color w:val="auto"/>
              </w:rPr>
            </w:pPr>
            <w:r>
              <w:rPr>
                <w:rFonts w:ascii="Arial" w:cs="Arial" w:eastAsia="Arial" w:hAnsi="Arial"/>
                <w:sz w:val="18"/>
                <w:szCs w:val="18"/>
                <w:color w:val="auto"/>
              </w:rPr>
              <w:t>Post-Closing Matters</w:t>
            </w: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0240" w:type="dxa"/>
            <w:vAlign w:val="bottom"/>
            <w:gridSpan w:val="2"/>
          </w:tcPr>
          <w:p>
            <w:pPr>
              <w:spacing w:after="0"/>
              <w:rPr>
                <w:sz w:val="20"/>
                <w:szCs w:val="20"/>
                <w:color w:val="auto"/>
              </w:rPr>
            </w:pPr>
            <w:r>
              <w:rPr>
                <w:rFonts w:ascii="Arial" w:cs="Arial" w:eastAsia="Arial" w:hAnsi="Arial"/>
                <w:sz w:val="18"/>
                <w:szCs w:val="18"/>
                <w:color w:val="auto"/>
              </w:rPr>
              <w:t>ARTICLE VIII NEGATIVE COVENANTS</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8.01</w:t>
            </w:r>
          </w:p>
        </w:tc>
        <w:tc>
          <w:tcPr>
            <w:tcW w:w="9460" w:type="dxa"/>
            <w:vAlign w:val="bottom"/>
          </w:tcPr>
          <w:p>
            <w:pPr>
              <w:ind w:left="280"/>
              <w:spacing w:after="0"/>
              <w:rPr>
                <w:sz w:val="20"/>
                <w:szCs w:val="20"/>
                <w:color w:val="auto"/>
              </w:rPr>
            </w:pPr>
            <w:r>
              <w:rPr>
                <w:rFonts w:ascii="Arial" w:cs="Arial" w:eastAsia="Arial" w:hAnsi="Arial"/>
                <w:sz w:val="18"/>
                <w:szCs w:val="18"/>
                <w:color w:val="auto"/>
              </w:rPr>
              <w:t>Liens</w:t>
            </w: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8.02</w:t>
            </w:r>
          </w:p>
        </w:tc>
        <w:tc>
          <w:tcPr>
            <w:tcW w:w="9460" w:type="dxa"/>
            <w:vAlign w:val="bottom"/>
          </w:tcPr>
          <w:p>
            <w:pPr>
              <w:ind w:left="280"/>
              <w:spacing w:after="0"/>
              <w:rPr>
                <w:sz w:val="20"/>
                <w:szCs w:val="20"/>
                <w:color w:val="auto"/>
              </w:rPr>
            </w:pPr>
            <w:r>
              <w:rPr>
                <w:rFonts w:ascii="Arial" w:cs="Arial" w:eastAsia="Arial" w:hAnsi="Arial"/>
                <w:sz w:val="18"/>
                <w:szCs w:val="18"/>
                <w:color w:val="auto"/>
              </w:rPr>
              <w:t>Investments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8.03</w:t>
            </w:r>
          </w:p>
        </w:tc>
        <w:tc>
          <w:tcPr>
            <w:tcW w:w="9460" w:type="dxa"/>
            <w:vAlign w:val="bottom"/>
          </w:tcPr>
          <w:p>
            <w:pPr>
              <w:ind w:left="280"/>
              <w:spacing w:after="0"/>
              <w:rPr>
                <w:sz w:val="20"/>
                <w:szCs w:val="20"/>
                <w:color w:val="auto"/>
              </w:rPr>
            </w:pPr>
            <w:r>
              <w:rPr>
                <w:rFonts w:ascii="Arial" w:cs="Arial" w:eastAsia="Arial" w:hAnsi="Arial"/>
                <w:sz w:val="18"/>
                <w:szCs w:val="18"/>
                <w:color w:val="auto"/>
              </w:rPr>
              <w:t>Indebtedness</w:t>
            </w: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8.04</w:t>
            </w:r>
          </w:p>
        </w:tc>
        <w:tc>
          <w:tcPr>
            <w:tcW w:w="9460" w:type="dxa"/>
            <w:vAlign w:val="bottom"/>
          </w:tcPr>
          <w:p>
            <w:pPr>
              <w:ind w:left="280"/>
              <w:spacing w:after="0"/>
              <w:rPr>
                <w:sz w:val="20"/>
                <w:szCs w:val="20"/>
                <w:color w:val="auto"/>
              </w:rPr>
            </w:pPr>
            <w:r>
              <w:rPr>
                <w:rFonts w:ascii="Arial" w:cs="Arial" w:eastAsia="Arial" w:hAnsi="Arial"/>
                <w:sz w:val="18"/>
                <w:szCs w:val="18"/>
                <w:color w:val="auto"/>
              </w:rPr>
              <w:t>Fundamental Changes</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8.05</w:t>
            </w:r>
          </w:p>
        </w:tc>
        <w:tc>
          <w:tcPr>
            <w:tcW w:w="9460" w:type="dxa"/>
            <w:vAlign w:val="bottom"/>
          </w:tcPr>
          <w:p>
            <w:pPr>
              <w:ind w:left="280"/>
              <w:spacing w:after="0"/>
              <w:rPr>
                <w:sz w:val="20"/>
                <w:szCs w:val="20"/>
                <w:color w:val="auto"/>
              </w:rPr>
            </w:pPr>
            <w:r>
              <w:rPr>
                <w:rFonts w:ascii="Arial" w:cs="Arial" w:eastAsia="Arial" w:hAnsi="Arial"/>
                <w:sz w:val="18"/>
                <w:szCs w:val="18"/>
                <w:color w:val="auto"/>
              </w:rPr>
              <w:t>Dispositions</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8.06</w:t>
            </w:r>
          </w:p>
        </w:tc>
        <w:tc>
          <w:tcPr>
            <w:tcW w:w="9460" w:type="dxa"/>
            <w:vAlign w:val="bottom"/>
          </w:tcPr>
          <w:p>
            <w:pPr>
              <w:ind w:left="280"/>
              <w:spacing w:after="0"/>
              <w:rPr>
                <w:sz w:val="20"/>
                <w:szCs w:val="20"/>
                <w:color w:val="auto"/>
              </w:rPr>
            </w:pPr>
            <w:r>
              <w:rPr>
                <w:rFonts w:ascii="Arial" w:cs="Arial" w:eastAsia="Arial" w:hAnsi="Arial"/>
                <w:sz w:val="18"/>
                <w:szCs w:val="18"/>
                <w:color w:val="auto"/>
              </w:rPr>
              <w:t>Restricted Payments</w:t>
            </w: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8.07</w:t>
            </w:r>
          </w:p>
        </w:tc>
        <w:tc>
          <w:tcPr>
            <w:tcW w:w="9460" w:type="dxa"/>
            <w:vAlign w:val="bottom"/>
          </w:tcPr>
          <w:p>
            <w:pPr>
              <w:ind w:left="280"/>
              <w:spacing w:after="0"/>
              <w:rPr>
                <w:sz w:val="20"/>
                <w:szCs w:val="20"/>
                <w:color w:val="auto"/>
              </w:rPr>
            </w:pPr>
            <w:r>
              <w:rPr>
                <w:rFonts w:ascii="Arial" w:cs="Arial" w:eastAsia="Arial" w:hAnsi="Arial"/>
                <w:sz w:val="18"/>
                <w:szCs w:val="18"/>
                <w:color w:val="auto"/>
              </w:rPr>
              <w:t>Change in Nature of Business</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8.08</w:t>
            </w:r>
          </w:p>
        </w:tc>
        <w:tc>
          <w:tcPr>
            <w:tcW w:w="9460" w:type="dxa"/>
            <w:vAlign w:val="bottom"/>
          </w:tcPr>
          <w:p>
            <w:pPr>
              <w:ind w:left="280"/>
              <w:spacing w:after="0"/>
              <w:rPr>
                <w:sz w:val="20"/>
                <w:szCs w:val="20"/>
                <w:color w:val="auto"/>
              </w:rPr>
            </w:pPr>
            <w:r>
              <w:rPr>
                <w:rFonts w:ascii="Arial" w:cs="Arial" w:eastAsia="Arial" w:hAnsi="Arial"/>
                <w:sz w:val="18"/>
                <w:szCs w:val="18"/>
                <w:color w:val="auto"/>
              </w:rPr>
              <w:t>Transactions with Affiliates and Insiders</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8.09</w:t>
            </w:r>
          </w:p>
        </w:tc>
        <w:tc>
          <w:tcPr>
            <w:tcW w:w="9460" w:type="dxa"/>
            <w:vAlign w:val="bottom"/>
          </w:tcPr>
          <w:p>
            <w:pPr>
              <w:ind w:left="280"/>
              <w:spacing w:after="0"/>
              <w:rPr>
                <w:sz w:val="20"/>
                <w:szCs w:val="20"/>
                <w:color w:val="auto"/>
              </w:rPr>
            </w:pPr>
            <w:r>
              <w:rPr>
                <w:rFonts w:ascii="Arial" w:cs="Arial" w:eastAsia="Arial" w:hAnsi="Arial"/>
                <w:sz w:val="18"/>
                <w:szCs w:val="18"/>
                <w:color w:val="auto"/>
              </w:rPr>
              <w:t>Burdensome Agreements</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8.10</w:t>
            </w:r>
          </w:p>
        </w:tc>
        <w:tc>
          <w:tcPr>
            <w:tcW w:w="9460" w:type="dxa"/>
            <w:vAlign w:val="bottom"/>
          </w:tcPr>
          <w:p>
            <w:pPr>
              <w:ind w:left="280"/>
              <w:spacing w:after="0"/>
              <w:rPr>
                <w:sz w:val="20"/>
                <w:szCs w:val="20"/>
                <w:color w:val="auto"/>
              </w:rPr>
            </w:pPr>
            <w:r>
              <w:rPr>
                <w:rFonts w:ascii="Arial" w:cs="Arial" w:eastAsia="Arial" w:hAnsi="Arial"/>
                <w:sz w:val="18"/>
                <w:szCs w:val="18"/>
                <w:color w:val="auto"/>
              </w:rPr>
              <w:t>Use of Proceeds</w:t>
            </w: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780" w:type="dxa"/>
            <w:vAlign w:val="bottom"/>
          </w:tcPr>
          <w:p>
            <w:pPr>
              <w:spacing w:after="0"/>
              <w:rPr>
                <w:sz w:val="24"/>
                <w:szCs w:val="24"/>
                <w:color w:val="auto"/>
              </w:rPr>
            </w:pPr>
          </w:p>
        </w:tc>
        <w:tc>
          <w:tcPr>
            <w:tcW w:w="9460" w:type="dxa"/>
            <w:vAlign w:val="bottom"/>
          </w:tcPr>
          <w:p>
            <w:pPr>
              <w:ind w:left="4880"/>
              <w:spacing w:after="0"/>
              <w:rPr>
                <w:sz w:val="20"/>
                <w:szCs w:val="20"/>
                <w:color w:val="auto"/>
              </w:rPr>
            </w:pPr>
            <w:r>
              <w:rPr>
                <w:rFonts w:ascii="Arial" w:cs="Arial" w:eastAsia="Arial" w:hAnsi="Arial"/>
                <w:sz w:val="18"/>
                <w:szCs w:val="18"/>
                <w:color w:val="auto"/>
              </w:rPr>
              <w:t>ii</w:t>
            </w:r>
          </w:p>
        </w:tc>
        <w:tc>
          <w:tcPr>
            <w:tcW w:w="1220" w:type="dxa"/>
            <w:vAlign w:val="bottom"/>
          </w:tcPr>
          <w:p>
            <w:pPr>
              <w:spacing w:after="0"/>
              <w:rPr>
                <w:sz w:val="24"/>
                <w:szCs w:val="24"/>
                <w:color w:val="auto"/>
              </w:rPr>
            </w:pPr>
          </w:p>
        </w:tc>
      </w:tr>
      <w:tr>
        <w:trPr>
          <w:trHeight w:val="132"/>
        </w:trPr>
        <w:tc>
          <w:tcPr>
            <w:tcW w:w="780" w:type="dxa"/>
            <w:vAlign w:val="bottom"/>
            <w:tcBorders>
              <w:bottom w:val="single" w:sz="8" w:color="808080"/>
            </w:tcBorders>
          </w:tcPr>
          <w:p>
            <w:pPr>
              <w:spacing w:after="0"/>
              <w:rPr>
                <w:sz w:val="11"/>
                <w:szCs w:val="11"/>
                <w:color w:val="auto"/>
              </w:rPr>
            </w:pPr>
          </w:p>
        </w:tc>
        <w:tc>
          <w:tcPr>
            <w:tcW w:w="94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r>
      <w:tr>
        <w:trPr>
          <w:trHeight w:val="76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8.11</w:t>
            </w:r>
          </w:p>
        </w:tc>
        <w:tc>
          <w:tcPr>
            <w:tcW w:w="9460" w:type="dxa"/>
            <w:vAlign w:val="bottom"/>
          </w:tcPr>
          <w:p>
            <w:pPr>
              <w:ind w:left="280"/>
              <w:spacing w:after="0"/>
              <w:rPr>
                <w:sz w:val="20"/>
                <w:szCs w:val="20"/>
                <w:color w:val="auto"/>
              </w:rPr>
            </w:pPr>
            <w:r>
              <w:rPr>
                <w:rFonts w:ascii="Arial" w:cs="Arial" w:eastAsia="Arial" w:hAnsi="Arial"/>
                <w:sz w:val="18"/>
                <w:szCs w:val="18"/>
                <w:color w:val="auto"/>
              </w:rPr>
              <w:t>Payment of Other Indebtedness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8.12</w:t>
            </w:r>
          </w:p>
        </w:tc>
        <w:tc>
          <w:tcPr>
            <w:tcW w:w="9460" w:type="dxa"/>
            <w:vAlign w:val="bottom"/>
          </w:tcPr>
          <w:p>
            <w:pPr>
              <w:ind w:left="280"/>
              <w:spacing w:after="0"/>
              <w:rPr>
                <w:sz w:val="20"/>
                <w:szCs w:val="20"/>
                <w:color w:val="auto"/>
              </w:rPr>
            </w:pPr>
            <w:r>
              <w:rPr>
                <w:rFonts w:ascii="Arial" w:cs="Arial" w:eastAsia="Arial" w:hAnsi="Arial"/>
                <w:sz w:val="18"/>
                <w:szCs w:val="18"/>
                <w:color w:val="auto"/>
              </w:rPr>
              <w:t>Organization Documents; Fiscal Year; Legal Name, State of Formation and Form of Entity; Certain Amendments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8.13</w:t>
            </w:r>
          </w:p>
        </w:tc>
        <w:tc>
          <w:tcPr>
            <w:tcW w:w="9460" w:type="dxa"/>
            <w:vAlign w:val="bottom"/>
          </w:tcPr>
          <w:p>
            <w:pPr>
              <w:ind w:left="280"/>
              <w:spacing w:after="0"/>
              <w:rPr>
                <w:sz w:val="20"/>
                <w:szCs w:val="20"/>
                <w:color w:val="auto"/>
              </w:rPr>
            </w:pPr>
            <w:r>
              <w:rPr>
                <w:rFonts w:ascii="Arial" w:cs="Arial" w:eastAsia="Arial" w:hAnsi="Arial"/>
                <w:sz w:val="18"/>
                <w:szCs w:val="18"/>
                <w:color w:val="auto"/>
              </w:rPr>
              <w:t>Ownership of Subsidiaries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8.14</w:t>
            </w:r>
          </w:p>
        </w:tc>
        <w:tc>
          <w:tcPr>
            <w:tcW w:w="9460" w:type="dxa"/>
            <w:vAlign w:val="bottom"/>
          </w:tcPr>
          <w:p>
            <w:pPr>
              <w:ind w:left="280"/>
              <w:spacing w:after="0"/>
              <w:rPr>
                <w:sz w:val="20"/>
                <w:szCs w:val="20"/>
                <w:color w:val="auto"/>
              </w:rPr>
            </w:pPr>
            <w:r>
              <w:rPr>
                <w:rFonts w:ascii="Arial" w:cs="Arial" w:eastAsia="Arial" w:hAnsi="Arial"/>
                <w:sz w:val="18"/>
                <w:szCs w:val="18"/>
                <w:color w:val="auto"/>
              </w:rPr>
              <w:t>Sale Leasebacks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8.15</w:t>
            </w:r>
          </w:p>
        </w:tc>
        <w:tc>
          <w:tcPr>
            <w:tcW w:w="9460" w:type="dxa"/>
            <w:vAlign w:val="bottom"/>
          </w:tcPr>
          <w:p>
            <w:pPr>
              <w:ind w:left="280"/>
              <w:spacing w:after="0"/>
              <w:rPr>
                <w:sz w:val="20"/>
                <w:szCs w:val="20"/>
                <w:color w:val="auto"/>
              </w:rPr>
            </w:pPr>
            <w:r>
              <w:rPr>
                <w:rFonts w:ascii="Arial" w:cs="Arial" w:eastAsia="Arial" w:hAnsi="Arial"/>
                <w:sz w:val="18"/>
                <w:szCs w:val="18"/>
                <w:color w:val="auto"/>
              </w:rPr>
              <w:t>Sanctions; Anti-Corruption Laws</w:t>
            </w: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8.16</w:t>
            </w:r>
          </w:p>
        </w:tc>
        <w:tc>
          <w:tcPr>
            <w:tcW w:w="9460" w:type="dxa"/>
            <w:vAlign w:val="bottom"/>
          </w:tcPr>
          <w:p>
            <w:pPr>
              <w:ind w:left="280"/>
              <w:spacing w:after="0"/>
              <w:rPr>
                <w:sz w:val="20"/>
                <w:szCs w:val="20"/>
                <w:color w:val="auto"/>
              </w:rPr>
            </w:pPr>
            <w:r>
              <w:rPr>
                <w:rFonts w:ascii="Arial" w:cs="Arial" w:eastAsia="Arial" w:hAnsi="Arial"/>
                <w:sz w:val="18"/>
                <w:szCs w:val="18"/>
                <w:color w:val="auto"/>
              </w:rPr>
              <w:t>Consolidated Revenues</w:t>
            </w: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80" w:type="dxa"/>
            <w:vAlign w:val="bottom"/>
          </w:tcPr>
          <w:p>
            <w:pPr>
              <w:jc w:val="right"/>
              <w:ind w:right="190"/>
              <w:spacing w:after="0"/>
              <w:rPr>
                <w:sz w:val="20"/>
                <w:szCs w:val="20"/>
                <w:color w:val="auto"/>
              </w:rPr>
            </w:pPr>
            <w:r>
              <w:rPr>
                <w:rFonts w:ascii="Arial" w:cs="Arial" w:eastAsia="Arial" w:hAnsi="Arial"/>
                <w:sz w:val="18"/>
                <w:szCs w:val="18"/>
                <w:color w:val="auto"/>
              </w:rPr>
              <w:t>8.17</w:t>
            </w:r>
          </w:p>
        </w:tc>
        <w:tc>
          <w:tcPr>
            <w:tcW w:w="9460" w:type="dxa"/>
            <w:vAlign w:val="bottom"/>
          </w:tcPr>
          <w:p>
            <w:pPr>
              <w:ind w:left="280"/>
              <w:spacing w:after="0"/>
              <w:rPr>
                <w:sz w:val="20"/>
                <w:szCs w:val="20"/>
                <w:color w:val="auto"/>
              </w:rPr>
            </w:pPr>
            <w:r>
              <w:rPr>
                <w:rFonts w:ascii="Arial" w:cs="Arial" w:eastAsia="Arial" w:hAnsi="Arial"/>
                <w:sz w:val="18"/>
                <w:szCs w:val="18"/>
                <w:color w:val="auto"/>
              </w:rPr>
              <w:t>Liquidity</w:t>
            </w: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-9349105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-9349105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1060" w:type="dxa"/>
            <w:vAlign w:val="bottom"/>
          </w:tcPr>
          <w:p>
            <w:pPr>
              <w:ind w:left="180"/>
              <w:spacing w:after="0"/>
              <w:rPr>
                <w:sz w:val="20"/>
                <w:szCs w:val="20"/>
                <w:color w:val="auto"/>
              </w:rPr>
            </w:pPr>
            <w:r>
              <w:rPr>
                <w:rFonts w:ascii="Arial" w:cs="Arial" w:eastAsia="Arial" w:hAnsi="Arial"/>
                <w:sz w:val="18"/>
                <w:szCs w:val="18"/>
                <w:color w:val="auto"/>
              </w:rPr>
              <w:t>8.18</w:t>
            </w:r>
          </w:p>
        </w:tc>
        <w:tc>
          <w:tcPr>
            <w:tcW w:w="760" w:type="dxa"/>
            <w:vAlign w:val="bottom"/>
          </w:tcPr>
          <w:p>
            <w:pPr>
              <w:spacing w:after="0"/>
              <w:rPr>
                <w:sz w:val="20"/>
                <w:szCs w:val="20"/>
                <w:color w:val="auto"/>
              </w:rPr>
            </w:pPr>
            <w:r>
              <w:rPr>
                <w:rFonts w:ascii="Arial" w:cs="Arial" w:eastAsia="Arial" w:hAnsi="Arial"/>
                <w:sz w:val="18"/>
                <w:szCs w:val="18"/>
                <w:color w:val="auto"/>
                <w:w w:val="99"/>
              </w:rPr>
              <w:t>Accounts</w:t>
            </w:r>
          </w:p>
        </w:tc>
        <w:tc>
          <w:tcPr>
            <w:tcW w:w="694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8760" w:type="dxa"/>
            <w:vAlign w:val="bottom"/>
            <w:gridSpan w:val="3"/>
          </w:tcPr>
          <w:p>
            <w:pPr>
              <w:spacing w:after="0"/>
              <w:rPr>
                <w:sz w:val="20"/>
                <w:szCs w:val="20"/>
                <w:color w:val="auto"/>
              </w:rPr>
            </w:pPr>
            <w:r>
              <w:rPr>
                <w:rFonts w:ascii="Arial" w:cs="Arial" w:eastAsia="Arial" w:hAnsi="Arial"/>
                <w:sz w:val="18"/>
                <w:szCs w:val="18"/>
                <w:color w:val="auto"/>
              </w:rPr>
              <w:t>ARTICLE IX EVENTS OF DEFAULT AND REMEDIES</w:t>
            </w:r>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18"/>
        </w:trPr>
        <w:tc>
          <w:tcPr>
            <w:tcW w:w="1060" w:type="dxa"/>
            <w:vAlign w:val="bottom"/>
          </w:tcPr>
          <w:p>
            <w:pPr>
              <w:ind w:left="180"/>
              <w:spacing w:after="0"/>
              <w:rPr>
                <w:sz w:val="20"/>
                <w:szCs w:val="20"/>
                <w:color w:val="auto"/>
              </w:rPr>
            </w:pPr>
            <w:r>
              <w:rPr>
                <w:rFonts w:ascii="Arial" w:cs="Arial" w:eastAsia="Arial" w:hAnsi="Arial"/>
                <w:sz w:val="18"/>
                <w:szCs w:val="18"/>
                <w:color w:val="auto"/>
              </w:rPr>
              <w:t>9.01</w:t>
            </w:r>
          </w:p>
        </w:tc>
        <w:tc>
          <w:tcPr>
            <w:tcW w:w="7700" w:type="dxa"/>
            <w:vAlign w:val="bottom"/>
            <w:gridSpan w:val="2"/>
          </w:tcPr>
          <w:p>
            <w:pPr>
              <w:spacing w:after="0"/>
              <w:rPr>
                <w:sz w:val="20"/>
                <w:szCs w:val="20"/>
                <w:color w:val="auto"/>
              </w:rPr>
            </w:pPr>
            <w:r>
              <w:rPr>
                <w:rFonts w:ascii="Arial" w:cs="Arial" w:eastAsia="Arial" w:hAnsi="Arial"/>
                <w:sz w:val="18"/>
                <w:szCs w:val="18"/>
                <w:color w:val="auto"/>
              </w:rPr>
              <w:t>Events of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9.02</w:t>
            </w:r>
          </w:p>
        </w:tc>
        <w:tc>
          <w:tcPr>
            <w:tcW w:w="7700" w:type="dxa"/>
            <w:vAlign w:val="bottom"/>
            <w:gridSpan w:val="2"/>
          </w:tcPr>
          <w:p>
            <w:pPr>
              <w:spacing w:after="0"/>
              <w:rPr>
                <w:sz w:val="20"/>
                <w:szCs w:val="20"/>
                <w:color w:val="auto"/>
              </w:rPr>
            </w:pPr>
            <w:r>
              <w:rPr>
                <w:rFonts w:ascii="Arial" w:cs="Arial" w:eastAsia="Arial" w:hAnsi="Arial"/>
                <w:sz w:val="18"/>
                <w:szCs w:val="18"/>
                <w:color w:val="auto"/>
              </w:rPr>
              <w:t>Remedies Upon Event of Default</w:t>
            </w:r>
          </w:p>
        </w:tc>
        <w:tc>
          <w:tcPr>
            <w:tcW w:w="2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060" w:type="dxa"/>
            <w:vAlign w:val="bottom"/>
          </w:tcPr>
          <w:p>
            <w:pPr>
              <w:ind w:left="180"/>
              <w:spacing w:after="0"/>
              <w:rPr>
                <w:sz w:val="20"/>
                <w:szCs w:val="20"/>
                <w:color w:val="auto"/>
              </w:rPr>
            </w:pPr>
            <w:r>
              <w:rPr>
                <w:rFonts w:ascii="Arial" w:cs="Arial" w:eastAsia="Arial" w:hAnsi="Arial"/>
                <w:sz w:val="18"/>
                <w:szCs w:val="18"/>
                <w:color w:val="auto"/>
              </w:rPr>
              <w:t>9.03</w:t>
            </w:r>
          </w:p>
        </w:tc>
        <w:tc>
          <w:tcPr>
            <w:tcW w:w="7700" w:type="dxa"/>
            <w:vAlign w:val="bottom"/>
            <w:gridSpan w:val="2"/>
          </w:tcPr>
          <w:p>
            <w:pPr>
              <w:spacing w:after="0"/>
              <w:rPr>
                <w:sz w:val="20"/>
                <w:szCs w:val="20"/>
                <w:color w:val="auto"/>
              </w:rPr>
            </w:pPr>
            <w:r>
              <w:rPr>
                <w:rFonts w:ascii="Arial" w:cs="Arial" w:eastAsia="Arial" w:hAnsi="Arial"/>
                <w:sz w:val="18"/>
                <w:szCs w:val="18"/>
                <w:color w:val="auto"/>
              </w:rPr>
              <w:t>Application of Funds</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32"/>
        </w:trPr>
        <w:tc>
          <w:tcPr>
            <w:tcW w:w="8760" w:type="dxa"/>
            <w:vAlign w:val="bottom"/>
            <w:gridSpan w:val="3"/>
          </w:tcPr>
          <w:p>
            <w:pPr>
              <w:spacing w:after="0"/>
              <w:rPr>
                <w:sz w:val="20"/>
                <w:szCs w:val="20"/>
                <w:color w:val="auto"/>
              </w:rPr>
            </w:pPr>
            <w:r>
              <w:rPr>
                <w:rFonts w:ascii="Arial" w:cs="Arial" w:eastAsia="Arial" w:hAnsi="Arial"/>
                <w:sz w:val="18"/>
                <w:szCs w:val="18"/>
                <w:color w:val="auto"/>
              </w:rPr>
              <w:t>ARTICLE X ADMINISTRATIVE AGENT</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1060" w:type="dxa"/>
            <w:vAlign w:val="bottom"/>
          </w:tcPr>
          <w:p>
            <w:pPr>
              <w:ind w:left="180"/>
              <w:spacing w:after="0"/>
              <w:rPr>
                <w:sz w:val="20"/>
                <w:szCs w:val="20"/>
                <w:color w:val="auto"/>
              </w:rPr>
            </w:pPr>
            <w:r>
              <w:rPr>
                <w:rFonts w:ascii="Arial" w:cs="Arial" w:eastAsia="Arial" w:hAnsi="Arial"/>
                <w:sz w:val="18"/>
                <w:szCs w:val="18"/>
                <w:color w:val="auto"/>
              </w:rPr>
              <w:t>10.01</w:t>
            </w:r>
          </w:p>
        </w:tc>
        <w:tc>
          <w:tcPr>
            <w:tcW w:w="7700" w:type="dxa"/>
            <w:vAlign w:val="bottom"/>
            <w:gridSpan w:val="2"/>
          </w:tcPr>
          <w:p>
            <w:pPr>
              <w:spacing w:after="0"/>
              <w:rPr>
                <w:sz w:val="20"/>
                <w:szCs w:val="20"/>
                <w:color w:val="auto"/>
              </w:rPr>
            </w:pPr>
            <w:r>
              <w:rPr>
                <w:rFonts w:ascii="Arial" w:cs="Arial" w:eastAsia="Arial" w:hAnsi="Arial"/>
                <w:sz w:val="18"/>
                <w:szCs w:val="18"/>
                <w:color w:val="auto"/>
              </w:rPr>
              <w:t>Appointment and Authority</w:t>
            </w:r>
          </w:p>
        </w:tc>
        <w:tc>
          <w:tcPr>
            <w:tcW w:w="27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10.02</w:t>
            </w:r>
          </w:p>
        </w:tc>
        <w:tc>
          <w:tcPr>
            <w:tcW w:w="7700" w:type="dxa"/>
            <w:vAlign w:val="bottom"/>
            <w:gridSpan w:val="2"/>
          </w:tcPr>
          <w:p>
            <w:pPr>
              <w:spacing w:after="0"/>
              <w:rPr>
                <w:sz w:val="20"/>
                <w:szCs w:val="20"/>
                <w:color w:val="auto"/>
              </w:rPr>
            </w:pPr>
            <w:r>
              <w:rPr>
                <w:rFonts w:ascii="Arial" w:cs="Arial" w:eastAsia="Arial" w:hAnsi="Arial"/>
                <w:sz w:val="18"/>
                <w:szCs w:val="18"/>
                <w:color w:val="auto"/>
              </w:rPr>
              <w:t>Rights as a Lender</w:t>
            </w: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10.03</w:t>
            </w:r>
          </w:p>
        </w:tc>
        <w:tc>
          <w:tcPr>
            <w:tcW w:w="7700" w:type="dxa"/>
            <w:vAlign w:val="bottom"/>
            <w:gridSpan w:val="2"/>
          </w:tcPr>
          <w:p>
            <w:pPr>
              <w:spacing w:after="0"/>
              <w:rPr>
                <w:sz w:val="20"/>
                <w:szCs w:val="20"/>
                <w:color w:val="auto"/>
              </w:rPr>
            </w:pPr>
            <w:r>
              <w:rPr>
                <w:rFonts w:ascii="Arial" w:cs="Arial" w:eastAsia="Arial" w:hAnsi="Arial"/>
                <w:sz w:val="18"/>
                <w:szCs w:val="18"/>
                <w:color w:val="auto"/>
              </w:rPr>
              <w:t>Exculpatory Provisions</w:t>
            </w:r>
          </w:p>
        </w:tc>
        <w:tc>
          <w:tcPr>
            <w:tcW w:w="27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10.04</w:t>
            </w:r>
          </w:p>
        </w:tc>
        <w:tc>
          <w:tcPr>
            <w:tcW w:w="7700" w:type="dxa"/>
            <w:vAlign w:val="bottom"/>
            <w:gridSpan w:val="2"/>
          </w:tcPr>
          <w:p>
            <w:pPr>
              <w:spacing w:after="0"/>
              <w:rPr>
                <w:sz w:val="20"/>
                <w:szCs w:val="20"/>
                <w:color w:val="auto"/>
              </w:rPr>
            </w:pPr>
            <w:r>
              <w:rPr>
                <w:rFonts w:ascii="Arial" w:cs="Arial" w:eastAsia="Arial" w:hAnsi="Arial"/>
                <w:sz w:val="18"/>
                <w:szCs w:val="18"/>
                <w:color w:val="auto"/>
              </w:rPr>
              <w:t>Reliance by Administrative Agent</w:t>
            </w:r>
          </w:p>
        </w:tc>
        <w:tc>
          <w:tcPr>
            <w:tcW w:w="27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10.05</w:t>
            </w:r>
          </w:p>
        </w:tc>
        <w:tc>
          <w:tcPr>
            <w:tcW w:w="7700" w:type="dxa"/>
            <w:vAlign w:val="bottom"/>
            <w:gridSpan w:val="2"/>
          </w:tcPr>
          <w:p>
            <w:pPr>
              <w:spacing w:after="0"/>
              <w:rPr>
                <w:sz w:val="20"/>
                <w:szCs w:val="20"/>
                <w:color w:val="auto"/>
              </w:rPr>
            </w:pPr>
            <w:r>
              <w:rPr>
                <w:rFonts w:ascii="Arial" w:cs="Arial" w:eastAsia="Arial" w:hAnsi="Arial"/>
                <w:sz w:val="18"/>
                <w:szCs w:val="18"/>
                <w:color w:val="auto"/>
              </w:rPr>
              <w:t>Delegation of Duties</w:t>
            </w:r>
          </w:p>
        </w:tc>
        <w:tc>
          <w:tcPr>
            <w:tcW w:w="27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10.06</w:t>
            </w:r>
          </w:p>
        </w:tc>
        <w:tc>
          <w:tcPr>
            <w:tcW w:w="7700" w:type="dxa"/>
            <w:vAlign w:val="bottom"/>
            <w:gridSpan w:val="2"/>
          </w:tcPr>
          <w:p>
            <w:pPr>
              <w:spacing w:after="0"/>
              <w:rPr>
                <w:sz w:val="20"/>
                <w:szCs w:val="20"/>
                <w:color w:val="auto"/>
              </w:rPr>
            </w:pPr>
            <w:r>
              <w:rPr>
                <w:rFonts w:ascii="Arial" w:cs="Arial" w:eastAsia="Arial" w:hAnsi="Arial"/>
                <w:sz w:val="18"/>
                <w:szCs w:val="18"/>
                <w:color w:val="auto"/>
              </w:rPr>
              <w:t>Resignation of Administrative Agent</w:t>
            </w:r>
          </w:p>
        </w:tc>
        <w:tc>
          <w:tcPr>
            <w:tcW w:w="27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10.07</w:t>
            </w:r>
          </w:p>
        </w:tc>
        <w:tc>
          <w:tcPr>
            <w:tcW w:w="7700" w:type="dxa"/>
            <w:vAlign w:val="bottom"/>
            <w:gridSpan w:val="2"/>
          </w:tcPr>
          <w:p>
            <w:pPr>
              <w:spacing w:after="0"/>
              <w:rPr>
                <w:sz w:val="20"/>
                <w:szCs w:val="20"/>
                <w:color w:val="auto"/>
              </w:rPr>
            </w:pPr>
            <w:r>
              <w:rPr>
                <w:rFonts w:ascii="Arial" w:cs="Arial" w:eastAsia="Arial" w:hAnsi="Arial"/>
                <w:sz w:val="18"/>
                <w:szCs w:val="18"/>
                <w:color w:val="auto"/>
              </w:rPr>
              <w:t>Non-Reliance on Administrative Agent and Other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10.08</w:t>
            </w:r>
          </w:p>
        </w:tc>
        <w:tc>
          <w:tcPr>
            <w:tcW w:w="7700" w:type="dxa"/>
            <w:vAlign w:val="bottom"/>
            <w:gridSpan w:val="2"/>
          </w:tcPr>
          <w:p>
            <w:pPr>
              <w:spacing w:after="0"/>
              <w:rPr>
                <w:sz w:val="20"/>
                <w:szCs w:val="20"/>
                <w:color w:val="auto"/>
              </w:rPr>
            </w:pPr>
            <w:r>
              <w:rPr>
                <w:rFonts w:ascii="Arial" w:cs="Arial" w:eastAsia="Arial" w:hAnsi="Arial"/>
                <w:sz w:val="18"/>
                <w:szCs w:val="18"/>
                <w:color w:val="auto"/>
              </w:rPr>
              <w:t>Administrative Agent May File Proofs of Claim</w:t>
            </w:r>
          </w:p>
        </w:tc>
        <w:tc>
          <w:tcPr>
            <w:tcW w:w="27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060" w:type="dxa"/>
            <w:vAlign w:val="bottom"/>
          </w:tcPr>
          <w:p>
            <w:pPr>
              <w:ind w:left="180"/>
              <w:spacing w:after="0"/>
              <w:rPr>
                <w:sz w:val="20"/>
                <w:szCs w:val="20"/>
                <w:color w:val="auto"/>
              </w:rPr>
            </w:pPr>
            <w:r>
              <w:rPr>
                <w:rFonts w:ascii="Arial" w:cs="Arial" w:eastAsia="Arial" w:hAnsi="Arial"/>
                <w:sz w:val="18"/>
                <w:szCs w:val="18"/>
                <w:color w:val="auto"/>
              </w:rPr>
              <w:t>10.09</w:t>
            </w:r>
          </w:p>
        </w:tc>
        <w:tc>
          <w:tcPr>
            <w:tcW w:w="7700" w:type="dxa"/>
            <w:vAlign w:val="bottom"/>
            <w:gridSpan w:val="2"/>
          </w:tcPr>
          <w:p>
            <w:pPr>
              <w:spacing w:after="0"/>
              <w:rPr>
                <w:sz w:val="20"/>
                <w:szCs w:val="20"/>
                <w:color w:val="auto"/>
              </w:rPr>
            </w:pPr>
            <w:r>
              <w:rPr>
                <w:rFonts w:ascii="Arial" w:cs="Arial" w:eastAsia="Arial" w:hAnsi="Arial"/>
                <w:sz w:val="18"/>
                <w:szCs w:val="18"/>
                <w:color w:val="auto"/>
              </w:rPr>
              <w:t>Collateral and Guaranty Matters</w:t>
            </w:r>
          </w:p>
        </w:tc>
        <w:tc>
          <w:tcPr>
            <w:tcW w:w="27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32"/>
        </w:trPr>
        <w:tc>
          <w:tcPr>
            <w:tcW w:w="8760" w:type="dxa"/>
            <w:vAlign w:val="bottom"/>
            <w:gridSpan w:val="3"/>
          </w:tcPr>
          <w:p>
            <w:pPr>
              <w:spacing w:after="0"/>
              <w:rPr>
                <w:sz w:val="20"/>
                <w:szCs w:val="20"/>
                <w:color w:val="auto"/>
              </w:rPr>
            </w:pPr>
            <w:r>
              <w:rPr>
                <w:rFonts w:ascii="Arial" w:cs="Arial" w:eastAsia="Arial" w:hAnsi="Arial"/>
                <w:sz w:val="18"/>
                <w:szCs w:val="18"/>
                <w:color w:val="auto"/>
              </w:rPr>
              <w:t>ARTICLE XI MISCELLANEOUS</w:t>
            </w:r>
          </w:p>
        </w:tc>
        <w:tc>
          <w:tcPr>
            <w:tcW w:w="27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8"/>
        </w:trPr>
        <w:tc>
          <w:tcPr>
            <w:tcW w:w="1060" w:type="dxa"/>
            <w:vAlign w:val="bottom"/>
          </w:tcPr>
          <w:p>
            <w:pPr>
              <w:ind w:left="180"/>
              <w:spacing w:after="0"/>
              <w:rPr>
                <w:sz w:val="20"/>
                <w:szCs w:val="20"/>
                <w:color w:val="auto"/>
              </w:rPr>
            </w:pPr>
            <w:r>
              <w:rPr>
                <w:rFonts w:ascii="Arial" w:cs="Arial" w:eastAsia="Arial" w:hAnsi="Arial"/>
                <w:sz w:val="18"/>
                <w:szCs w:val="18"/>
                <w:color w:val="auto"/>
              </w:rPr>
              <w:t>11.01</w:t>
            </w:r>
          </w:p>
        </w:tc>
        <w:tc>
          <w:tcPr>
            <w:tcW w:w="7700" w:type="dxa"/>
            <w:vAlign w:val="bottom"/>
            <w:gridSpan w:val="2"/>
          </w:tcPr>
          <w:p>
            <w:pPr>
              <w:spacing w:after="0"/>
              <w:rPr>
                <w:sz w:val="20"/>
                <w:szCs w:val="20"/>
                <w:color w:val="auto"/>
              </w:rPr>
            </w:pPr>
            <w:r>
              <w:rPr>
                <w:rFonts w:ascii="Arial" w:cs="Arial" w:eastAsia="Arial" w:hAnsi="Arial"/>
                <w:sz w:val="18"/>
                <w:szCs w:val="18"/>
                <w:color w:val="auto"/>
              </w:rPr>
              <w:t>Amendments, Etc.</w:t>
            </w:r>
          </w:p>
        </w:tc>
        <w:tc>
          <w:tcPr>
            <w:tcW w:w="27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11.02</w:t>
            </w:r>
          </w:p>
        </w:tc>
        <w:tc>
          <w:tcPr>
            <w:tcW w:w="7700" w:type="dxa"/>
            <w:vAlign w:val="bottom"/>
            <w:gridSpan w:val="2"/>
          </w:tcPr>
          <w:p>
            <w:pPr>
              <w:spacing w:after="0"/>
              <w:rPr>
                <w:sz w:val="20"/>
                <w:szCs w:val="20"/>
                <w:color w:val="auto"/>
              </w:rPr>
            </w:pPr>
            <w:r>
              <w:rPr>
                <w:rFonts w:ascii="Arial" w:cs="Arial" w:eastAsia="Arial" w:hAnsi="Arial"/>
                <w:sz w:val="18"/>
                <w:szCs w:val="18"/>
                <w:color w:val="auto"/>
              </w:rPr>
              <w:t>Notices and Other Communications; Facsimile Copies</w:t>
            </w:r>
          </w:p>
        </w:tc>
        <w:tc>
          <w:tcPr>
            <w:tcW w:w="27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11.03</w:t>
            </w:r>
          </w:p>
        </w:tc>
        <w:tc>
          <w:tcPr>
            <w:tcW w:w="7700" w:type="dxa"/>
            <w:vAlign w:val="bottom"/>
            <w:gridSpan w:val="2"/>
          </w:tcPr>
          <w:p>
            <w:pPr>
              <w:spacing w:after="0"/>
              <w:rPr>
                <w:sz w:val="20"/>
                <w:szCs w:val="20"/>
                <w:color w:val="auto"/>
              </w:rPr>
            </w:pPr>
            <w:r>
              <w:rPr>
                <w:rFonts w:ascii="Arial" w:cs="Arial" w:eastAsia="Arial" w:hAnsi="Arial"/>
                <w:sz w:val="18"/>
                <w:szCs w:val="18"/>
                <w:color w:val="auto"/>
              </w:rPr>
              <w:t>No Waiver; Cumulative Remedies; Enforcement</w:t>
            </w:r>
          </w:p>
        </w:tc>
        <w:tc>
          <w:tcPr>
            <w:tcW w:w="27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11.04</w:t>
            </w:r>
          </w:p>
        </w:tc>
        <w:tc>
          <w:tcPr>
            <w:tcW w:w="7700" w:type="dxa"/>
            <w:vAlign w:val="bottom"/>
            <w:gridSpan w:val="2"/>
          </w:tcPr>
          <w:p>
            <w:pPr>
              <w:spacing w:after="0"/>
              <w:rPr>
                <w:sz w:val="20"/>
                <w:szCs w:val="20"/>
                <w:color w:val="auto"/>
              </w:rPr>
            </w:pPr>
            <w:r>
              <w:rPr>
                <w:rFonts w:ascii="Arial" w:cs="Arial" w:eastAsia="Arial" w:hAnsi="Arial"/>
                <w:sz w:val="18"/>
                <w:szCs w:val="18"/>
                <w:color w:val="auto"/>
              </w:rPr>
              <w:t>Expenses; Indemnity; and Damage Waiver</w:t>
            </w:r>
          </w:p>
        </w:tc>
        <w:tc>
          <w:tcPr>
            <w:tcW w:w="2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11.05</w:t>
            </w:r>
          </w:p>
        </w:tc>
        <w:tc>
          <w:tcPr>
            <w:tcW w:w="7700" w:type="dxa"/>
            <w:vAlign w:val="bottom"/>
            <w:gridSpan w:val="2"/>
          </w:tcPr>
          <w:p>
            <w:pPr>
              <w:spacing w:after="0"/>
              <w:rPr>
                <w:sz w:val="20"/>
                <w:szCs w:val="20"/>
                <w:color w:val="auto"/>
              </w:rPr>
            </w:pPr>
            <w:r>
              <w:rPr>
                <w:rFonts w:ascii="Arial" w:cs="Arial" w:eastAsia="Arial" w:hAnsi="Arial"/>
                <w:sz w:val="18"/>
                <w:szCs w:val="18"/>
                <w:color w:val="auto"/>
              </w:rPr>
              <w:t>Payments Set Aside</w:t>
            </w:r>
          </w:p>
        </w:tc>
        <w:tc>
          <w:tcPr>
            <w:tcW w:w="2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11.06</w:t>
            </w:r>
          </w:p>
        </w:tc>
        <w:tc>
          <w:tcPr>
            <w:tcW w:w="7700" w:type="dxa"/>
            <w:vAlign w:val="bottom"/>
            <w:gridSpan w:val="2"/>
          </w:tcPr>
          <w:p>
            <w:pPr>
              <w:spacing w:after="0"/>
              <w:rPr>
                <w:sz w:val="20"/>
                <w:szCs w:val="20"/>
                <w:color w:val="auto"/>
              </w:rPr>
            </w:pPr>
            <w:r>
              <w:rPr>
                <w:rFonts w:ascii="Arial" w:cs="Arial" w:eastAsia="Arial" w:hAnsi="Arial"/>
                <w:sz w:val="18"/>
                <w:szCs w:val="18"/>
                <w:color w:val="auto"/>
              </w:rPr>
              <w:t>Successors and Assigns</w:t>
            </w:r>
          </w:p>
        </w:tc>
        <w:tc>
          <w:tcPr>
            <w:tcW w:w="27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11.07</w:t>
            </w:r>
          </w:p>
        </w:tc>
        <w:tc>
          <w:tcPr>
            <w:tcW w:w="7700" w:type="dxa"/>
            <w:vAlign w:val="bottom"/>
            <w:gridSpan w:val="2"/>
          </w:tcPr>
          <w:p>
            <w:pPr>
              <w:spacing w:after="0"/>
              <w:rPr>
                <w:sz w:val="20"/>
                <w:szCs w:val="20"/>
                <w:color w:val="auto"/>
              </w:rPr>
            </w:pPr>
            <w:r>
              <w:rPr>
                <w:rFonts w:ascii="Arial" w:cs="Arial" w:eastAsia="Arial" w:hAnsi="Arial"/>
                <w:sz w:val="18"/>
                <w:szCs w:val="18"/>
                <w:color w:val="auto"/>
              </w:rPr>
              <w:t>Treatment of Certain Information; Confidentiality</w:t>
            </w:r>
          </w:p>
        </w:tc>
        <w:tc>
          <w:tcPr>
            <w:tcW w:w="2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11.08</w:t>
            </w:r>
          </w:p>
        </w:tc>
        <w:tc>
          <w:tcPr>
            <w:tcW w:w="760" w:type="dxa"/>
            <w:vAlign w:val="bottom"/>
          </w:tcPr>
          <w:p>
            <w:pPr>
              <w:spacing w:after="0"/>
              <w:rPr>
                <w:sz w:val="20"/>
                <w:szCs w:val="20"/>
                <w:color w:val="auto"/>
              </w:rPr>
            </w:pPr>
            <w:r>
              <w:rPr>
                <w:rFonts w:ascii="Arial" w:cs="Arial" w:eastAsia="Arial" w:hAnsi="Arial"/>
                <w:sz w:val="18"/>
                <w:szCs w:val="18"/>
                <w:color w:val="auto"/>
              </w:rPr>
              <w:t>Set-off</w:t>
            </w:r>
          </w:p>
        </w:tc>
        <w:tc>
          <w:tcPr>
            <w:tcW w:w="694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11.09</w:t>
            </w:r>
          </w:p>
        </w:tc>
        <w:tc>
          <w:tcPr>
            <w:tcW w:w="7700" w:type="dxa"/>
            <w:vAlign w:val="bottom"/>
            <w:gridSpan w:val="2"/>
          </w:tcPr>
          <w:p>
            <w:pPr>
              <w:spacing w:after="0"/>
              <w:rPr>
                <w:sz w:val="20"/>
                <w:szCs w:val="20"/>
                <w:color w:val="auto"/>
              </w:rPr>
            </w:pPr>
            <w:r>
              <w:rPr>
                <w:rFonts w:ascii="Arial" w:cs="Arial" w:eastAsia="Arial" w:hAnsi="Arial"/>
                <w:sz w:val="18"/>
                <w:szCs w:val="18"/>
                <w:color w:val="auto"/>
              </w:rPr>
              <w:t>Interest Rate Limitation</w:t>
            </w:r>
          </w:p>
        </w:tc>
        <w:tc>
          <w:tcPr>
            <w:tcW w:w="27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11.10</w:t>
            </w:r>
          </w:p>
        </w:tc>
        <w:tc>
          <w:tcPr>
            <w:tcW w:w="7700" w:type="dxa"/>
            <w:vAlign w:val="bottom"/>
            <w:gridSpan w:val="2"/>
          </w:tcPr>
          <w:p>
            <w:pPr>
              <w:spacing w:after="0"/>
              <w:rPr>
                <w:sz w:val="20"/>
                <w:szCs w:val="20"/>
                <w:color w:val="auto"/>
              </w:rPr>
            </w:pPr>
            <w:r>
              <w:rPr>
                <w:rFonts w:ascii="Arial" w:cs="Arial" w:eastAsia="Arial" w:hAnsi="Arial"/>
                <w:sz w:val="18"/>
                <w:szCs w:val="18"/>
                <w:color w:val="auto"/>
              </w:rPr>
              <w:t>Counterparts; Integration; Effectiveness</w:t>
            </w:r>
          </w:p>
        </w:tc>
        <w:tc>
          <w:tcPr>
            <w:tcW w:w="27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11.11</w:t>
            </w:r>
          </w:p>
        </w:tc>
        <w:tc>
          <w:tcPr>
            <w:tcW w:w="7700" w:type="dxa"/>
            <w:vAlign w:val="bottom"/>
            <w:gridSpan w:val="2"/>
          </w:tcPr>
          <w:p>
            <w:pPr>
              <w:spacing w:after="0"/>
              <w:rPr>
                <w:sz w:val="20"/>
                <w:szCs w:val="20"/>
                <w:color w:val="auto"/>
              </w:rPr>
            </w:pPr>
            <w:r>
              <w:rPr>
                <w:rFonts w:ascii="Arial" w:cs="Arial" w:eastAsia="Arial" w:hAnsi="Arial"/>
                <w:sz w:val="18"/>
                <w:szCs w:val="18"/>
                <w:color w:val="auto"/>
              </w:rPr>
              <w:t>Survival of Representations and Warranties</w:t>
            </w:r>
          </w:p>
        </w:tc>
        <w:tc>
          <w:tcPr>
            <w:tcW w:w="27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11.12</w:t>
            </w:r>
          </w:p>
        </w:tc>
        <w:tc>
          <w:tcPr>
            <w:tcW w:w="7700" w:type="dxa"/>
            <w:vAlign w:val="bottom"/>
            <w:gridSpan w:val="2"/>
          </w:tcPr>
          <w:p>
            <w:pPr>
              <w:spacing w:after="0"/>
              <w:rPr>
                <w:sz w:val="20"/>
                <w:szCs w:val="20"/>
                <w:color w:val="auto"/>
              </w:rPr>
            </w:pPr>
            <w:r>
              <w:rPr>
                <w:rFonts w:ascii="Arial" w:cs="Arial" w:eastAsia="Arial" w:hAnsi="Arial"/>
                <w:sz w:val="18"/>
                <w:szCs w:val="18"/>
                <w:color w:val="auto"/>
              </w:rPr>
              <w:t>Severability</w:t>
            </w:r>
          </w:p>
        </w:tc>
        <w:tc>
          <w:tcPr>
            <w:tcW w:w="27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11.13</w:t>
            </w:r>
          </w:p>
        </w:tc>
        <w:tc>
          <w:tcPr>
            <w:tcW w:w="7700" w:type="dxa"/>
            <w:vAlign w:val="bottom"/>
            <w:gridSpan w:val="2"/>
          </w:tcPr>
          <w:p>
            <w:pPr>
              <w:spacing w:after="0"/>
              <w:rPr>
                <w:sz w:val="20"/>
                <w:szCs w:val="20"/>
                <w:color w:val="auto"/>
              </w:rPr>
            </w:pPr>
            <w:r>
              <w:rPr>
                <w:rFonts w:ascii="Arial" w:cs="Arial" w:eastAsia="Arial" w:hAnsi="Arial"/>
                <w:sz w:val="18"/>
                <w:szCs w:val="18"/>
                <w:color w:val="auto"/>
              </w:rPr>
              <w:t>Replacement of Lenders</w:t>
            </w:r>
          </w:p>
        </w:tc>
        <w:tc>
          <w:tcPr>
            <w:tcW w:w="27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11.14</w:t>
            </w:r>
          </w:p>
        </w:tc>
        <w:tc>
          <w:tcPr>
            <w:tcW w:w="7700" w:type="dxa"/>
            <w:vAlign w:val="bottom"/>
            <w:gridSpan w:val="2"/>
          </w:tcPr>
          <w:p>
            <w:pPr>
              <w:spacing w:after="0"/>
              <w:rPr>
                <w:sz w:val="20"/>
                <w:szCs w:val="20"/>
                <w:color w:val="auto"/>
              </w:rPr>
            </w:pPr>
            <w:r>
              <w:rPr>
                <w:rFonts w:ascii="Arial" w:cs="Arial" w:eastAsia="Arial" w:hAnsi="Arial"/>
                <w:sz w:val="18"/>
                <w:szCs w:val="18"/>
                <w:color w:val="auto"/>
              </w:rPr>
              <w:t>Governing Law; Jurisdiction; Etc.</w:t>
            </w:r>
          </w:p>
        </w:tc>
        <w:tc>
          <w:tcPr>
            <w:tcW w:w="27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11.15</w:t>
            </w:r>
          </w:p>
        </w:tc>
        <w:tc>
          <w:tcPr>
            <w:tcW w:w="7700" w:type="dxa"/>
            <w:vAlign w:val="bottom"/>
            <w:gridSpan w:val="2"/>
          </w:tcPr>
          <w:p>
            <w:pPr>
              <w:spacing w:after="0"/>
              <w:rPr>
                <w:sz w:val="20"/>
                <w:szCs w:val="20"/>
                <w:color w:val="auto"/>
              </w:rPr>
            </w:pPr>
            <w:r>
              <w:rPr>
                <w:rFonts w:ascii="Arial" w:cs="Arial" w:eastAsia="Arial" w:hAnsi="Arial"/>
                <w:sz w:val="18"/>
                <w:szCs w:val="18"/>
                <w:color w:val="auto"/>
              </w:rPr>
              <w:t>Waiver of Right to Trial by Jury</w:t>
            </w: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11.16</w:t>
            </w:r>
          </w:p>
        </w:tc>
        <w:tc>
          <w:tcPr>
            <w:tcW w:w="7700" w:type="dxa"/>
            <w:vAlign w:val="bottom"/>
            <w:gridSpan w:val="2"/>
          </w:tcPr>
          <w:p>
            <w:pPr>
              <w:spacing w:after="0"/>
              <w:rPr>
                <w:sz w:val="20"/>
                <w:szCs w:val="20"/>
                <w:color w:val="auto"/>
              </w:rPr>
            </w:pPr>
            <w:r>
              <w:rPr>
                <w:rFonts w:ascii="Arial" w:cs="Arial" w:eastAsia="Arial" w:hAnsi="Arial"/>
                <w:sz w:val="18"/>
                <w:szCs w:val="18"/>
                <w:color w:val="auto"/>
              </w:rPr>
              <w:t>Electronic Execution of Assignments and Certain Other Documents</w:t>
            </w: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11.17</w:t>
            </w:r>
          </w:p>
        </w:tc>
        <w:tc>
          <w:tcPr>
            <w:tcW w:w="7700" w:type="dxa"/>
            <w:vAlign w:val="bottom"/>
            <w:gridSpan w:val="2"/>
          </w:tcPr>
          <w:p>
            <w:pPr>
              <w:spacing w:after="0"/>
              <w:rPr>
                <w:sz w:val="20"/>
                <w:szCs w:val="20"/>
                <w:color w:val="auto"/>
              </w:rPr>
            </w:pPr>
            <w:r>
              <w:rPr>
                <w:rFonts w:ascii="Arial" w:cs="Arial" w:eastAsia="Arial" w:hAnsi="Arial"/>
                <w:sz w:val="18"/>
                <w:szCs w:val="18"/>
                <w:color w:val="auto"/>
              </w:rPr>
              <w:t>USA PATRIOT Act</w:t>
            </w: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11.18</w:t>
            </w:r>
          </w:p>
        </w:tc>
        <w:tc>
          <w:tcPr>
            <w:tcW w:w="7700" w:type="dxa"/>
            <w:vAlign w:val="bottom"/>
            <w:gridSpan w:val="2"/>
          </w:tcPr>
          <w:p>
            <w:pPr>
              <w:spacing w:after="0"/>
              <w:rPr>
                <w:sz w:val="20"/>
                <w:szCs w:val="20"/>
                <w:color w:val="auto"/>
              </w:rPr>
            </w:pPr>
            <w:r>
              <w:rPr>
                <w:rFonts w:ascii="Arial" w:cs="Arial" w:eastAsia="Arial" w:hAnsi="Arial"/>
                <w:sz w:val="18"/>
                <w:szCs w:val="18"/>
                <w:color w:val="auto"/>
              </w:rPr>
              <w:t>No Advisory or Fiduciary Relationship</w:t>
            </w:r>
          </w:p>
        </w:tc>
        <w:tc>
          <w:tcPr>
            <w:tcW w:w="27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tcPr>
          <w:p>
            <w:pPr>
              <w:ind w:left="180"/>
              <w:spacing w:after="0"/>
              <w:rPr>
                <w:sz w:val="20"/>
                <w:szCs w:val="20"/>
                <w:color w:val="auto"/>
              </w:rPr>
            </w:pPr>
            <w:r>
              <w:rPr>
                <w:rFonts w:ascii="Arial" w:cs="Arial" w:eastAsia="Arial" w:hAnsi="Arial"/>
                <w:sz w:val="18"/>
                <w:szCs w:val="18"/>
                <w:color w:val="auto"/>
              </w:rPr>
              <w:t>11.19</w:t>
            </w:r>
          </w:p>
        </w:tc>
        <w:tc>
          <w:tcPr>
            <w:tcW w:w="7700" w:type="dxa"/>
            <w:vAlign w:val="bottom"/>
            <w:gridSpan w:val="2"/>
          </w:tcPr>
          <w:p>
            <w:pPr>
              <w:spacing w:after="0"/>
              <w:rPr>
                <w:sz w:val="20"/>
                <w:szCs w:val="20"/>
                <w:color w:val="auto"/>
              </w:rPr>
            </w:pPr>
            <w:r>
              <w:rPr>
                <w:rFonts w:ascii="Arial" w:cs="Arial" w:eastAsia="Arial" w:hAnsi="Arial"/>
                <w:sz w:val="18"/>
                <w:szCs w:val="18"/>
                <w:color w:val="auto"/>
              </w:rPr>
              <w:t>Facility Termination Date</w:t>
            </w:r>
          </w:p>
        </w:tc>
        <w:tc>
          <w:tcPr>
            <w:tcW w:w="27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060" w:type="dxa"/>
            <w:vAlign w:val="bottom"/>
          </w:tcPr>
          <w:p>
            <w:pPr>
              <w:ind w:left="180"/>
              <w:spacing w:after="0"/>
              <w:rPr>
                <w:sz w:val="20"/>
                <w:szCs w:val="20"/>
                <w:color w:val="auto"/>
              </w:rPr>
            </w:pPr>
            <w:r>
              <w:rPr>
                <w:rFonts w:ascii="Arial" w:cs="Arial" w:eastAsia="Arial" w:hAnsi="Arial"/>
                <w:sz w:val="18"/>
                <w:szCs w:val="18"/>
                <w:color w:val="auto"/>
              </w:rPr>
              <w:t>11.20</w:t>
            </w:r>
          </w:p>
        </w:tc>
        <w:tc>
          <w:tcPr>
            <w:tcW w:w="7700" w:type="dxa"/>
            <w:vAlign w:val="bottom"/>
            <w:gridSpan w:val="2"/>
          </w:tcPr>
          <w:p>
            <w:pPr>
              <w:spacing w:after="0"/>
              <w:rPr>
                <w:sz w:val="20"/>
                <w:szCs w:val="20"/>
                <w:color w:val="auto"/>
              </w:rPr>
            </w:pPr>
            <w:r>
              <w:rPr>
                <w:rFonts w:ascii="Arial" w:cs="Arial" w:eastAsia="Arial" w:hAnsi="Arial"/>
                <w:sz w:val="18"/>
                <w:szCs w:val="18"/>
                <w:color w:val="auto"/>
              </w:rPr>
              <w:t>Funding Date</w:t>
            </w:r>
          </w:p>
        </w:tc>
        <w:tc>
          <w:tcPr>
            <w:tcW w:w="27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940" w:type="dxa"/>
            <w:vAlign w:val="bottom"/>
          </w:tcPr>
          <w:p>
            <w:pPr>
              <w:ind w:left="3820"/>
              <w:spacing w:after="0"/>
              <w:rPr>
                <w:sz w:val="20"/>
                <w:szCs w:val="20"/>
                <w:color w:val="auto"/>
              </w:rPr>
            </w:pPr>
            <w:r>
              <w:rPr>
                <w:rFonts w:ascii="Arial" w:cs="Arial" w:eastAsia="Arial" w:hAnsi="Arial"/>
                <w:sz w:val="18"/>
                <w:szCs w:val="18"/>
                <w:color w:val="auto"/>
              </w:rPr>
              <w:t>iii</w:t>
            </w:r>
          </w:p>
        </w:tc>
        <w:tc>
          <w:tcPr>
            <w:tcW w:w="2700" w:type="dxa"/>
            <w:vAlign w:val="bottom"/>
          </w:tcPr>
          <w:p>
            <w:pPr>
              <w:spacing w:after="0"/>
              <w:rPr>
                <w:sz w:val="24"/>
                <w:szCs w:val="24"/>
                <w:color w:val="auto"/>
              </w:rPr>
            </w:pPr>
          </w:p>
        </w:tc>
      </w:tr>
      <w:tr>
        <w:trPr>
          <w:trHeight w:val="132"/>
        </w:trPr>
        <w:tc>
          <w:tcPr>
            <w:tcW w:w="10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94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r>
      <w:tr>
        <w:trPr>
          <w:trHeight w:val="780"/>
        </w:trPr>
        <w:tc>
          <w:tcPr>
            <w:tcW w:w="1060" w:type="dxa"/>
            <w:vAlign w:val="bottom"/>
          </w:tcPr>
          <w:p>
            <w:pPr>
              <w:spacing w:after="0"/>
              <w:rPr>
                <w:sz w:val="20"/>
                <w:szCs w:val="20"/>
                <w:color w:val="auto"/>
              </w:rPr>
            </w:pPr>
            <w:r>
              <w:rPr>
                <w:rFonts w:ascii="Arial" w:cs="Arial" w:eastAsia="Arial" w:hAnsi="Arial"/>
                <w:sz w:val="18"/>
                <w:szCs w:val="18"/>
                <w:color w:val="auto"/>
                <w:w w:val="94"/>
              </w:rPr>
              <w:t>SCHEDULES</w:t>
            </w:r>
          </w:p>
        </w:tc>
        <w:tc>
          <w:tcPr>
            <w:tcW w:w="7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18"/>
        </w:trPr>
        <w:tc>
          <w:tcPr>
            <w:tcW w:w="1060" w:type="dxa"/>
            <w:vAlign w:val="bottom"/>
          </w:tcPr>
          <w:p>
            <w:pPr>
              <w:ind w:left="540"/>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Products</w:t>
            </w:r>
          </w:p>
        </w:tc>
        <w:tc>
          <w:tcPr>
            <w:tcW w:w="2700" w:type="dxa"/>
            <w:vAlign w:val="bottom"/>
          </w:tcPr>
          <w:p>
            <w:pPr>
              <w:spacing w:after="0"/>
              <w:rPr>
                <w:sz w:val="24"/>
                <w:szCs w:val="24"/>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2.01</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Commitments and Applicable Percentages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6.10</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w w:val="87"/>
              </w:rPr>
              <w:t>6.13(a)</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Subsidiaries</w:t>
            </w:r>
          </w:p>
        </w:tc>
        <w:tc>
          <w:tcPr>
            <w:tcW w:w="2700" w:type="dxa"/>
            <w:vAlign w:val="bottom"/>
          </w:tcPr>
          <w:p>
            <w:pPr>
              <w:spacing w:after="0"/>
              <w:rPr>
                <w:sz w:val="18"/>
                <w:szCs w:val="18"/>
                <w:color w:val="auto"/>
              </w:rPr>
            </w:pPr>
          </w:p>
        </w:tc>
      </w:tr>
      <w:tr>
        <w:trPr>
          <w:trHeight w:val="216"/>
        </w:trPr>
        <w:tc>
          <w:tcPr>
            <w:tcW w:w="1820" w:type="dxa"/>
            <w:vAlign w:val="bottom"/>
            <w:gridSpan w:val="2"/>
          </w:tcPr>
          <w:p>
            <w:pPr>
              <w:ind w:left="540"/>
              <w:spacing w:after="0"/>
              <w:rPr>
                <w:sz w:val="20"/>
                <w:szCs w:val="20"/>
                <w:color w:val="auto"/>
              </w:rPr>
            </w:pPr>
            <w:r>
              <w:rPr>
                <w:rFonts w:ascii="Arial" w:cs="Arial" w:eastAsia="Arial" w:hAnsi="Arial"/>
                <w:sz w:val="18"/>
                <w:szCs w:val="18"/>
                <w:color w:val="auto"/>
              </w:rPr>
              <w:t>6.13(b)</w:t>
            </w:r>
          </w:p>
        </w:tc>
        <w:tc>
          <w:tcPr>
            <w:tcW w:w="6940" w:type="dxa"/>
            <w:vAlign w:val="bottom"/>
          </w:tcPr>
          <w:p>
            <w:pPr>
              <w:ind w:left="100"/>
              <w:spacing w:after="0"/>
              <w:rPr>
                <w:sz w:val="20"/>
                <w:szCs w:val="20"/>
                <w:color w:val="auto"/>
              </w:rPr>
            </w:pPr>
            <w:r>
              <w:rPr>
                <w:rFonts w:ascii="Arial" w:cs="Arial" w:eastAsia="Arial" w:hAnsi="Arial"/>
                <w:sz w:val="18"/>
                <w:szCs w:val="18"/>
                <w:color w:val="auto"/>
              </w:rPr>
              <w:t>Capitalization</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6.17</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IP Rights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w w:val="87"/>
              </w:rPr>
              <w:t>6.20(a)</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Locations of Real Property</w:t>
            </w:r>
          </w:p>
        </w:tc>
        <w:tc>
          <w:tcPr>
            <w:tcW w:w="2700" w:type="dxa"/>
            <w:vAlign w:val="bottom"/>
          </w:tcPr>
          <w:p>
            <w:pPr>
              <w:spacing w:after="0"/>
              <w:rPr>
                <w:sz w:val="18"/>
                <w:szCs w:val="18"/>
                <w:color w:val="auto"/>
              </w:rPr>
            </w:pPr>
          </w:p>
        </w:tc>
      </w:tr>
      <w:tr>
        <w:trPr>
          <w:trHeight w:val="216"/>
        </w:trPr>
        <w:tc>
          <w:tcPr>
            <w:tcW w:w="1820" w:type="dxa"/>
            <w:vAlign w:val="bottom"/>
            <w:gridSpan w:val="2"/>
          </w:tcPr>
          <w:p>
            <w:pPr>
              <w:ind w:left="540"/>
              <w:spacing w:after="0"/>
              <w:rPr>
                <w:sz w:val="20"/>
                <w:szCs w:val="20"/>
                <w:color w:val="auto"/>
              </w:rPr>
            </w:pPr>
            <w:r>
              <w:rPr>
                <w:rFonts w:ascii="Arial" w:cs="Arial" w:eastAsia="Arial" w:hAnsi="Arial"/>
                <w:sz w:val="18"/>
                <w:szCs w:val="18"/>
                <w:color w:val="auto"/>
              </w:rPr>
              <w:t>6.20(b)</w:t>
            </w:r>
          </w:p>
        </w:tc>
        <w:tc>
          <w:tcPr>
            <w:tcW w:w="6940" w:type="dxa"/>
            <w:vAlign w:val="bottom"/>
          </w:tcPr>
          <w:p>
            <w:pPr>
              <w:ind w:left="100"/>
              <w:spacing w:after="0"/>
              <w:rPr>
                <w:sz w:val="20"/>
                <w:szCs w:val="20"/>
                <w:color w:val="auto"/>
              </w:rPr>
            </w:pPr>
            <w:r>
              <w:rPr>
                <w:rFonts w:ascii="Arial" w:cs="Arial" w:eastAsia="Arial" w:hAnsi="Arial"/>
                <w:sz w:val="18"/>
                <w:szCs w:val="18"/>
                <w:color w:val="auto"/>
              </w:rPr>
              <w:t>Taxpayer and Organizational Identification Numbers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w w:val="89"/>
              </w:rPr>
              <w:t>6.20(c)</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Changes in Legal Name, State of Organization and Structure</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6.22</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Material Contracts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7.20</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Post-Closing Matters</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8.01</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Liens Existing on the Funding Date</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8.02</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Investments Existing on the Funding Date</w:t>
            </w:r>
          </w:p>
        </w:tc>
        <w:tc>
          <w:tcPr>
            <w:tcW w:w="2700" w:type="dxa"/>
            <w:vAlign w:val="bottom"/>
          </w:tcPr>
          <w:p>
            <w:pPr>
              <w:spacing w:after="0"/>
              <w:rPr>
                <w:sz w:val="18"/>
                <w:szCs w:val="18"/>
                <w:color w:val="auto"/>
              </w:rPr>
            </w:pPr>
          </w:p>
        </w:tc>
      </w:tr>
      <w:tr>
        <w:trPr>
          <w:trHeight w:val="216"/>
        </w:trPr>
        <w:tc>
          <w:tcPr>
            <w:tcW w:w="1060" w:type="dxa"/>
            <w:vAlign w:val="bottom"/>
          </w:tcPr>
          <w:p>
            <w:pPr>
              <w:ind w:left="540"/>
              <w:spacing w:after="0"/>
              <w:rPr>
                <w:sz w:val="20"/>
                <w:szCs w:val="20"/>
                <w:color w:val="auto"/>
              </w:rPr>
            </w:pPr>
            <w:r>
              <w:rPr>
                <w:rFonts w:ascii="Arial" w:cs="Arial" w:eastAsia="Arial" w:hAnsi="Arial"/>
                <w:sz w:val="18"/>
                <w:szCs w:val="18"/>
                <w:color w:val="auto"/>
              </w:rPr>
              <w:t>8.03</w:t>
            </w:r>
          </w:p>
        </w:tc>
        <w:tc>
          <w:tcPr>
            <w:tcW w:w="76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Indebtedness Existing on the Funding Date</w:t>
            </w:r>
          </w:p>
        </w:tc>
        <w:tc>
          <w:tcPr>
            <w:tcW w:w="2700" w:type="dxa"/>
            <w:vAlign w:val="bottom"/>
          </w:tcPr>
          <w:p>
            <w:pPr>
              <w:spacing w:after="0"/>
              <w:rPr>
                <w:sz w:val="18"/>
                <w:szCs w:val="18"/>
                <w:color w:val="auto"/>
              </w:rPr>
            </w:pPr>
          </w:p>
        </w:tc>
      </w:tr>
      <w:tr>
        <w:trPr>
          <w:trHeight w:val="230"/>
        </w:trPr>
        <w:tc>
          <w:tcPr>
            <w:tcW w:w="1060" w:type="dxa"/>
            <w:vAlign w:val="bottom"/>
          </w:tcPr>
          <w:p>
            <w:pPr>
              <w:ind w:left="540"/>
              <w:spacing w:after="0"/>
              <w:rPr>
                <w:sz w:val="20"/>
                <w:szCs w:val="20"/>
                <w:color w:val="auto"/>
              </w:rPr>
            </w:pPr>
            <w:r>
              <w:rPr>
                <w:rFonts w:ascii="Arial" w:cs="Arial" w:eastAsia="Arial" w:hAnsi="Arial"/>
                <w:sz w:val="18"/>
                <w:szCs w:val="18"/>
                <w:color w:val="auto"/>
              </w:rPr>
              <w:t>11.02</w:t>
            </w:r>
          </w:p>
        </w:tc>
        <w:tc>
          <w:tcPr>
            <w:tcW w:w="760" w:type="dxa"/>
            <w:vAlign w:val="bottom"/>
          </w:tcPr>
          <w:p>
            <w:pPr>
              <w:spacing w:after="0"/>
              <w:rPr>
                <w:sz w:val="20"/>
                <w:szCs w:val="20"/>
                <w:color w:val="auto"/>
              </w:rPr>
            </w:pPr>
          </w:p>
        </w:tc>
        <w:tc>
          <w:tcPr>
            <w:tcW w:w="6940" w:type="dxa"/>
            <w:vAlign w:val="bottom"/>
          </w:tcPr>
          <w:p>
            <w:pPr>
              <w:ind w:left="100"/>
              <w:spacing w:after="0"/>
              <w:rPr>
                <w:sz w:val="20"/>
                <w:szCs w:val="20"/>
                <w:color w:val="auto"/>
              </w:rPr>
            </w:pPr>
            <w:r>
              <w:rPr>
                <w:rFonts w:ascii="Arial" w:cs="Arial" w:eastAsia="Arial" w:hAnsi="Arial"/>
                <w:sz w:val="18"/>
                <w:szCs w:val="18"/>
                <w:color w:val="auto"/>
              </w:rPr>
              <w:t>Certain Addresses for Notices</w:t>
            </w:r>
          </w:p>
        </w:tc>
        <w:tc>
          <w:tcPr>
            <w:tcW w:w="2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920" w:hanging="1372"/>
        <w:spacing w:after="0"/>
        <w:tabs>
          <w:tab w:leader="none" w:pos="1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of Loan Notice</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B-1</w:t>
            </w:r>
          </w:p>
        </w:tc>
        <w:tc>
          <w:tcPr>
            <w:tcW w:w="2120" w:type="dxa"/>
            <w:vAlign w:val="bottom"/>
          </w:tcPr>
          <w:p>
            <w:pPr>
              <w:ind w:left="560"/>
              <w:spacing w:after="0"/>
              <w:rPr>
                <w:sz w:val="20"/>
                <w:szCs w:val="20"/>
                <w:color w:val="auto"/>
              </w:rPr>
            </w:pPr>
            <w:r>
              <w:rPr>
                <w:rFonts w:ascii="Arial" w:cs="Arial" w:eastAsia="Arial" w:hAnsi="Arial"/>
                <w:sz w:val="18"/>
                <w:szCs w:val="18"/>
                <w:color w:val="auto"/>
                <w:w w:val="91"/>
              </w:rPr>
              <w:t>Form of Term A Note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B-2</w:t>
            </w:r>
          </w:p>
        </w:tc>
        <w:tc>
          <w:tcPr>
            <w:tcW w:w="2120" w:type="dxa"/>
            <w:vAlign w:val="bottom"/>
          </w:tcPr>
          <w:p>
            <w:pPr>
              <w:ind w:left="560"/>
              <w:spacing w:after="0"/>
              <w:rPr>
                <w:sz w:val="20"/>
                <w:szCs w:val="20"/>
                <w:color w:val="auto"/>
              </w:rPr>
            </w:pPr>
            <w:r>
              <w:rPr>
                <w:rFonts w:ascii="Arial" w:cs="Arial" w:eastAsia="Arial" w:hAnsi="Arial"/>
                <w:sz w:val="18"/>
                <w:szCs w:val="18"/>
                <w:color w:val="auto"/>
                <w:w w:val="91"/>
              </w:rPr>
              <w:t>Form of Term B Note</w:t>
            </w:r>
          </w:p>
        </w:tc>
      </w:tr>
    </w:tbl>
    <w:p>
      <w:pPr>
        <w:ind w:left="1920" w:hanging="1372"/>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of Joinder Agreement</w:t>
      </w:r>
    </w:p>
    <w:p>
      <w:pPr>
        <w:spacing w:after="0" w:line="9" w:lineRule="exact"/>
        <w:rPr>
          <w:sz w:val="20"/>
          <w:szCs w:val="20"/>
          <w:color w:val="auto"/>
        </w:rPr>
      </w:pPr>
    </w:p>
    <w:p>
      <w:pPr>
        <w:ind w:left="1920" w:hanging="1372"/>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of Assignment and Assumption</w:t>
      </w:r>
    </w:p>
    <w:p>
      <w:pPr>
        <w:spacing w:after="0" w:line="9" w:lineRule="exact"/>
        <w:rPr>
          <w:sz w:val="20"/>
          <w:szCs w:val="20"/>
          <w:color w:val="auto"/>
        </w:rPr>
      </w:pPr>
    </w:p>
    <w:p>
      <w:pPr>
        <w:ind w:left="1920" w:hanging="1372"/>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CREDIT AGREEMENT is entered into as of March 25, 2016 among VERACYTE,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(defined herein), the Lenders (defined herein) and VISIUM HEALTHCARE PARTNERS, LP, a Delaware limited partnership, as Administrative Agent.</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Borrower has requested that the Lenders make term loan facilities available to the Borrower, and the Lenders are willing to do so on the terms and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 AND ACCOUNTING TERMS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Defined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Visium Healthcare Partners, LP, in its capacity as administrative agent under any of the Loan Documents, or any successor administrative agent.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with respect to any Lender at any time, (a) in respect of the Term A Facility, with respect to any Term A Lender at any time, the percentage (carried out to the ninth decimal place) of the Term A Facility represented by (i) on or prior to the Funding Date, such Term A Lender’s Term A Commitment at such time and (ii) thereafter, the outstanding principal amount of such Term A Lender’s Term A Loans at such time and</w:t>
      </w:r>
    </w:p>
    <w:p>
      <w:pPr>
        <w:jc w:val="center"/>
        <w:ind w:right="100" w:firstLine="8"/>
        <w:spacing w:after="0" w:line="281"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respect of the Term B Facility, with respect to any Term B Lender at any time, the percentage (carried out to the ninth decimal place) of the Term B Facility represented by (i) at any time during the Availability Period in respect of such Facility, such Term B Lender’s Term B Commitment at such time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thereafter, the outstanding principal amount of such Term B Lender’s Term B Loans at such time. If the Commitments of all of the Lenders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Loans have been terminated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if the Commitments have expired, then the Applicable Percentage of each Lender in respect of the applicable Facility shall be determined based on the Applicable Percentage of such Lender in respect of such Facility most recently in effect, giving effect to any subsequent assignments. The Applicable Percentage of each Lender in respect of each Facility is set forth opposite the name of such Lender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Quarter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8.16(b)(i)(A)</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means, at any time, with respect to any Facility, a Lender that has a Commitment with respect to such Facility or holds a Loan under such Facility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set forth in the definition of “Cash Equivalents”.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11.06(b)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any other form (including electronic documentation generated by MarkitClear or other electronic platform) approved by the Administrative Agent.</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(b) in respect of any Synthetic Lease of any Person,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of any Person, the outstanding principal amount of such financing, after taking into account reserve accounts and making appropriate adjustments, determined by the Administrative Agent in its reasonable judgment.</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December 31, 2015, and the related consolidated statements of income or operations, stockholders’ equity and cash flows for such fiscal year of the Borrower</w:t>
      </w:r>
    </w:p>
    <w:p>
      <w:pPr>
        <w:sectPr>
          <w:pgSz w:w="11900" w:h="16838" w:orient="portrait"/>
          <w:cols w:equalWidth="0" w:num="1">
            <w:col w:w="11380"/>
          </w:cols>
          <w:pgMar w:left="240" w:top="584" w:right="279" w:bottom="0" w:gutter="0" w:footer="0" w:header="0"/>
        </w:sectPr>
      </w:pPr>
    </w:p>
    <w:bookmarkStart w:id="41" w:name="page42"/>
    <w:bookmarkEnd w:id="41"/>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its Subsidiaries, including the notes thereto, audited by independent public accountants of recognized national standing and prepared in conformity with GAAP.</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after the Funding Date to the earliest of (a) June 30, 2017, (b) the date of termination of the Term B Commitments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(c) the date of termination of the Term B Commitments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(a) with respect to a corporation, the board of directors of the corporation or any committee thereof duly authorized to act on behalf of such board, (b) with respect to a partnership, the Board of Directors of the general partner of the partnership, (c) with respect to a limited liability company, the managing member or members or any controlling committee of managing members thereof or if not member-managed, the managers thereof or any committee of managing members or managers thereof duly authorized to act on behalf of such Persons, and (d) with respect to any other Person, the board or committee of such Person serving a similar function.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Term A Borrowing or a Term B Borrowing, as the context may require, in each case,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means, at any time, a collective reference to the businesses operated by the Borrower and its Subsidiaries at such time.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Facilities</w:t>
      </w:r>
      <w:r>
        <w:rPr>
          <w:rFonts w:ascii="Arial" w:cs="Arial" w:eastAsia="Arial" w:hAnsi="Arial"/>
          <w:sz w:val="18"/>
          <w:szCs w:val="18"/>
          <w:color w:val="auto"/>
        </w:rPr>
        <w:t>” means, at any time, a collective reference to the facilities and real properties owned, leased or operated by any Loan Party or any Subsidiary.</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means, as applied to any Person, any lease of any property by that Person as lessee which, in accordance with GAAP, is required to be accounted for as a capital lease on the balance sheet of that Person.</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as at any date, (a) securities issued or directly and fully guaranteed or insured by the United States or any agency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full faith and credit of the United States is pledged in support thereof) having maturities of not more than twelve months from the date of acquisition, (b) Dollar denominated time deposits and certificates of deposit of (i) any domestic commercial bank of recognized standing having capital and surplus in excess of $500,000,000 or (ii) any bank whose short-term commercial paper rating from S&amp;P is at least A-1 or the equivalent thereof or from Moody’s is at least P-1 or the equivalent thereof (any such bank being an “</w:t>
      </w:r>
      <w:r>
        <w:rPr>
          <w:rFonts w:ascii="Arial" w:cs="Arial" w:eastAsia="Arial" w:hAnsi="Arial"/>
          <w:sz w:val="16"/>
          <w:szCs w:val="16"/>
          <w:u w:val="single" w:color="auto"/>
          <w:color w:val="auto"/>
        </w:rPr>
        <w:t>Approved Bank</w:t>
      </w:r>
      <w:r>
        <w:rPr>
          <w:rFonts w:ascii="Arial" w:cs="Arial" w:eastAsia="Arial" w:hAnsi="Arial"/>
          <w:sz w:val="16"/>
          <w:szCs w:val="16"/>
          <w:color w:val="auto"/>
        </w:rPr>
        <w:t>”), in each case with maturities of not more than two hundred and seventy (270) days from the date of acquisition, (c) 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six months of the date of acquisition, (d) repurchase agreements entered into by any Person with a bank or trust company (including any of the Lenders) or recognized securities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subdivisions (a) through (d).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Pay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regulatory authorities, in each case pursuant to Basel III, shall in each case be deemed to be a “</w:t>
      </w:r>
      <w:r>
        <w:rPr>
          <w:rFonts w:ascii="Arial" w:cs="Arial" w:eastAsia="Arial" w:hAnsi="Arial"/>
          <w:sz w:val="18"/>
          <w:szCs w:val="18"/>
          <w:u w:val="single" w:color="auto"/>
          <w:color w:val="auto"/>
        </w:rPr>
        <w:t>Change in Law</w:t>
      </w:r>
      <w:r>
        <w:rPr>
          <w:rFonts w:ascii="Arial" w:cs="Arial" w:eastAsia="Arial" w:hAnsi="Arial"/>
          <w:sz w:val="18"/>
          <w:szCs w:val="18"/>
          <w:color w:val="auto"/>
        </w:rPr>
        <w:t>”, regardless of the date enacted, adopted or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left="660" w:firstLine="645"/>
        <w:spacing w:after="0" w:line="271" w:lineRule="auto"/>
        <w:tabs>
          <w:tab w:leader="none" w:pos="195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Equity Interests representing 35% or more of the aggregate ordinary voting power in the election of the Board of Directors of the Borrower represented by the issued and outstanding Equity Interests of the Borrower on a fully-diluted basis (and taking into account all such securities that such person or group has the right to acquire pursuant to any option right); or</w:t>
      </w:r>
    </w:p>
    <w:p>
      <w:pPr>
        <w:spacing w:after="0" w:line="178" w:lineRule="exact"/>
        <w:rPr>
          <w:rFonts w:ascii="Arial" w:cs="Arial" w:eastAsia="Arial" w:hAnsi="Arial"/>
          <w:sz w:val="17"/>
          <w:szCs w:val="17"/>
          <w:color w:val="auto"/>
        </w:rPr>
      </w:pPr>
    </w:p>
    <w:p>
      <w:pPr>
        <w:ind w:left="660" w:right="300" w:firstLine="645"/>
        <w:spacing w:after="0" w:line="342" w:lineRule="auto"/>
        <w:tabs>
          <w:tab w:leader="none" w:pos="19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“Change of Control” (or any comparable term) shall occur under any Permitted Senior Revolving Credit Document, any Qualified Subordinated Debt Document or any document or other agreement evidencing any Indebtedness with an aggregate principal amount in</w:t>
      </w:r>
    </w:p>
    <w:p>
      <w:pPr>
        <w:sectPr>
          <w:pgSz w:w="11900" w:h="16975" w:orient="portrait"/>
          <w:cols w:equalWidth="0" w:num="1">
            <w:col w:w="11400"/>
          </w:cols>
          <w:pgMar w:left="240" w:top="125" w:right="259" w:bottom="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excess of the Threshold Amount.</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 collective reference to all real and personal property with respect to which Liens in favor of the Administrative Agent, for the benefit of the Secured Parties, are purported to be granted pursuant to and in accordance with the terms of the Collateral Documents.</w:t>
      </w:r>
    </w:p>
    <w:p>
      <w:pPr>
        <w:spacing w:after="0" w:line="14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Access Agreement</w:t>
      </w:r>
      <w:r>
        <w:rPr>
          <w:rFonts w:ascii="Arial" w:cs="Arial" w:eastAsia="Arial" w:hAnsi="Arial"/>
          <w:sz w:val="16"/>
          <w:szCs w:val="16"/>
          <w:color w:val="auto"/>
        </w:rPr>
        <w:t>” means an agreement in form and substance reasonably satisfactory to the Administrative Agent pursuant to which a lessor of real property on which Collateral is stored or otherwise located, or a warehouseman, processor or other bailee of inventory or other property owned by any Loan Party, acknowledges the Liens of the Administrative Agent and waives (or, if approved by the Administrative Agent, subordinates) any Liens held by such Person on such property, and permits the Administrative Agent reasonable access to any Collateral stored or otherwise located thereon.</w:t>
      </w:r>
    </w:p>
    <w:p>
      <w:pPr>
        <w:spacing w:after="0" w:line="154"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a collective reference to the Security Agreement, the Pledge Agreement, the Qualifying Account Control Agreements, the Collateral Questionnaire, the Collateral Access Agreements, the Mortgages, the Real Property Security Documents and other security documents as may be executed and delivered by the Loan Parties pursuant to the terms of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Questionnaire</w:t>
      </w:r>
      <w:r>
        <w:rPr>
          <w:rFonts w:ascii="Arial" w:cs="Arial" w:eastAsia="Arial" w:hAnsi="Arial"/>
          <w:sz w:val="18"/>
          <w:szCs w:val="18"/>
          <w:color w:val="auto"/>
        </w:rPr>
        <w:t>” means that certain collateral questionnaire dated as of the Funding Date, in form and substance reasonably satisfactory to the Administrative Agent and executed by a Responsible Officer of the Borrower.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A Commitment or a Term B Commitment, as the context may require.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non-public information, whether written, oral or in any electronic, visual or other medium, that is the subject of reasonable efforts to keep confidential and that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owned by the Borrower or any Subsidiary or that the Borrower or any Subsidiary is licensed, authorized or otherwise granted rights under or to.</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Revenues</w:t>
      </w:r>
      <w:r>
        <w:rPr>
          <w:rFonts w:ascii="Arial" w:cs="Arial" w:eastAsia="Arial" w:hAnsi="Arial"/>
          <w:sz w:val="18"/>
          <w:szCs w:val="18"/>
          <w:color w:val="auto"/>
        </w:rPr>
        <w:t>” means, for any period, for the Borrower and its Subsidiaries on a consolidated basis, revenues for such period as determined in accordance with GAAP.</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 Without limiting the generality of the foregoing, a Person shall be deemed to be Controlled by another Person if such other Person possesses, directly or indirectly, power to vote five percent (5%) or more of the securities having ordinary voting power for the election of directors, managing general partners or the equivalent.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 License</w:t>
      </w:r>
      <w:r>
        <w:rPr>
          <w:rFonts w:ascii="Arial" w:cs="Arial" w:eastAsia="Arial" w:hAnsi="Arial"/>
          <w:sz w:val="17"/>
          <w:szCs w:val="17"/>
          <w:color w:val="auto"/>
        </w:rPr>
        <w:t>” means any agreement, whether written or oral, providing for the grant of any right to use any Work under any Copyright.</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Copyrights</w:t>
      </w:r>
      <w:r>
        <w:rPr>
          <w:rFonts w:ascii="Arial" w:cs="Arial" w:eastAsia="Arial" w:hAnsi="Arial"/>
          <w:sz w:val="17"/>
          <w:szCs w:val="17"/>
          <w:color w:val="auto"/>
        </w:rPr>
        <w:t>” means (a) all proprietary rights afforded Works pursuant to Title 17 of the United States Code, including, without limitation, all rights in mask works, copyrights and original designs, and all proprietary rights afforded such Works by other countries for the full term thereof (and including all rights accruing by virtue of bilateral or international treaties and conventions thereto), whether registered or unregistered, including, but not limited to, all applications for registration, renewals, extensions, reversions or restorations thereof now or hereafter provided for by law and all rights to make applications for registrations and recordations, regardless of the medium of fixation or means of expression, which are owned by the Borrower or any Subsidiary or which the Borrower or any Subsidiary is licensed, authorized or otherwise granted rights under or to and (b) all copyright rights under the copyright laws of the United States and all other countries for the full term thereof (and including all rights accruing by virtue of bilateral or international copyright treaties and conventions), whether registered or unregistered, including, but not limited to, all applications for registration, renewals, extensions, reversions or restorations of copyrights now or hereafter provided for by law and all rights to make applications for copyright registrations and recordations, regardless of the medium of fixation or means of expression, which are owned by the Borrower or any Subsidiary or which the Borrower or any Subsidiary is licensed, authorized or otherwise granted rights under or to.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Issuance</w:t>
      </w:r>
      <w:r>
        <w:rPr>
          <w:rFonts w:ascii="Arial" w:cs="Arial" w:eastAsia="Arial" w:hAnsi="Arial"/>
          <w:sz w:val="16"/>
          <w:szCs w:val="16"/>
          <w:color w:val="auto"/>
        </w:rPr>
        <w:t xml:space="preserve">” means the issuance by any Loan Party or any Subsidiary of any Indebtedness other than Indebtedness permitted under </w:t>
      </w:r>
      <w:r>
        <w:rPr>
          <w:rFonts w:ascii="Arial" w:cs="Arial" w:eastAsia="Arial" w:hAnsi="Arial"/>
          <w:sz w:val="16"/>
          <w:szCs w:val="16"/>
          <w:u w:val="single" w:color="auto"/>
          <w:color w:val="auto"/>
        </w:rPr>
        <w:t>Section 8.03</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Issuance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receivership, insolvency, reorganization, or similar debtor relief Laws of the United States or other applicable jurisdictions from time to time in effect.</w:t>
      </w:r>
    </w:p>
    <w:p>
      <w:pPr>
        <w:sectPr>
          <w:pgSz w:w="11900" w:h="16838" w:orient="portrait"/>
          <w:cols w:equalWidth="0" w:num="1">
            <w:col w:w="11400"/>
          </w:cols>
          <w:pgMar w:left="240" w:top="125" w:right="259" w:bottom="44" w:gutter="0" w:footer="0" w:header="0"/>
        </w:sectPr>
      </w:pPr>
    </w:p>
    <w:bookmarkStart w:id="43" w:name="page44"/>
    <w:bookmarkEnd w:id="43"/>
    <w:p>
      <w:pPr>
        <w:spacing w:after="0" w:line="6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2.12(b)</w:t>
      </w:r>
      <w:r>
        <w:rPr>
          <w:rFonts w:ascii="Arial" w:cs="Arial" w:eastAsia="Arial" w:hAnsi="Arial"/>
          <w:sz w:val="16"/>
          <w:szCs w:val="16"/>
          <w:color w:val="auto"/>
        </w:rPr>
        <w:t>, any Lender, as determined by the Administrative Agent, that (a) has failed to perform any of its funding obligations hereunder, including with respect to any Term B Commitments, within three (3) Business Days of the date required to be funded by it hereunder, (b) has notified the Borrower or the Administrative Agent that it does not intend to comply with its funding obligations hereunder or (c)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or</w:t>
      </w:r>
    </w:p>
    <w:p>
      <w:pPr>
        <w:spacing w:after="0" w:line="2" w:lineRule="exact"/>
        <w:rPr>
          <w:sz w:val="20"/>
          <w:szCs w:val="20"/>
          <w:color w:val="auto"/>
        </w:rPr>
      </w:pPr>
    </w:p>
    <w:p>
      <w:pPr>
        <w:ind w:right="120" w:firstLine="8"/>
        <w:spacing w:after="0" w:line="255"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taken any action in furtherance of, or indicated its consent to, approval of or acquiescence in any such proceeding or 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Lender shall not be a Defaulting Lender solely by virtue of the ownership or acquisition of any Equity Interests in that Lender or any direct or indirect parent company thereof by a Governmental Authority.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or “</w:t>
      </w:r>
      <w:r>
        <w:rPr>
          <w:rFonts w:ascii="Arial" w:cs="Arial" w:eastAsia="Arial" w:hAnsi="Arial"/>
          <w:sz w:val="16"/>
          <w:szCs w:val="16"/>
          <w:u w:val="single" w:color="auto"/>
          <w:color w:val="auto"/>
        </w:rPr>
        <w:t>Dispose</w:t>
      </w:r>
      <w:r>
        <w:rPr>
          <w:rFonts w:ascii="Arial" w:cs="Arial" w:eastAsia="Arial" w:hAnsi="Arial"/>
          <w:sz w:val="16"/>
          <w:szCs w:val="16"/>
          <w:color w:val="auto"/>
        </w:rPr>
        <w:t>” means the sale, transfer, license, lease, issuance or other disposition (including any Sale and Leaseback Transaction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any issuance by any Subsidiary of its Equity Interests) of any property by any Loan Party or any Subsidiary, including any sale, assignment, transfer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disposal, with or without recourse, of any notes or accounts receivable or any rights and claims associated therewith, but excluding the following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(a) the sale, lease, license, transfer or other disposition of inventory in the ordinary course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business, (b) the sale, lease, license, transfer or other disposition in the ordinary course of business of surplus, obsolete or worn out property no longer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useful in the conduct of business of any Loan Party and its Subsidiaries, (c) any sale, lease, license, transfer or other disposition of property to any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Party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 transferor of such property is a Loan Party (i) the transferee thereof must be a Loan Party or (ii)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transaction constitutes an Investment, such transaction is permitted under </w:t>
      </w:r>
      <w:r>
        <w:rPr>
          <w:rFonts w:ascii="Arial" w:cs="Arial" w:eastAsia="Arial" w:hAnsi="Arial"/>
          <w:sz w:val="16"/>
          <w:szCs w:val="16"/>
          <w:u w:val="single" w:color="auto"/>
          <w:color w:val="auto"/>
        </w:rPr>
        <w:t>Section 8.02</w:t>
      </w:r>
      <w:r>
        <w:rPr>
          <w:rFonts w:ascii="Arial" w:cs="Arial" w:eastAsia="Arial" w:hAnsi="Arial"/>
          <w:sz w:val="16"/>
          <w:szCs w:val="16"/>
          <w:color w:val="auto"/>
        </w:rPr>
        <w:t>, (d) granting licenses of intellectual property on a non-exclusive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basis or on an exclusive basis so long as each such exclusive license is limited to geographic areas, particular distribution channels or fields of use,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customized products for customers or limited time periods, and so long as after giving effect to such exclusive license, the Loan Parties retain sufficient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use or benefit from the subject intellectual property as to enable them to continue to conduct their business in the ordinary course, (e) any Involuntary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Disposition, (f) the sale, transfer, issuance or other disposition of a de minimis number of shares of the Equity Interests of a Foreign Subsidiary in order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qualify members of the governing body of such Subsidiary if required by applicable Law, (g) the abandonment or other disposition, including through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grant of an exclusive or non-exclusive license, of IP Rights that are not material and are no longer used or useful in any material respect in the business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and its Subsidiaries, (h) licenses, sublicenses, leases or subleases (in each case, other than with respect to IP Rights or intellectual property) granted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third parties in the ordinary course of business and not interfering with the business of the Borrower and its Subsidiaries, (i) dispositions of cash and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Equivalents in the ordinary course of business and (j) dispositions which in the aggregate do not exceed $250,000 in any fiscal year.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5"/>
          <w:szCs w:val="15"/>
          <w:color w:val="auto"/>
        </w:rPr>
        <w:t>” means any Equity Interest which, by its terms (or by the terms of any security into which it is convertible or for which it is</w:t>
      </w:r>
      <w:r>
        <w:rPr>
          <w:rFonts w:ascii="Arial" w:cs="Arial" w:eastAsia="Arial" w:hAnsi="Arial"/>
          <w:sz w:val="16"/>
          <w:szCs w:val="16"/>
          <w:color w:val="auto"/>
        </w:rPr>
        <w:t xml:space="preserve"> </w:t>
      </w:r>
      <w:r>
        <w:rPr>
          <w:rFonts w:ascii="Arial" w:cs="Arial" w:eastAsia="Arial" w:hAnsi="Arial"/>
          <w:sz w:val="15"/>
          <w:szCs w:val="15"/>
          <w:color w:val="auto"/>
        </w:rPr>
        <w:t>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prior to the one hundred eighty-first (181</w:t>
      </w:r>
      <w:r>
        <w:rPr>
          <w:rFonts w:ascii="Arial" w:cs="Arial" w:eastAsia="Arial" w:hAnsi="Arial"/>
          <w:sz w:val="20"/>
          <w:szCs w:val="20"/>
          <w:color w:val="auto"/>
          <w:vertAlign w:val="superscript"/>
        </w:rPr>
        <w:t>st</w:t>
      </w:r>
      <w:r>
        <w:rPr>
          <w:rFonts w:ascii="Arial" w:cs="Arial" w:eastAsia="Arial" w:hAnsi="Arial"/>
          <w:sz w:val="16"/>
          <w:szCs w:val="16"/>
          <w:color w:val="auto"/>
        </w:rPr>
        <w:t>) day after the Maturity Date, (b) requires the payment of any cash dividends at any time prior to the one hundred eighty-first</w:t>
      </w:r>
      <w:r>
        <w:rPr>
          <w:rFonts w:ascii="Arial" w:cs="Arial" w:eastAsia="Arial" w:hAnsi="Arial"/>
          <w:sz w:val="15"/>
          <w:szCs w:val="15"/>
          <w:color w:val="auto"/>
        </w:rPr>
        <w:t xml:space="preserve"> </w:t>
      </w:r>
      <w:r>
        <w:rPr>
          <w:rFonts w:ascii="Arial" w:cs="Arial" w:eastAsia="Arial" w:hAnsi="Arial"/>
          <w:sz w:val="16"/>
          <w:szCs w:val="16"/>
          <w:color w:val="auto"/>
        </w:rPr>
        <w:t>(181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after the Maturity Date, (c) contains any repurchase obligation which may come into effect prior to payment in full of all Obligations, or (d) is convertible into or exchangeable (unless at the sole option of the issuer thereof) for (i) debt securities or (ii) any Equity Interests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2" w:lineRule="exact"/>
        <w:rPr>
          <w:sz w:val="20"/>
          <w:szCs w:val="20"/>
          <w:color w:val="auto"/>
        </w:rPr>
      </w:pPr>
    </w:p>
    <w:p>
      <w:pPr>
        <w:ind w:right="100" w:firstLine="8"/>
        <w:spacing w:after="0" w:line="229" w:lineRule="auto"/>
        <w:tabs>
          <w:tab w:leader="none" w:pos="255"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in each case at any time prior to the one hundred eighty-first (181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Equity Interests that would not constitute Disqualified Capital Stock but for provisions thereof giving holders thereof (or the holders of any security into or for which such Equity Interests are convertible, exchangeable or exercisable) the right to require the issuer thereof to redeem or repurchase such Equity Interests upon the occurrence of a change in control or an asset sale occurring prior to the one hundred eighty-first (181</w:t>
      </w:r>
      <w:r>
        <w:rPr>
          <w:rFonts w:ascii="Arial" w:cs="Arial" w:eastAsia="Arial" w:hAnsi="Arial"/>
          <w:sz w:val="23"/>
          <w:szCs w:val="23"/>
          <w:color w:val="auto"/>
          <w:vertAlign w:val="superscript"/>
        </w:rPr>
        <w:t>st</w:t>
      </w:r>
      <w:r>
        <w:rPr>
          <w:rFonts w:ascii="Arial" w:cs="Arial" w:eastAsia="Arial" w:hAnsi="Arial"/>
          <w:sz w:val="18"/>
          <w:szCs w:val="18"/>
          <w:color w:val="auto"/>
        </w:rPr>
        <w:t>) day after the Maturity Date shall not constitute Disqualified Capital Stock if such Equity Interests provide that the issuer thereof will not redeem or repurchase any such Equity Interests pursuant to such provisions prior to the Facility Termination Date.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the United States, any state of the United States or the District of Columbia.</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Domain Names</w:t>
      </w:r>
      <w:r>
        <w:rPr>
          <w:rFonts w:ascii="Arial" w:cs="Arial" w:eastAsia="Arial" w:hAnsi="Arial"/>
          <w:sz w:val="18"/>
          <w:szCs w:val="18"/>
          <w:color w:val="auto"/>
        </w:rPr>
        <w:t>” means all domain names and URLs that are registered and/or owned by the Borrower or any Subsidiary or which the Borrower or any Subsidiary is licensed, authorized or otherwise granted rights under or to.</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 Out Obligations</w:t>
      </w:r>
      <w:r>
        <w:rPr>
          <w:rFonts w:ascii="Arial" w:cs="Arial" w:eastAsia="Arial" w:hAnsi="Arial"/>
          <w:sz w:val="16"/>
          <w:szCs w:val="16"/>
          <w:color w:val="auto"/>
        </w:rPr>
        <w:t>” means, with respect to an Acquisition, all obligations of the Borrower or any Subsidiary to make earn out or other contingency payments (including purchase price adjustments, non-competition and consulting agreements, or other indemnity obligations) pursuant to the documentation relating to such Acquisition. For purposes of determining the aggregate consideration paid for an Acquisition at the time of such Acquisition, the amount of any Earn Out Obligations shall be deemed to be the maximum amount of the earn-out payments in respect thereof as specified in the documents relating to such Acquisition. For purposes of determining the amount of any Earn Out Obligations to be included in the definition of Funded Indebtedness, the amount of Earn Out Obligations shall be deemed to be the aggregate liability in respect thereof, as determined in accordance with GAAP.</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hereof.</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Assets</w:t>
      </w:r>
      <w:r>
        <w:rPr>
          <w:rFonts w:ascii="Arial" w:cs="Arial" w:eastAsia="Arial" w:hAnsi="Arial"/>
          <w:sz w:val="18"/>
          <w:szCs w:val="18"/>
          <w:color w:val="auto"/>
        </w:rPr>
        <w:t>” means fixed, capital or long-term tangible assets that are used or useful in the same or a similar line of business as the Borrower and its Subsidiaries were engaged in on the Effective Date (or any reasonable extension or expansions thereof).</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federal, state, local, foreign and other applicable statutes, laws, regulations, ordinances, rules, judgments, orders, decrees, permits, concessions, grants, franchises, licenses, agreements or governmental restrictions relating to pollution and the protection of the</w:t>
      </w:r>
    </w:p>
    <w:p>
      <w:pPr>
        <w:sectPr>
          <w:pgSz w:w="11900" w:h="16908" w:orient="portrait"/>
          <w:cols w:equalWidth="0" w:num="1">
            <w:col w:w="11420"/>
          </w:cols>
          <w:pgMar w:left="240" w:top="125" w:right="239" w:bottom="0" w:gutter="0" w:footer="0" w:header="0"/>
        </w:sectPr>
      </w:pPr>
    </w:p>
    <w:bookmarkStart w:id="44" w:name="page45"/>
    <w:bookmarkEnd w:id="44"/>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environment or the release of any materials into the environment, including those related to hazardous substances or wastes, air emissions and discharges to waste or public systems.</w:t>
      </w:r>
    </w:p>
    <w:p>
      <w:pPr>
        <w:spacing w:after="0" w:line="170" w:lineRule="exact"/>
        <w:rPr>
          <w:sz w:val="20"/>
          <w:szCs w:val="20"/>
          <w:color w:val="auto"/>
        </w:rPr>
      </w:pPr>
    </w:p>
    <w:p>
      <w:pPr>
        <w:jc w:val="both"/>
        <w:ind w:right="34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w:t>
      </w:r>
    </w:p>
    <w:p>
      <w:pPr>
        <w:ind w:right="60" w:firstLine="8"/>
        <w:spacing w:after="0" w:line="261"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membership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the Borrower within the meaning of Section 414(b) or (c) of the Internal Revenue Code (and Sections 414(m) and (o) of the Internal Revenue Code for purposes of provisions relating to Section 412 of the Internal Revenue Code).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amendment as a termination under Sections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other than a Multiemployer Plan is considered an at-risk plan or a plan in endangered or critical status within the meaning of Section 430 of the Internal Revenue Code or Section 303 of ERISA, or (h) the imposition of any liability under Title IV of ERISA, other than for PBGC premiums due but not delinquent under Section 4007 of ERISA, upon the Borrower or any ERISA Affiliate.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xml:space="preserve">” means, with respect to any Loan Party, including any Person that becomes a Loan Party after the Effective Date as contemplated by </w:t>
      </w:r>
      <w:r>
        <w:rPr>
          <w:rFonts w:ascii="Arial" w:cs="Arial" w:eastAsia="Arial" w:hAnsi="Arial"/>
          <w:sz w:val="18"/>
          <w:szCs w:val="18"/>
          <w:u w:val="single" w:color="auto"/>
          <w:color w:val="auto"/>
        </w:rPr>
        <w:t>Section 7.12</w:t>
      </w:r>
      <w:r>
        <w:rPr>
          <w:rFonts w:ascii="Arial" w:cs="Arial" w:eastAsia="Arial" w:hAnsi="Arial"/>
          <w:sz w:val="18"/>
          <w:szCs w:val="18"/>
          <w:color w:val="auto"/>
        </w:rPr>
        <w:t>, (a) any owned or leased real or personal property which is located outside of the United States unless requested by the Administrative Agent or the Required Lenders, (b) any personal property (including, without limitation, motor vehicles) in respect of which perfection of a Lien is not either (i) governed by the Uniform Commercial Code or (ii) effected by appropriate evidence of the Lien being filed in either the United States Copyright Office 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United States Patent and Trademark Office, unless requested by the Administrative Agent or the Required Lenders, (c) the Equity Interests of any Foreign Subsidiary or Foreign Subsidiary Holding Company to the extent not required to be pledged to secure the Obligations pursuant to </w:t>
      </w:r>
      <w:r>
        <w:rPr>
          <w:rFonts w:ascii="Arial" w:cs="Arial" w:eastAsia="Arial" w:hAnsi="Arial"/>
          <w:sz w:val="16"/>
          <w:szCs w:val="16"/>
          <w:u w:val="single" w:color="auto"/>
          <w:color w:val="auto"/>
        </w:rPr>
        <w:t>Section 7.14(a)</w:t>
      </w:r>
      <w:r>
        <w:rPr>
          <w:rFonts w:ascii="Arial" w:cs="Arial" w:eastAsia="Arial" w:hAnsi="Arial"/>
          <w:sz w:val="16"/>
          <w:szCs w:val="16"/>
          <w:color w:val="auto"/>
        </w:rPr>
        <w:t xml:space="preserve">, (d) any property which, subject to the terms of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is subject to a Lien of the type described in </w:t>
      </w:r>
      <w:r>
        <w:rPr>
          <w:rFonts w:ascii="Arial" w:cs="Arial" w:eastAsia="Arial" w:hAnsi="Arial"/>
          <w:sz w:val="16"/>
          <w:szCs w:val="16"/>
          <w:u w:val="single" w:color="auto"/>
          <w:color w:val="auto"/>
        </w:rPr>
        <w:t>Section 8.01(i)</w:t>
      </w:r>
      <w:r>
        <w:rPr>
          <w:rFonts w:ascii="Arial" w:cs="Arial" w:eastAsia="Arial" w:hAnsi="Arial"/>
          <w:sz w:val="16"/>
          <w:szCs w:val="16"/>
          <w:color w:val="auto"/>
        </w:rPr>
        <w:t xml:space="preserve"> pursuant to documents which prohibit such Loan Party from granting any other Liens in such property, (e) any leasehold interest of any Loan Party in office space, (f) any real property with a fair market value of less than $500,000, (g) those certain accounts of the Borrower at Silicon Valley Bank which contain cash collateral upon which Silicon Valley Bank has a Lien permitted by </w:t>
      </w:r>
      <w:r>
        <w:rPr>
          <w:rFonts w:ascii="Arial" w:cs="Arial" w:eastAsia="Arial" w:hAnsi="Arial"/>
          <w:sz w:val="16"/>
          <w:szCs w:val="16"/>
          <w:u w:val="single" w:color="auto"/>
          <w:color w:val="auto"/>
        </w:rPr>
        <w:t>Section 8.01(b)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8.01(o)</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SVB Cash Collateral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accounts shall only constitute “Excluded Property” to the extent that the aggregate amount of cash and Cash Equivalents held in such accounts does not exceed $1,000,000 at any one time and (h) any real or personal property as to which the Administrative Agent and the Borrower agree in writing that the costs or other consequences of obtaining a security interest or perfection thereof are excessive in view of the benefits to be obtained by the Secured Parties therefrom.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Exclusivity and Proposal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Loan and Security Agreement dated as of June 26, 2013 by and among the Borrower and Silicon Valley Bank, a California corporation, as amended by that certain Consent and First Amendment to Loan and Security Agreement dated as of December 18, 2014, that certain Consent and Second Amendment to Loan and Security Agreement dated as of November 24, 2015 and as further amended or otherwise modified.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A Facility or the Term B Facility, as the context may require.</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Termination Date</w:t>
      </w:r>
      <w:r>
        <w:rPr>
          <w:rFonts w:ascii="Arial" w:cs="Arial" w:eastAsia="Arial" w:hAnsi="Arial"/>
          <w:sz w:val="17"/>
          <w:szCs w:val="17"/>
          <w:color w:val="auto"/>
        </w:rPr>
        <w:t>” means the date as of which all of the following shall have occurred: (a) all of the Commitments have terminated and (b) all Obligations have been paid in full in cash (other than contingent indemnification obligations for which no claim has been asserted).</w:t>
      </w:r>
    </w:p>
    <w:p>
      <w:pPr>
        <w:spacing w:after="0" w:line="147"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Internal Revenue Code as of the Effective Date (or any amended or successor version that is substantively comparable and not materially more onerous to comply with) and any current or future regulations thereunder, official interpretations thereof, any agreement entered into pursuant to Section 1471(b)(1) of the Internal Revenue Code and any intergovernmental agreements entered into thereunder.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Food and Drug Administration of the United States of America or any successor entity thereto.</w:t>
      </w:r>
    </w:p>
    <w:p>
      <w:pPr>
        <w:sectPr>
          <w:pgSz w:w="11900" w:h="16874" w:orient="portrait"/>
          <w:cols w:equalWidth="0" w:num="1">
            <w:col w:w="11420"/>
          </w:cols>
          <w:pgMar w:left="240" w:top="341" w:right="239" w:bottom="0" w:gutter="0" w:footer="0" w:header="0"/>
        </w:sectPr>
      </w:pPr>
    </w:p>
    <w:bookmarkStart w:id="45" w:name="page46"/>
    <w:bookmarkEnd w:id="45"/>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FDCA</w:t>
      </w:r>
      <w:r>
        <w:rPr>
          <w:rFonts w:ascii="Arial" w:cs="Arial" w:eastAsia="Arial" w:hAnsi="Arial"/>
          <w:sz w:val="16"/>
          <w:szCs w:val="16"/>
          <w:color w:val="auto"/>
        </w:rPr>
        <w:t>” means the Federal Food, Drug and Cosmetic Act, as amended, 21 U.S.C. Section 301 et seq. and all regulations promulgated thereunder.</w:t>
      </w:r>
    </w:p>
    <w:p>
      <w:pPr>
        <w:spacing w:after="0" w:line="24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such day is not a Business Day, the Federal Funds Rate for such day shall be such rate on such transactions on the next preceding Business Day as so published on the next succeeding Business Day.</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that certain letter agreement dated as of the Funding Date, by and among the Borrower and the Administrative Agent.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Hazard Property</w:t>
      </w:r>
      <w:r>
        <w:rPr>
          <w:rFonts w:ascii="Arial" w:cs="Arial" w:eastAsia="Arial" w:hAnsi="Arial"/>
          <w:sz w:val="18"/>
          <w:szCs w:val="18"/>
          <w:color w:val="auto"/>
        </w:rPr>
        <w:t>” has the meaning set forth in the definition of “Real Property Security Documents”.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Domestic Subsidiary of the Borrower substantially all of the assets of which consist of the Equity Interests of one or more controlled foreign corporations (within the meaning of Section 957 of the Internal Revenue Code) or Indebtedness of such controlled foreign corporations.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660" w:right="120" w:firstLine="645"/>
        <w:spacing w:after="0" w:line="277" w:lineRule="auto"/>
        <w:tabs>
          <w:tab w:leader="none" w:pos="19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whether current or long-term, for borrowed money (including the Obligations)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19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portion of all obligations under conditional sale or other title retention agreements relating to property purchased by such Person or any Subsidiary thereof (other than customary reservations or retentions of title under agreements with suppliers entered into in the ordinary course of business);</w:t>
      </w:r>
    </w:p>
    <w:p>
      <w:pPr>
        <w:spacing w:after="0" w:line="181"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660" w:right="120" w:firstLine="645"/>
        <w:spacing w:after="0" w:line="264" w:lineRule="auto"/>
        <w:tabs>
          <w:tab w:leader="none" w:pos="19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(other than trade accounts payable in the ordinary course of business and, in each case, not past due for more than ninety (90) days after the date on which such trade account payable was created), including, without limitation, any Earn Out Obligations;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Attributable Indebtedness of Capital Leases, Securitization Transactions and Synthetic Leases;</w:t>
      </w:r>
    </w:p>
    <w:p>
      <w:pPr>
        <w:spacing w:after="0" w:line="225" w:lineRule="exact"/>
        <w:rPr>
          <w:rFonts w:ascii="Arial" w:cs="Arial" w:eastAsia="Arial" w:hAnsi="Arial"/>
          <w:sz w:val="18"/>
          <w:szCs w:val="18"/>
          <w:color w:val="auto"/>
        </w:rPr>
      </w:pPr>
    </w:p>
    <w:p>
      <w:pPr>
        <w:ind w:left="660" w:firstLine="645"/>
        <w:spacing w:after="0" w:line="264" w:lineRule="auto"/>
        <w:tabs>
          <w:tab w:leader="none" w:pos="1977"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Disqualified Capital Stock in such Person or any other Person,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w:t>
      </w:r>
    </w:p>
    <w:p>
      <w:pPr>
        <w:spacing w:after="0" w:line="181" w:lineRule="exact"/>
        <w:rPr>
          <w:rFonts w:ascii="Arial" w:cs="Arial" w:eastAsia="Arial" w:hAnsi="Arial"/>
          <w:sz w:val="18"/>
          <w:szCs w:val="18"/>
          <w:color w:val="auto"/>
        </w:rPr>
      </w:pPr>
    </w:p>
    <w:p>
      <w:pPr>
        <w:ind w:left="660" w:right="660" w:firstLine="645"/>
        <w:spacing w:after="0" w:line="277" w:lineRule="auto"/>
        <w:tabs>
          <w:tab w:leader="none" w:pos="19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Funded Indebtedness of others secured by (or for which the holder of such Funded Indebtedness has an existing right, contingent or otherwise, to be secured by) any Lien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on, or payable out of the proceeds of production from, property owned or acquired by such Person, whether or not the obligations secured thereby have been assumed;</w:t>
      </w:r>
    </w:p>
    <w:p>
      <w:pPr>
        <w:spacing w:after="0" w:line="170" w:lineRule="exact"/>
        <w:rPr>
          <w:sz w:val="20"/>
          <w:szCs w:val="20"/>
          <w:color w:val="auto"/>
        </w:rPr>
      </w:pPr>
    </w:p>
    <w:p>
      <w:pPr>
        <w:ind w:left="1980" w:hanging="675"/>
        <w:spacing w:after="0"/>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all Guarantees with respect to Funded Indebtedness of the types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(h)</w:t>
      </w:r>
      <w:r>
        <w:rPr>
          <w:rFonts w:ascii="Arial" w:cs="Arial" w:eastAsia="Arial" w:hAnsi="Arial"/>
          <w:sz w:val="16"/>
          <w:szCs w:val="16"/>
          <w:color w:val="auto"/>
        </w:rPr>
        <w:t xml:space="preserve"> above of another Person; and</w:t>
      </w:r>
    </w:p>
    <w:p>
      <w:pPr>
        <w:spacing w:after="0" w:line="248" w:lineRule="exact"/>
        <w:rPr>
          <w:rFonts w:ascii="Arial" w:cs="Arial" w:eastAsia="Arial" w:hAnsi="Arial"/>
          <w:sz w:val="16"/>
          <w:szCs w:val="16"/>
          <w:color w:val="auto"/>
        </w:rPr>
      </w:pPr>
    </w:p>
    <w:p>
      <w:pPr>
        <w:ind w:left="660" w:right="40" w:firstLine="645"/>
        <w:spacing w:after="0" w:line="264" w:lineRule="auto"/>
        <w:tabs>
          <w:tab w:leader="none" w:pos="1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all Funded Indebtedness of the types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xml:space="preserve">” means the date on which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have been satisfied.</w:t>
      </w:r>
    </w:p>
    <w:p>
      <w:pPr>
        <w:sectPr>
          <w:pgSz w:w="11900" w:h="16838" w:orient="portrait"/>
          <w:cols w:equalWidth="0" w:num="1">
            <w:col w:w="11320"/>
          </w:cols>
          <w:pgMar w:left="240" w:top="341" w:right="339" w:bottom="32" w:gutter="0" w:footer="0" w:header="0"/>
        </w:sectPr>
      </w:pPr>
    </w:p>
    <w:bookmarkStart w:id="46" w:name="page47"/>
    <w:bookmarkEnd w:id="46"/>
    <w:p>
      <w:pPr>
        <w:spacing w:after="0" w:line="137"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Receivable</w:t>
      </w:r>
      <w:r>
        <w:rPr>
          <w:rFonts w:ascii="Arial" w:cs="Arial" w:eastAsia="Arial" w:hAnsi="Arial"/>
          <w:sz w:val="18"/>
          <w:szCs w:val="18"/>
          <w:color w:val="auto"/>
        </w:rPr>
        <w:t>” means any Receivable that, consistent with the past accounting practices of the Borrower and its Subsidiaries, is initially classified as a Medicare Receivable, Medicaid Receivable or other government Receivable.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Receivables Account</w:t>
      </w:r>
      <w:r>
        <w:rPr>
          <w:rFonts w:ascii="Arial" w:cs="Arial" w:eastAsia="Arial" w:hAnsi="Arial"/>
          <w:sz w:val="18"/>
          <w:szCs w:val="18"/>
          <w:color w:val="auto"/>
        </w:rPr>
        <w:t>” means an account established by a Loan Party and used for receipt of Restricted Receivables, including, without limitation, Government Receivables.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Licenses</w:t>
      </w:r>
      <w:r>
        <w:rPr>
          <w:rFonts w:ascii="Arial" w:cs="Arial" w:eastAsia="Arial" w:hAnsi="Arial"/>
          <w:sz w:val="18"/>
          <w:szCs w:val="18"/>
          <w:color w:val="auto"/>
        </w:rPr>
        <w:t>” means all applications to and requests for approval from a Governmental Authority for the right to manufacture, import, store, market, promote, advertise, offer for sale, sell, use and/or otherwise distribute a Product, including, without limitation, all filings filed with the FDA, and all authorizations issuing from a Governmental Authority based upon or as a result of such applications and requests, which are owned by the Borrower or any Subsidiary, acquired by the Borrower or any Subsidiary via assignment, purchase or otherwise or that the Borrower or any Subsidiary is licensed, authorized or otherwise granted rights under or to.</w:t>
      </w:r>
    </w:p>
    <w:p>
      <w:pPr>
        <w:spacing w:after="0" w:line="18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71" w:lineRule="auto"/>
        <w:tabs>
          <w:tab w:leader="none" w:pos="31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each Domestic Subsidiary identified as a “Guarantor” on the signature pages hereto and each other Person that joins as a Guarantor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together with their successors and permitted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in favor of the Secured Parties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HHS</w:t>
      </w:r>
      <w:r>
        <w:rPr>
          <w:rFonts w:ascii="Arial" w:cs="Arial" w:eastAsia="Arial" w:hAnsi="Arial"/>
          <w:sz w:val="18"/>
          <w:szCs w:val="18"/>
          <w:color w:val="auto"/>
        </w:rPr>
        <w:t>” means the United States Department of Health and Human Services and any successor agency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HMT</w:t>
      </w:r>
      <w:r>
        <w:rPr>
          <w:rFonts w:ascii="Arial" w:cs="Arial" w:eastAsia="Arial" w:hAnsi="Arial"/>
          <w:sz w:val="18"/>
          <w:szCs w:val="18"/>
          <w:color w:val="auto"/>
        </w:rPr>
        <w:t>” has the meaning set forth in the definition of “Sanctions”.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1940" w:hanging="635"/>
        <w:spacing w:after="0"/>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Funded Indebtedness;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Swap Termination Value of any Swap Contract;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all Guarantees with respect to outstanding Indebtedness of the types specified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of any other Person; and</w:t>
      </w:r>
    </w:p>
    <w:p>
      <w:pPr>
        <w:spacing w:after="0" w:line="248" w:lineRule="exact"/>
        <w:rPr>
          <w:rFonts w:ascii="Arial" w:cs="Arial" w:eastAsia="Arial" w:hAnsi="Arial"/>
          <w:sz w:val="16"/>
          <w:szCs w:val="16"/>
          <w:color w:val="auto"/>
        </w:rPr>
      </w:pPr>
    </w:p>
    <w:p>
      <w:pPr>
        <w:ind w:left="660" w:right="280" w:firstLine="645"/>
        <w:spacing w:after="0" w:line="264" w:lineRule="auto"/>
        <w:tabs>
          <w:tab w:leader="none" w:pos="19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all Indebtedness of the types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of any partnership or joint venture (other than a joint venture that is itself a corporation or limited liability company) in which such Person or a Subsidiary thereof is a general partner or joint venturer, unless such Indebtedness is expressly made non-recourse to such Person or such Subsidiary.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the last day of each March, June, September and December;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any such last day is not a Business Day, the applicable “Interest Payment Date” shall be the first Business Day immediately preceding such last day of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w:t>
      </w:r>
    </w:p>
    <w:p>
      <w:pPr>
        <w:sectPr>
          <w:pgSz w:w="11900" w:h="16975" w:orient="portrait"/>
          <w:cols w:equalWidth="0" w:num="1">
            <w:col w:w="11420"/>
          </w:cols>
          <w:pgMar w:left="240" w:top="125" w:right="239" w:bottom="0" w:gutter="0" w:footer="0" w:header="0"/>
        </w:sectPr>
      </w:pPr>
    </w:p>
    <w:bookmarkStart w:id="47" w:name="page48"/>
    <w:bookmarkEnd w:id="47"/>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first Interest Payment Date shall occur at least fifteen (15) days after the Funding Date; and (b) the Maturity Date.</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means the unaudited consolidated financial statements of the Borrower and its Subsidiaries for the fiscal quarter ended September 30, 2015, including balance sheets and statements of income or operations, stockholders’ equity and cash flows.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United States Internal Revenue Code of 1986.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Service</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Disposition</w:t>
      </w:r>
      <w:r>
        <w:rPr>
          <w:rFonts w:ascii="Arial" w:cs="Arial" w:eastAsia="Arial" w:hAnsi="Arial"/>
          <w:sz w:val="18"/>
          <w:szCs w:val="18"/>
          <w:color w:val="auto"/>
        </w:rPr>
        <w:t>” means any loss of, damage to or destruction of, or any condemnation or other taking for public use of, any property of any Loan Party or any of its Subsidiaries.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means, collectively, all Confidential Information, all Copyrights, all Copyright Licenses, all Domain Names, all Governmental Licenses, all Other Intellectual Property, all Other IP Agreements, all Patents, all Patent Licenses, all Proprietary Databases, all Proprietary Software, all Trademarks, all Trademark Licenses, all Trade Secrets, all Websites and all Website Agreements.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executed and delivered by a Domestic Subsidiary in accordance with the provisions of </w:t>
      </w:r>
      <w:r>
        <w:rPr>
          <w:rFonts w:ascii="Arial" w:cs="Arial" w:eastAsia="Arial" w:hAnsi="Arial"/>
          <w:sz w:val="18"/>
          <w:szCs w:val="18"/>
          <w:u w:val="single" w:color="auto"/>
          <w:color w:val="auto"/>
        </w:rPr>
        <w:t>Section 7.12</w:t>
      </w:r>
      <w:r>
        <w:rPr>
          <w:rFonts w:ascii="Arial" w:cs="Arial" w:eastAsia="Arial" w:hAnsi="Arial"/>
          <w:sz w:val="18"/>
          <w:szCs w:val="18"/>
          <w:color w:val="auto"/>
        </w:rPr>
        <w:t>.</w:t>
      </w:r>
    </w:p>
    <w:p>
      <w:pPr>
        <w:spacing w:after="0" w:line="17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each of the Persons identified as a “Lender” on the signature pages hereto and their successors and assigns.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xml:space="preserve">” means, as to any Lender, the office address of such Lender and, as appropriate, account of such Lender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such Lender may from time to time notify the Borrower and the Administrative Agent.</w:t>
      </w:r>
    </w:p>
    <w:p>
      <w:pPr>
        <w:spacing w:after="0" w:line="170"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any conditional sale or other title retention agreement, any easement, right of way or other encumbrance on title to real property, and any financing lease having substantially the same economic effect as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means, as of any date, an amount equal to Unrestricted Cash as of such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Term A Loan or a Term B Loan.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Note, each Joinder Agreement, each Collateral Document, the Fee Letter, any intercreditor agreement entered into in connection with Permitted Senior Revolving Credit Indebtedness, each Qualified Subordinated Debt Subordination Agreement and any other agreement, instrument or document designated by its terms as a “Loan Document”.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Notice</w:t>
      </w:r>
      <w:r>
        <w:rPr>
          <w:rFonts w:ascii="Arial" w:cs="Arial" w:eastAsia="Arial" w:hAnsi="Arial"/>
          <w:sz w:val="18"/>
          <w:szCs w:val="18"/>
          <w:color w:val="auto"/>
        </w:rPr>
        <w:t xml:space="preserve">” means a notice of a Borrowing of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Make-Whole Amount</w:t>
      </w:r>
      <w:r>
        <w:rPr>
          <w:rFonts w:ascii="Arial" w:cs="Arial" w:eastAsia="Arial" w:hAnsi="Arial"/>
          <w:sz w:val="17"/>
          <w:szCs w:val="17"/>
          <w:color w:val="auto"/>
        </w:rPr>
        <w:t xml:space="preserve">” means, on any date of determination, with respect to any Loans prepaid or required to be prepaid, an amount equal to the total (as determined by the Administrative Agent in accordance with customary practice) of (a) twenty-four percent (24.00%) of the principal amount of the Loans prepaid or required to be prepaid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aggregate amount of all interest payments in cash received by the Administrative Agent prior to such date of determination with respect to the principal amount of the Loans prepaid or required to be prepaid.</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Withdrawal</w:t>
      </w:r>
      <w:r>
        <w:rPr>
          <w:rFonts w:ascii="Arial" w:cs="Arial" w:eastAsia="Arial" w:hAnsi="Arial"/>
          <w:sz w:val="18"/>
          <w:szCs w:val="18"/>
          <w:color w:val="auto"/>
        </w:rPr>
        <w:t>” means a Person’s removal or correction of a distributed Product which involves a minor violation that would not be subject to legal action by the FDA or which involves no violation, e.g., normal stock rotation practices, routine equipment adjustments and repairs, etc., as that term is defined in 21 C.F.R. 7.3(j).</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set forth in the definition of “Swap Contract”.</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a material adverse change in, or a material adverse effect on, the business, assets, results of operations or financial condition of the Borrower and its Subsidiaries taken as a whole (each, a “</w:t>
      </w:r>
      <w:r>
        <w:rPr>
          <w:rFonts w:ascii="Arial" w:cs="Arial" w:eastAsia="Arial" w:hAnsi="Arial"/>
          <w:sz w:val="16"/>
          <w:szCs w:val="16"/>
          <w:u w:val="single" w:color="auto"/>
          <w:color w:val="auto"/>
        </w:rPr>
        <w:t>Company MAE</w:t>
      </w:r>
      <w:r>
        <w:rPr>
          <w:rFonts w:ascii="Arial" w:cs="Arial" w:eastAsia="Arial" w:hAnsi="Arial"/>
          <w:sz w:val="16"/>
          <w:szCs w:val="16"/>
          <w:color w:val="auto"/>
        </w:rPr>
        <w:t>”) (it being understood that any adverse change, effect, event, occurrence, state of facts or development to the extent (but only to the extent) resulting from (x) conditions affecting the U.S. economy as a whole or the markets in which the Borrower and its Subsidiaries operate or (y) the commencement, continuation or escalation of a war, armed hostilities or other international or national calamity or act of terrorism directly involving the United States, in each case, shall not be taken into account in determining whether there has been or will be a Company MAE except to the extent that any such change, effect, event, occurrence, state of facts or development has a disproportionate and adverse effect on the Borrower and its Subsidiaries relative to other businesses in the industry in which the Borrower and its Subsidiaries operate (in which case, for the avoidance of doubt, such change, effect, event, occurrence, state of facts or development shall be taken into account in</w:t>
      </w:r>
    </w:p>
    <w:p>
      <w:pPr>
        <w:sectPr>
          <w:pgSz w:w="11900" w:h="16865" w:orient="portrait"/>
          <w:cols w:equalWidth="0" w:num="1">
            <w:col w:w="11420"/>
          </w:cols>
          <w:pgMar w:left="240" w:top="125" w:right="239" w:bottom="0" w:gutter="0" w:footer="0" w:header="0"/>
        </w:sectPr>
      </w:pPr>
    </w:p>
    <w:bookmarkStart w:id="48" w:name="page49"/>
    <w:bookmarkEnd w:id="48"/>
    <w:p>
      <w:pPr>
        <w:ind w:right="40"/>
        <w:spacing w:after="0" w:line="257" w:lineRule="auto"/>
        <w:rPr>
          <w:sz w:val="20"/>
          <w:szCs w:val="20"/>
          <w:color w:val="auto"/>
        </w:rPr>
      </w:pPr>
      <w:r>
        <w:rPr>
          <w:rFonts w:ascii="Arial" w:cs="Arial" w:eastAsia="Arial" w:hAnsi="Arial"/>
          <w:sz w:val="18"/>
          <w:szCs w:val="18"/>
          <w:color w:val="auto"/>
        </w:rPr>
        <w:t>determining whether there has been or will be a Company MAE)), (b) a material impairment of the rights and remedies of the Administrative Agent or any Lender under any Loan Document to which it is a party or a material impairment in the perfection, value or priority of the Administrative Agent’s security interests in the Collateral, (c) an impairment of the ability of any Loan Party to perform its material obligations under any Loan Document to which it is a party, or (d) a material adverse effect upon the legality, validity, binding effect or enforceability against any Loan Party of any Loan Document to which it is a party.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March 31,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11.09</w:t>
      </w:r>
      <w:r>
        <w:rPr>
          <w:rFonts w:ascii="Arial" w:cs="Arial" w:eastAsia="Arial" w:hAnsi="Arial"/>
          <w:sz w:val="18"/>
          <w:szCs w:val="18"/>
          <w:color w:val="auto"/>
        </w:rPr>
        <w:t>.</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Medicaid</w:t>
      </w:r>
      <w:r>
        <w:rPr>
          <w:rFonts w:ascii="Arial" w:cs="Arial" w:eastAsia="Arial" w:hAnsi="Arial"/>
          <w:sz w:val="17"/>
          <w:szCs w:val="17"/>
          <w:color w:val="auto"/>
        </w:rPr>
        <w:t>” means that means-tested entitlement program under Title XIX of the Social Security Act, which provides federal grants to states for medical assistance based on specific eligibility criteria, as set forth at Section 1396, et seq. of Title 42 of the United States Code.</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Medicaid Receivable</w:t>
      </w:r>
      <w:r>
        <w:rPr>
          <w:rFonts w:ascii="Arial" w:cs="Arial" w:eastAsia="Arial" w:hAnsi="Arial"/>
          <w:sz w:val="18"/>
          <w:szCs w:val="18"/>
          <w:color w:val="auto"/>
        </w:rPr>
        <w:t>” means any Receivable with respect to which the obligor is a state or, to the extent provided by Law, the United States acting through a state’s Medicaid agency that arises out of charges reimbursable to the Borrower or any Subsidiary under Medicaid.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Medical Reimbursement Programs</w:t>
      </w:r>
      <w:r>
        <w:rPr>
          <w:rFonts w:ascii="Arial" w:cs="Arial" w:eastAsia="Arial" w:hAnsi="Arial"/>
          <w:sz w:val="18"/>
          <w:szCs w:val="18"/>
          <w:color w:val="auto"/>
        </w:rPr>
        <w:t>” means a collective reference to the Medicare, Medicaid and TRICARE programs and any other health care program operated by or financed in whole or in part by any foreign or domestic federal, state or local government.</w:t>
      </w:r>
    </w:p>
    <w:p>
      <w:pPr>
        <w:spacing w:after="0" w:line="170"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Medicare</w:t>
      </w:r>
      <w:r>
        <w:rPr>
          <w:rFonts w:ascii="Arial" w:cs="Arial" w:eastAsia="Arial" w:hAnsi="Arial"/>
          <w:sz w:val="17"/>
          <w:szCs w:val="17"/>
          <w:color w:val="auto"/>
        </w:rPr>
        <w:t>” means that government-sponsored entitlement program under Title XVIII of the Social Security Act, which provides for a health insurance system for eligible elderly and disabled individuals, as set forth at Section 1395, et seq. of Title 42 of the United States Code.</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Medicare Receivable</w:t>
      </w:r>
      <w:r>
        <w:rPr>
          <w:rFonts w:ascii="Arial" w:cs="Arial" w:eastAsia="Arial" w:hAnsi="Arial"/>
          <w:sz w:val="18"/>
          <w:szCs w:val="18"/>
          <w:color w:val="auto"/>
        </w:rPr>
        <w:t>” means any Receivable with respect to which the obligor is the United States that arises out of charges reimbursable to the Borrower or any Subsidiary under Medicare.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Mortgages</w:t>
      </w:r>
      <w:r>
        <w:rPr>
          <w:rFonts w:ascii="Arial" w:cs="Arial" w:eastAsia="Arial" w:hAnsi="Arial"/>
          <w:sz w:val="16"/>
          <w:szCs w:val="16"/>
          <w:color w:val="auto"/>
        </w:rPr>
        <w:t>” means the mortgages, deeds of trust or deeds to secure debt that purport to grant to the Administrative Agent, for the benefit of the Secured Parties, a security interest in the fee interest and/or leasehold interest of any Loan Party in real property (other than Excluded Property).</w:t>
      </w:r>
    </w:p>
    <w:p>
      <w:pPr>
        <w:spacing w:after="0" w:line="124"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Pension Plan which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means the aggregate cash or Cash Equivalents proceeds received by any Loan Party or any Subsidiary in respect of any Disposition, Debt Issuance or Involuntary Disposition, net of (a) reasonable direct costs incurred in connection therewith (including, without limitation, legal, accounting and investment banking fees, and sales commissions), (b) taxes paid or payable as a result thereof, and (c) in the case of any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any Loan Party or any Subsidiary in any Disposition, Debt Issuance or Involuntary Disposition.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or “</w:t>
      </w:r>
      <w:r>
        <w:rPr>
          <w:rFonts w:ascii="Arial" w:cs="Arial" w:eastAsia="Arial" w:hAnsi="Arial"/>
          <w:sz w:val="18"/>
          <w:szCs w:val="18"/>
          <w:u w:val="single" w:color="auto"/>
          <w:color w:val="auto"/>
        </w:rPr>
        <w:t>Notes</w:t>
      </w:r>
      <w:r>
        <w:rPr>
          <w:rFonts w:ascii="Arial" w:cs="Arial" w:eastAsia="Arial" w:hAnsi="Arial"/>
          <w:sz w:val="18"/>
          <w:szCs w:val="18"/>
          <w:color w:val="auto"/>
        </w:rPr>
        <w:t>” means the Term A Notes or the Term B Notes, individually or collectively, as appropriate.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all advances to, and all debts, liabilities, obligations, covenants and duties of, any Loan Party arising under any Loan Document or otherwise with respect to any Loan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or any Affiliate thereof pursuant to any proceeding under any Debtor Relief Laws naming such Person as the debtor in such proceeding, regardless of whether such interest and fees are allowed claims in such proceeding.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ectPr>
          <w:pgSz w:w="11900" w:h="16838" w:orient="portrait"/>
          <w:cols w:equalWidth="0" w:num="1">
            <w:col w:w="11420"/>
          </w:cols>
          <w:pgMar w:left="240" w:top="125" w:right="239" w:bottom="0" w:gutter="0" w:footer="0" w:header="0"/>
        </w:sectPr>
      </w:pPr>
    </w:p>
    <w:bookmarkStart w:id="49" w:name="page50"/>
    <w:bookmarkEnd w:id="49"/>
    <w:p>
      <w:pPr>
        <w:spacing w:after="0" w:line="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Intellectual Property</w:t>
      </w:r>
      <w:r>
        <w:rPr>
          <w:rFonts w:ascii="Arial" w:cs="Arial" w:eastAsia="Arial" w:hAnsi="Arial"/>
          <w:sz w:val="16"/>
          <w:szCs w:val="16"/>
          <w:color w:val="auto"/>
        </w:rPr>
        <w:t>” means all worldwide intellectual property rights, industrial property rights, proprietary rights and common-law rights, whether registered or unregistered, which are not otherwise included in Confidential Information, Copyrights, Copyright Licenses, Domain Names, Governmental Licenses, Other IP Agreements, Patents, Patent Licenses, Trademarks, Trademark Licenses, Proprietary Databases, Proprietary Software, Websites, Website Agreements and Trade Secrets, including, without limitation, all rights to and under all new and useful algorithms, concepts, data (including all clinical data relating to a Product), databases, designs, discoveries, inventions, know-how, methods, processes, protocols, chemistries, compositions, show-how, software (other than commercially available, off-the-shelf software that is not assignable in connection with a Change of Control), specifications for Products, techniques, technology, trade dress and all improvements thereof and thereto, which is owned by the Borrower or any Subsidiary or which the Borrower or any Subsidiary is licensed, authorized or otherwise granted rights under or to.</w:t>
      </w:r>
    </w:p>
    <w:p>
      <w:pPr>
        <w:spacing w:after="0" w:line="16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IP Agreements</w:t>
      </w:r>
      <w:r>
        <w:rPr>
          <w:rFonts w:ascii="Arial" w:cs="Arial" w:eastAsia="Arial" w:hAnsi="Arial"/>
          <w:sz w:val="18"/>
          <w:szCs w:val="18"/>
          <w:color w:val="auto"/>
        </w:rPr>
        <w:t>” means any agreement, whether written or oral, providing for the grant of any right under any Confidential Information, Governmental Licenses, Proprietary Database, Proprietary Software, Trade Secret and/or any other IP Rights, to the extent that the grant of any such right is not otherwise the subject of a Copyright License, Trademark License, Patent License or Website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with respect to any Loans on any date, the aggregate outstanding principal amount thereof after giving effect to any borrowings and prepayments or repayments of any Loans occurring on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Paid-in-Kind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means any agreement, whether written or oral, providing for the grant of any right under any Patent.</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all letters patent and patent applications in the United States and all other countries (and all letters patent that issue therefrom) and all reissues, reexaminations, extensions, renewals, divisions and continuations (including continuations-in-part and continuing prosecution applications) thereof, for the full term thereof, together with the right to claim the priority thereto and the right to sue for past infringement of any of the foregoing, which are owned by the Borrower or any Subsidiary or which the Borrower or any Subsidiary is licensed, authorized or otherwise granted rights under or to.</w:t>
      </w:r>
    </w:p>
    <w:p>
      <w:pPr>
        <w:spacing w:after="0" w:line="15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Patient</w:t>
      </w:r>
      <w:r>
        <w:rPr>
          <w:rFonts w:ascii="Arial" w:cs="Arial" w:eastAsia="Arial" w:hAnsi="Arial"/>
          <w:sz w:val="18"/>
          <w:szCs w:val="18"/>
          <w:color w:val="auto"/>
        </w:rPr>
        <w:t>” means, on any date, any natural person for whom any health care items or services have been provided or performed prior to such date by the Borrower or any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11.17</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Payor</w:t>
      </w:r>
      <w:r>
        <w:rPr>
          <w:rFonts w:ascii="Arial" w:cs="Arial" w:eastAsia="Arial" w:hAnsi="Arial"/>
          <w:sz w:val="18"/>
          <w:szCs w:val="18"/>
          <w:color w:val="auto"/>
        </w:rPr>
        <w:t>” means any third party liable for payment for health care items or services provided or performed by the Borrower or any Subsidiary, including all Medical Reimbursement Programs, private insurance companies, Blue Cross/Blue Shield, health maintenance organizations, preferred provider organizations, managed care systems and alternative delivery systems.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or any successor thereto.</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Internal Revenue Code and ERISA regarding minimum required contributions (including any installment payment thereof) to Pension Plans and set forth in Sections 412, 430, 431, 432 and 436 of the Internal Revenue Code and Sections 302, 303, 304 and 305 of ERISA.</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minimum funding standards under Section 412 of the Internal Revenue Code.</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licenses, certificates, accreditations, product clearances or approvals, provider numbers or provider authorizations, marketing authorizations, other authorizations, registrations, permits, consents and approvals required in connection with the conduct of the Borrower’s or any Subsidiary’s business or to comply with any applicable Laws, and those issued by state governments for the conduct of the Borrower’s or any Subsidiary’s business.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xml:space="preserve">” means an Investment consisting of an Acquisition by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property acquired (or the property of the Person acquired) in such Acquisition is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used or useful in the same or a related line of business as the Borrower and its Subsidiaries were engaged in on the Effective Date (or any reasonable extensions or expansions thereof), (b) no Default or Event of Default shall have occurred and be continuing or would result from such Acquisition, (c) the Administrative Agent shall have received all items in respect of the Equity Interests or property acquired in such Acquisition required to be delivered by the terms of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(d) such Acquisition shall not be a “hostile” acquisition and shall have been approved by the Board of Directors and/or the shareholders (or equivalent) of the applicable Loan Party and the target of such Acquisition, (e) the Borrower shall have delivered to the Administrative Agent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statements for the Borrower and its Subsidiaries after giving effect to such Acquisition for the twelve month period ending as of the most recent fiscal quarter end in a form satisfactory to the Administrative Agent, (f) the representations and warranties made by the Loan Parties in each Loan Document shall be true and correct in all respects at and as if made as of the date of such Acquisition (after giving effect thereto) except to the extent any such representation and warranty expressly relates to an earlier date, in which case it shall be true and correct as of such earlier date and</w:t>
      </w:r>
    </w:p>
    <w:p>
      <w:pPr>
        <w:spacing w:after="0" w:line="7" w:lineRule="exact"/>
        <w:rPr>
          <w:sz w:val="20"/>
          <w:szCs w:val="20"/>
          <w:color w:val="auto"/>
        </w:rPr>
      </w:pPr>
    </w:p>
    <w:p>
      <w:pPr>
        <w:ind w:right="460" w:firstLine="8"/>
        <w:spacing w:after="0" w:line="277"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aggregate consideration (including cash and non-cash consideration, any assumption of Indebtedness, deferred purchase price and any Earn-Out Obligations, but excluding Qualified Capital Stock of the Borrower (to the extent not constituting a Change of Control)) paid by the Borrower and its Subsidiaries for all such Acquisitions during the term of this Agreement shall not exceed $20,000,000 in the aggregate.</w:t>
      </w:r>
    </w:p>
    <w:p>
      <w:pPr>
        <w:sectPr>
          <w:pgSz w:w="11900" w:h="16926" w:orient="portrait"/>
          <w:cols w:equalWidth="0" w:num="1">
            <w:col w:w="11360"/>
          </w:cols>
          <w:pgMar w:left="240" w:top="125" w:right="299" w:bottom="0" w:gutter="0" w:footer="0" w:header="0"/>
        </w:sectPr>
      </w:pPr>
    </w:p>
    <w:bookmarkStart w:id="50" w:name="page51"/>
    <w:bookmarkEnd w:id="50"/>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at any time, Liens in respect of property of any Loan Party or any of its Subsidiaries permitted to exist at such time pursuant to the terms of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principal amount (or accreted value, if applicable) thereof (less any original issue discount, if applicable) does not exceed the principal amount (or accreted value, if applicable) of the Indebtedness so modified, refinanced, refunded, renewed or extended except by an amount equal to unpaid accrued interest and premium thereon plus other reasonable amounts paid, and discounts, commissions and fees and expenses reasonably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if the Indebtedness being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modified, refinanced, refunded, renewed or extended, taken as a whole, (d) the terms of such Indebtedness shall not be more restrictive in any respect on the Loan Parties than the provisions of the Indebtedness being modified, refinanced, refunded, renewed or extended, (e) if the Indebtedness modified, refinanced, refunded, renewed or extended is unsecured, such modification, refinancing, refunding, renewal or extension shall also be unsecured Indebtedness and (f) such modification, refinancing, refunding, renewal or extension is incurred by the Person who is the obligor on the Indebtedness being modified, refinanced, refunded, renewed or extended, and such new or additional obligors as are or become Loan Parties and with respect to subordinated Indebtedness the obligations of such obligors shall be subordinated in right of payment to the Obligations on terms at least as favorable to the Lenders as those contained in documentation governing the Indebtedness, taken as a whole.</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Senior Revolving Credit Documents</w:t>
      </w:r>
      <w:r>
        <w:rPr>
          <w:rFonts w:ascii="Arial" w:cs="Arial" w:eastAsia="Arial" w:hAnsi="Arial"/>
          <w:sz w:val="17"/>
          <w:szCs w:val="17"/>
          <w:color w:val="auto"/>
        </w:rPr>
        <w:t>” means each agreement, instrument and document entered into by the Borrower or any Subsidiary in connection with the Permitted Senior Revolving Credit Indebtedness, in each case in form and substance reasonably satisfactory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Administrative Agent, as the same may be amended, modified, extended, restated, replaced or supplemented from time to time subject to the terms and provisions of the intercreditor agreement entered into by the Administrative Agent in connection therewith.</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Senior Revolving Credit Indebtedness</w:t>
      </w:r>
      <w:r>
        <w:rPr>
          <w:rFonts w:ascii="Arial" w:cs="Arial" w:eastAsia="Arial" w:hAnsi="Arial"/>
          <w:sz w:val="16"/>
          <w:szCs w:val="16"/>
          <w:color w:val="auto"/>
        </w:rPr>
        <w:t>” means senior secured Indebtedness of the Borrower incurred under the Permitted Senior Revolving Credit Documents which satisfies the following requirements: (a) the Borrower shall have delivered to the Administrative Agent and the Lenders the Permitted Senior Revolving Credit Documents prior to incurrence of the Permitted Senior Revolving Credit Indebtedness, certified by a Responsible Officer of the Borrower, (b) the Administrative Agent shall have approved the financial institution providing the Permitted Senior Revolving Credit Indebtedness (the “</w:t>
      </w:r>
      <w:r>
        <w:rPr>
          <w:rFonts w:ascii="Arial" w:cs="Arial" w:eastAsia="Arial" w:hAnsi="Arial"/>
          <w:sz w:val="16"/>
          <w:szCs w:val="16"/>
          <w:u w:val="single" w:color="auto"/>
          <w:color w:val="auto"/>
        </w:rPr>
        <w:t>Revolving Credit Lender</w:t>
      </w:r>
      <w:r>
        <w:rPr>
          <w:rFonts w:ascii="Arial" w:cs="Arial" w:eastAsia="Arial" w:hAnsi="Arial"/>
          <w:sz w:val="16"/>
          <w:szCs w:val="16"/>
          <w:color w:val="auto"/>
        </w:rPr>
        <w:t>”) and (c) no Subsidiary of the Borrower shall Guarantee, or provide a Lien with respect to, such Indebtedness.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has the meaning set forth in the definition of “Disposition”.</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PIK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2.06(c)(i)</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other than a Multiemployer Plan), maintained by the Borrower or any ERISA Affiliate.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means the pledge agreement dated as of the Funding Date executed in favor of the Administrative Agent, for the benefit of the Secured Parties, by each of the Loan Parties, as amended or modified from time to time in accordance with the terms hereof.</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xml:space="preserve">” means any product or service advertised, developed, imported, manufactured, marketed, offered for sale, provided, promoted, sold, tested, used or otherwise distributed by the Borrower or any Subsidiary in connection with the Businesses, including those products set forth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(as updated from time to time in accordance with the terms of this Agreement) or that embody, in whole or in part, the IP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the Borrower shall fail to comply with its obligations under this Agreement to give notice to the Administrative Agent and update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prior to manufacturing, selling, developing, testing or marketing any new product or service, any such improperly undisclosed product or service shall be deemed to be included in this definition.</w:t>
      </w:r>
    </w:p>
    <w:p>
      <w:pPr>
        <w:spacing w:after="0" w:line="193"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xml:space="preserve">” means, in respect of a Specified Transaction, that such Specified Transaction and the following transactions in connection therewith (to the extent applicable) shall be deemed to have occurred as of the first day of the applicable Measurement Period for the applicable covenant or requirement: (a)(i) with respect to any Disposition, Involuntary Disposition or sale, transfer or other disposition that results in a Person ceasing to be a Subsidiary, income statement and cash flow statement items (whether positive or negative) attributable to the Person or property disposed of shall be excluded and (ii) with respect to any Acquisition or Investment, income statement and cash flow statement items (whether positive or negative) attributable to the Person or property acquired shall be included to the extent relating to any period applicable in such calculations to the extent (A) such items are not otherwise included in such income statement items for the Borrower and is Subsidiaries in accordance with GAAP or in accordance with any defined terms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(B) such items are supported by financial statements or other information satisfactory to the Administrative Agent, (b) any retirement of Indebtedness and (c) any incurrence or assumption of Indebtedness by any Loan Party or any Subsidiary (and if such Indebtedness has a floating or formula rate, such Indebtedness shall have an implied rate of interest for the applicable period for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purposes of this definition determined by utilizing the rate which is or would be in effect with respect to such Indebtedness as at the relevant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Pro Forma Basis, Pro Forma Compliance and Pro Forma Effect in respect of any Specified Transaction shall be calculated in a reasonable and factually supportable manner and certified by a Responsible Officer of the Borrower.</w:t>
      </w:r>
    </w:p>
    <w:p>
      <w:pPr>
        <w:sectPr>
          <w:pgSz w:w="11900" w:h="16838" w:orient="portrait"/>
          <w:cols w:equalWidth="0" w:num="1">
            <w:col w:w="11400"/>
          </w:cols>
          <w:pgMar w:left="240" w:top="341" w:right="259" w:bottom="0" w:gutter="0" w:footer="0" w:header="0"/>
        </w:sectPr>
      </w:pPr>
    </w:p>
    <w:bookmarkStart w:id="51" w:name="page52"/>
    <w:bookmarkEnd w:id="51"/>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Term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Terms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Databases</w:t>
      </w:r>
      <w:r>
        <w:rPr>
          <w:rFonts w:ascii="Arial" w:cs="Arial" w:eastAsia="Arial" w:hAnsi="Arial"/>
          <w:sz w:val="18"/>
          <w:szCs w:val="18"/>
          <w:color w:val="auto"/>
        </w:rPr>
        <w:t>” means any material non-public proprietary database or information repository that is owned by the Borrower or any Subsidiary or that the Borrower or any Subsidiary is licensed, authorized or otherwise granted rights under or to.</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Software</w:t>
      </w:r>
      <w:r>
        <w:rPr>
          <w:rFonts w:ascii="Arial" w:cs="Arial" w:eastAsia="Arial" w:hAnsi="Arial"/>
          <w:sz w:val="18"/>
          <w:szCs w:val="18"/>
          <w:color w:val="auto"/>
        </w:rPr>
        <w:t>” means any proprietary software owned, licensed or otherwise used (other than any software that is generally commercially available, off-the-shelf and/or open source) including, without limitation, the object code and source code forms of such software and all associated documentation, which is owned by the Borrower or any Subsidiary or which the Borrower or any Subsidiary is licensed, authorized or otherwise granted rights under or 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Equity Interests of such Person that are not Disqualified Capital Stock.</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Control Agreement</w:t>
      </w:r>
      <w:r>
        <w:rPr>
          <w:rFonts w:ascii="Arial" w:cs="Arial" w:eastAsia="Arial" w:hAnsi="Arial"/>
          <w:sz w:val="17"/>
          <w:szCs w:val="17"/>
          <w:color w:val="auto"/>
        </w:rPr>
        <w:t>” means an agreement among a Loan Party, a depository institution or securities intermediary and the Administrative Agent, which agreement is in form and substance satisfactory to the Administrative Agent and which provides the Administrative Agent with “control” (as such term is used in Article 9 of the Uniform Commercial Code) over the deposit account(s) or securities account(s) described therein.</w:t>
      </w:r>
    </w:p>
    <w:p>
      <w:pPr>
        <w:spacing w:after="0" w:line="166"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Subordinated Debt</w:t>
      </w:r>
      <w:r>
        <w:rPr>
          <w:rFonts w:ascii="Arial" w:cs="Arial" w:eastAsia="Arial" w:hAnsi="Arial"/>
          <w:sz w:val="16"/>
          <w:szCs w:val="16"/>
          <w:color w:val="auto"/>
        </w:rPr>
        <w:t xml:space="preserve">” means unsecured subordinated Indebtedness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such Indebtedness shall not mature, and no scheduled principal payments, prepayments, repurchases, redemptions or sinking fund or like payments or cash interest payments of any kind shall be required at any time on or before the 181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following the Maturity Date, (b) such Indebtedness shall not include any financial maintenance covenants, the terms thereof shall be customary for deeply subordinated “insider” indebtedness, not more restrictive in any respect on the Loan Parties than the provisions of this Agreement and otherwise reasonably satisfactory to the Administrative Agent in all respects, (c) the terms of subordination applicable to such Indebtedness shall be reasonably satisfactory to the Administrative Agent (and the Administrative Agent, on the one hand, and the holders of such Indebtedness, on the other hand, shall have entered into a Qualified Subordinated Debt Subordination Agreement with respect thereto), (d) the Obligations shall be designated as “Designated Senior Debt” (and no other obligations shall be so designated) for all purposes of such Indebtedness, (e) the Loan Parties shall have delivered to the Administrative Agent certified copies of all documents and other agreements entered into in connection with such Indebtedness (collectively with the Qualified Subordinated Debt Subordination Agreement, the “</w:t>
      </w:r>
      <w:r>
        <w:rPr>
          <w:rFonts w:ascii="Arial" w:cs="Arial" w:eastAsia="Arial" w:hAnsi="Arial"/>
          <w:sz w:val="16"/>
          <w:szCs w:val="16"/>
          <w:u w:val="single" w:color="auto"/>
          <w:color w:val="auto"/>
        </w:rPr>
        <w:t>Qualified Subordinated Debt Documents</w:t>
      </w:r>
      <w:r>
        <w:rPr>
          <w:rFonts w:ascii="Arial" w:cs="Arial" w:eastAsia="Arial" w:hAnsi="Arial"/>
          <w:sz w:val="16"/>
          <w:szCs w:val="16"/>
          <w:color w:val="auto"/>
        </w:rPr>
        <w:t xml:space="preserve">”), (f) no Default or Event of Default (other than the Event of Default under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giving rise to the Cure Right) shall have occurred and be continuing at the time of incurrence of such Indebtedness or would result therefrom (and the Loan Parties shall deliver a certificate to the Administrative Agent certifying to the satisfaction of this condition), (g) the aggregate outstanding principal amount of all such Indebtedness shall not exceed $10,000,000 at any one time outstanding and (h) such Indebtedness shall only be incurred in connection with the exercise of a Cure Right and shall be subject to the limitations set forth in </w:t>
      </w:r>
      <w:r>
        <w:rPr>
          <w:rFonts w:ascii="Arial" w:cs="Arial" w:eastAsia="Arial" w:hAnsi="Arial"/>
          <w:sz w:val="16"/>
          <w:szCs w:val="16"/>
          <w:u w:val="single" w:color="auto"/>
          <w:color w:val="auto"/>
        </w:rPr>
        <w:t>Section 8.16(b)</w:t>
      </w:r>
      <w:r>
        <w:rPr>
          <w:rFonts w:ascii="Arial" w:cs="Arial" w:eastAsia="Arial" w:hAnsi="Arial"/>
          <w:sz w:val="16"/>
          <w:szCs w:val="16"/>
          <w:color w:val="auto"/>
        </w:rPr>
        <w: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Subordinated Debt Subordination Agreement</w:t>
      </w:r>
      <w:r>
        <w:rPr>
          <w:rFonts w:ascii="Arial" w:cs="Arial" w:eastAsia="Arial" w:hAnsi="Arial"/>
          <w:sz w:val="18"/>
          <w:szCs w:val="18"/>
          <w:color w:val="auto"/>
        </w:rPr>
        <w:t>” means any subordination agreement in form and substance reasonably satisfactory to the Administrative Agent that is entered into by the Administrative Agent, on the one hand, and the providers of the Qualified Subordinated Debt, on the other hand.</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Security Documents</w:t>
      </w:r>
      <w:r>
        <w:rPr>
          <w:rFonts w:ascii="Arial" w:cs="Arial" w:eastAsia="Arial" w:hAnsi="Arial"/>
          <w:sz w:val="18"/>
          <w:szCs w:val="18"/>
          <w:color w:val="auto"/>
        </w:rPr>
        <w:t>” means with respect to the fee interest and/or leasehold interest of any Loan Party in any real property (other than Excluded Property):</w:t>
      </w:r>
    </w:p>
    <w:p>
      <w:pPr>
        <w:spacing w:after="0" w:line="170" w:lineRule="exact"/>
        <w:rPr>
          <w:sz w:val="20"/>
          <w:szCs w:val="20"/>
          <w:color w:val="auto"/>
        </w:rPr>
      </w:pPr>
    </w:p>
    <w:p>
      <w:pPr>
        <w:ind w:left="1940" w:hanging="635"/>
        <w:spacing w:after="0"/>
        <w:tabs>
          <w:tab w:leader="none" w:pos="1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fully executed and notarized Mortgage encumbering the fee interest and/or leasehold interest of such Loan Party in such real</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210" w:lineRule="exact"/>
        <w:rPr>
          <w:rFonts w:ascii="Arial" w:cs="Arial" w:eastAsia="Arial" w:hAnsi="Arial"/>
          <w:sz w:val="16"/>
          <w:szCs w:val="16"/>
          <w:color w:val="auto"/>
        </w:rPr>
      </w:pPr>
    </w:p>
    <w:p>
      <w:pPr>
        <w:ind w:left="660" w:right="100" w:firstLine="645"/>
        <w:spacing w:after="0" w:line="254" w:lineRule="auto"/>
        <w:tabs>
          <w:tab w:leader="none" w:pos="1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if requested by the Administrative Agent in its sole discretion, maps or plats of an as-built survey of the sites of such real property certified to the Administrative Agent and the title insurance company issuing the policies referred to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in a manner satisfactory to each of the Administrative Agent and such title insurance company, dated a date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the American Congress on Surveying and Mapping in 2011 with items 2, 3, 4, 6(b), 7(a), 7(b)(1), 7(c), 8, 9, 10, 11(a), 13, 14, 16,17, 18 and 19 on Table A thereof completed;</w:t>
      </w:r>
    </w:p>
    <w:p>
      <w:pPr>
        <w:spacing w:after="0" w:line="192" w:lineRule="exact"/>
        <w:rPr>
          <w:rFonts w:ascii="Arial" w:cs="Arial" w:eastAsia="Arial" w:hAnsi="Arial"/>
          <w:sz w:val="18"/>
          <w:szCs w:val="18"/>
          <w:color w:val="auto"/>
        </w:rPr>
      </w:pPr>
    </w:p>
    <w:p>
      <w:pPr>
        <w:ind w:left="660" w:right="140" w:firstLine="645"/>
        <w:spacing w:after="0" w:line="257" w:lineRule="auto"/>
        <w:tabs>
          <w:tab w:leader="none" w:pos="19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ALTA mortgagee title insurance policies issued by a title insurance company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Liens, which title insurance policies shall otherwise be in form and substance satisfactory to the Administrative Agent and shall include such endorsements as are requested by the Administrative Agent;</w:t>
      </w:r>
    </w:p>
    <w:p>
      <w:pPr>
        <w:spacing w:after="0" w:line="188" w:lineRule="exact"/>
        <w:rPr>
          <w:rFonts w:ascii="Arial" w:cs="Arial" w:eastAsia="Arial" w:hAnsi="Arial"/>
          <w:sz w:val="18"/>
          <w:szCs w:val="18"/>
          <w:color w:val="auto"/>
        </w:rPr>
      </w:pPr>
    </w:p>
    <w:p>
      <w:pPr>
        <w:ind w:left="660" w:right="60" w:firstLine="645"/>
        <w:spacing w:after="0" w:line="291" w:lineRule="auto"/>
        <w:tabs>
          <w:tab w:leader="none" w:pos="19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evidence as to (i) whether such real property is in an area designated by the Federal Emergency Management Agency as having special flood or mud slide hazards (a “</w:t>
      </w:r>
      <w:r>
        <w:rPr>
          <w:rFonts w:ascii="Arial" w:cs="Arial" w:eastAsia="Arial" w:hAnsi="Arial"/>
          <w:sz w:val="16"/>
          <w:szCs w:val="16"/>
          <w:u w:val="single" w:color="auto"/>
          <w:color w:val="auto"/>
        </w:rPr>
        <w:t>Flood Hazard Property</w:t>
      </w:r>
      <w:r>
        <w:rPr>
          <w:rFonts w:ascii="Arial" w:cs="Arial" w:eastAsia="Arial" w:hAnsi="Arial"/>
          <w:sz w:val="16"/>
          <w:szCs w:val="16"/>
          <w:color w:val="auto"/>
        </w:rPr>
        <w:t>”) and (ii) if such real property is a Flood Hazard Property, (A) whether the community in which such real property is located is participating in the National Flood Insurance Program, (B) the applicable Loan Party’s written acknowledgment of receipt of written notification from the Administrative Agent (1) as to the fact that such real property is a Flood Hazard Property and (2) as to whether the community in which each such Flood Hazard Property is located is participating in the National Flood Insurance Program and (C) copies of insurance policies or certificates of insurance of the Borrower and its Subsidiaries evidencing flood insurance satisfactory to the Administrative Agent and naming the Administrative Agent and its successors and/or assigns as sole loss payee on behalf of the Secured Parties;</w:t>
      </w:r>
    </w:p>
    <w:p>
      <w:pPr>
        <w:spacing w:after="0" w:line="167" w:lineRule="exact"/>
        <w:rPr>
          <w:rFonts w:ascii="Arial" w:cs="Arial" w:eastAsia="Arial" w:hAnsi="Arial"/>
          <w:sz w:val="16"/>
          <w:szCs w:val="16"/>
          <w:color w:val="auto"/>
        </w:rPr>
      </w:pPr>
    </w:p>
    <w:p>
      <w:pPr>
        <w:ind w:left="660" w:right="380" w:firstLine="645"/>
        <w:spacing w:after="0" w:line="277" w:lineRule="auto"/>
        <w:tabs>
          <w:tab w:leader="none" w:pos="196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requested by the Administrative Agent in its sole discretion, an environmental assessment report, as to such real property, in form and substance and from professional firms acceptable to the Administrative Agent;</w:t>
      </w:r>
    </w:p>
    <w:p>
      <w:pPr>
        <w:spacing w:after="0" w:line="170" w:lineRule="exact"/>
        <w:rPr>
          <w:rFonts w:ascii="Arial" w:cs="Arial" w:eastAsia="Arial" w:hAnsi="Arial"/>
          <w:sz w:val="18"/>
          <w:szCs w:val="18"/>
          <w:color w:val="auto"/>
        </w:rPr>
      </w:pPr>
    </w:p>
    <w:p>
      <w:pPr>
        <w:ind w:left="660" w:right="220" w:firstLine="645"/>
        <w:spacing w:after="0" w:line="264" w:lineRule="auto"/>
        <w:tabs>
          <w:tab w:leader="none" w:pos="19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requested by the Administrative Agent in its sole discretion, evidence reasonably satisfactory to the Administrative Agent that such real property, and the uses of such real property, are in compliance in all material respects with all applicable zoning laws (the evidence submitted as to which should include the zoning designation made for such real</w:t>
      </w:r>
    </w:p>
    <w:p>
      <w:pPr>
        <w:sectPr>
          <w:pgSz w:w="11900" w:h="16850" w:orient="portrait"/>
          <w:cols w:equalWidth="0" w:num="1">
            <w:col w:w="11420"/>
          </w:cols>
          <w:pgMar w:left="240" w:top="125" w:right="239" w:bottom="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property, the permitted uses of such real property under such zoning designation and, if available, zoning requirements as to parking, lot size, ingress, egress and building setbacks);</w:t>
      </w:r>
    </w:p>
    <w:p>
      <w:pPr>
        <w:spacing w:after="0" w:line="170" w:lineRule="exact"/>
        <w:rPr>
          <w:sz w:val="20"/>
          <w:szCs w:val="20"/>
          <w:color w:val="auto"/>
        </w:rPr>
      </w:pPr>
    </w:p>
    <w:p>
      <w:pPr>
        <w:ind w:left="660" w:right="20" w:firstLine="645"/>
        <w:spacing w:after="0" w:line="255" w:lineRule="auto"/>
        <w:tabs>
          <w:tab w:leader="none" w:pos="19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 leasehold interest of any Loan Party in such real property, (i) such Collateral Access Agreements as may be required by the Administrative Agent, and (ii) evidence that the applicable lease, a memorandum of lease with respect thereto, or other evidence of such lease in form and substance satisfactory to the Administrative Agent, has been or will be recorded in all places to the extent necessary or desirable, in the judgment of the Administrative Agent, so as to enable the Mortgage encumbering such leasehold interest to effectively create a valid and enforceable first priority lien (subject to Permitted Liens) on such leasehold interest in favor of the Administrative Agent (or such other Person as may be required or desired under local law); and</w:t>
      </w:r>
    </w:p>
    <w:p>
      <w:pPr>
        <w:spacing w:after="0" w:line="193"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requested by the Administrative Agent in its sole discretion, an opinion of legal counsel to the Loan Party granting the Mortgage on such real property, addressed to the Administrative Agent and each Lender, in form and substance reasonably acceptable to the Administrative Agent.</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w:t>
      </w:r>
      <w:r>
        <w:rPr>
          <w:rFonts w:ascii="Arial" w:cs="Arial" w:eastAsia="Arial" w:hAnsi="Arial"/>
          <w:sz w:val="16"/>
          <w:szCs w:val="16"/>
          <w:color w:val="auto"/>
        </w:rPr>
        <w:t>” means all Patient accounts existing or hereafter created, any and all rights to receive payments due on such accounts from any Patient or Payor under or in respect of such account to the extent not evidenced by an instrument or chattel paper, and all proceeds of, or in any way derived from, any of the foregoing, whether directly or indirectly (including all interest, finance charges and other amounts payable by the obligor in respect thereof).</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and any other recipient of any payment by or on account of any obligation of any Loan Party under any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sub-advisors and representatives of such Person and of such Person’s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thirty-day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Lenders having Total Credit Exposures representing more than fifty percent (50%) of the Total Credit Exposures of all Lenders. The Total Credit Exposure of any Defaulting Lender shall be disregarded in determining Required Lenders at any time.</w:t>
      </w:r>
    </w:p>
    <w:p>
      <w:pPr>
        <w:spacing w:after="0" w:line="12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Permit</w:t>
      </w:r>
      <w:r>
        <w:rPr>
          <w:rFonts w:ascii="Arial" w:cs="Arial" w:eastAsia="Arial" w:hAnsi="Arial"/>
          <w:sz w:val="16"/>
          <w:szCs w:val="16"/>
          <w:color w:val="auto"/>
        </w:rPr>
        <w:t>” means (a) a Permit issued or required under Laws applicable to the business of the Borrower or any Subsidiary or necessary in the manufacturing, importing, exporting, possession, ownership, warehousing, marketing, promoting, sale, labeling, furnishing, distribution or delivery of goods or services under Laws applicable to the business of the Borrower or any Subsidiary (including without limitation, at any point in time, all licenses, approvals and permits issued by the FDA or any other applicable Governmental Authority necessary for the testing, manufacture, marketing or sale of any Product by the Borrower or any Subsidiary as such activities are being conducted by the Borrower or such Subsidiary with respect to such Product at such time), and</w:t>
      </w:r>
    </w:p>
    <w:p>
      <w:pPr>
        <w:spacing w:after="0" w:line="2" w:lineRule="exact"/>
        <w:rPr>
          <w:sz w:val="20"/>
          <w:szCs w:val="20"/>
          <w:color w:val="auto"/>
        </w:rPr>
      </w:pPr>
    </w:p>
    <w:p>
      <w:pPr>
        <w:ind w:left="5620" w:right="1800" w:hanging="5612"/>
        <w:spacing w:after="0" w:line="511" w:lineRule="auto"/>
        <w:tabs>
          <w:tab w:leader="none" w:pos="25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Permit issued by any Person from which the Borrower or any Subsidiary has, as of the Effective Date, received an accreditation.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chief legal officer, chief financial officer, treasurer, assistant treasurer or controller of a Loan Party and, solely for purposes of the delivery of certificates pursuant to </w:t>
      </w:r>
      <w:r>
        <w:rPr>
          <w:rFonts w:ascii="Arial" w:cs="Arial" w:eastAsia="Arial" w:hAnsi="Arial"/>
          <w:sz w:val="18"/>
          <w:szCs w:val="18"/>
          <w:u w:val="single" w:color="auto"/>
          <w:color w:val="auto"/>
        </w:rPr>
        <w:t>Sections 5.02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7.12</w:t>
      </w:r>
      <w:r>
        <w:rPr>
          <w:rFonts w:ascii="Arial" w:cs="Arial" w:eastAsia="Arial" w:hAnsi="Arial"/>
          <w:sz w:val="18"/>
          <w:szCs w:val="18"/>
          <w:color w:val="auto"/>
        </w:rPr>
        <w:t>, the secretary or any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w:t>
      </w:r>
      <w:r>
        <w:rPr>
          <w:rFonts w:ascii="Arial" w:cs="Arial" w:eastAsia="Arial" w:hAnsi="Arial"/>
          <w:sz w:val="18"/>
          <w:szCs w:val="18"/>
          <w:color w:val="auto"/>
        </w:rPr>
        <w:t>” means, when referring to cash or Cash Equivalents of the Loan Parties, that such cash or Cash Equivalents (a) appear (or would be required to appear) as “restricted” on a consolidated balance sheet of the Borrower and its Subsidiaries as determined in accordance with GAAP, or (b) are subject to any Lien in favor of any Person (other than bankers’ liens and rights of setoff) other than the Administrative Agent for the benefit of the Secured Parties.</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 any dividend or other distribution, direct or indirect, on account of any shares (or equivalent) of any class of Equity Interests of any Loan Party or any of its Subsidiaries, now or hereafter outstanding, (b) any redemption, retirement, sinking fund or similar payment, purchase or other acquisition for value, direct or indirect, of any shares (or equivalent) of any class of Equity Interests of any Loan Party or any of its Subsidiaries, now or hereafter outstanding, and (c) any payment made to retire, or to obtain the surrender of, any outstanding warrants, options or other rights to acquire shares of any class of Equity Interests of any Loan Party or any of its Subsidiaries, now or hereafter outstanding.</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Receivables</w:t>
      </w:r>
      <w:r>
        <w:rPr>
          <w:rFonts w:ascii="Arial" w:cs="Arial" w:eastAsia="Arial" w:hAnsi="Arial"/>
          <w:sz w:val="18"/>
          <w:szCs w:val="18"/>
          <w:color w:val="auto"/>
        </w:rPr>
        <w:t>” means any account receivables generated by the Borrower or any Subsidiary from a line of business permitted under the Loan Documents, including any Receivables which, due to the requirements of applicable Laws, may not be paid by the payor into an account which is subject to a Qualifying Control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has the meaning set forth in the definition of “Permitted Senior Revolving Credit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Priority 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8.03(g)</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ROFR Side Letter</w:t>
      </w:r>
      <w:r>
        <w:rPr>
          <w:rFonts w:ascii="Arial" w:cs="Arial" w:eastAsia="Arial" w:hAnsi="Arial"/>
          <w:sz w:val="16"/>
          <w:szCs w:val="16"/>
          <w:color w:val="auto"/>
        </w:rPr>
        <w:t>” means that certain letter agreement dated as of the Funding Date by and between the Borrower and the Lenders from time to time party thereto with respect to the purchase of certain common stock of the Borrower in connection with a sale of the common equity of the Borrower.</w:t>
      </w:r>
    </w:p>
    <w:p>
      <w:pPr>
        <w:sectPr>
          <w:pgSz w:w="11900" w:h="16838" w:orient="portrait"/>
          <w:cols w:equalWidth="0" w:num="1">
            <w:col w:w="11420"/>
          </w:cols>
          <w:pgMar w:left="240" w:top="341" w:right="239" w:bottom="0" w:gutter="0" w:footer="0" w:header="0"/>
        </w:sectPr>
      </w:pPr>
    </w:p>
    <w:bookmarkStart w:id="53" w:name="page54"/>
    <w:bookmarkEnd w:id="53"/>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McGraw-Hill Financial, Inc.,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Safety Notices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6.23</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Administrative Agent, the Lenders and the Indemnitees.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Transaction</w:t>
      </w:r>
      <w:r>
        <w:rPr>
          <w:rFonts w:ascii="Arial" w:cs="Arial" w:eastAsia="Arial" w:hAnsi="Arial"/>
          <w:sz w:val="16"/>
          <w:szCs w:val="16"/>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4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the security agreement dated as of the Funding Date executed in favor of the Administrative Agent, for the benefit of the Secured Parties, by each of the Loan Parties, as amended or modified from time to time in accordance with the terms hereof.</w:t>
      </w:r>
    </w:p>
    <w:p>
      <w:pPr>
        <w:spacing w:after="0" w:line="14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or “</w:t>
      </w:r>
      <w:r>
        <w:rPr>
          <w:rFonts w:ascii="Arial" w:cs="Arial" w:eastAsia="Arial" w:hAnsi="Arial"/>
          <w:sz w:val="16"/>
          <w:szCs w:val="16"/>
          <w:u w:val="single" w:color="auto"/>
          <w:color w:val="auto"/>
        </w:rPr>
        <w:t>Solvency</w:t>
      </w:r>
      <w:r>
        <w:rPr>
          <w:rFonts w:ascii="Arial" w:cs="Arial" w:eastAsia="Arial" w:hAnsi="Arial"/>
          <w:sz w:val="16"/>
          <w:szCs w:val="16"/>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as such debts and liabilities mature in their ordinary course, (c) such Person is not engaged in a business or a transaction, and is not about to engage in a business or a transaction, for which such Person’s property would constitute unreasonably small capital after giving due consideration to the prevailing practice in the industry in which such Person is engaged or is to engage, (d) the fair value of the property of such Person is greater than the total amount of liabilities, including, without limitation, contingent liabilities, of such Person and</w:t>
      </w:r>
    </w:p>
    <w:p>
      <w:pPr>
        <w:spacing w:after="0" w:line="5" w:lineRule="exact"/>
        <w:rPr>
          <w:sz w:val="20"/>
          <w:szCs w:val="20"/>
          <w:color w:val="auto"/>
        </w:rPr>
      </w:pPr>
    </w:p>
    <w:p>
      <w:pPr>
        <w:jc w:val="both"/>
        <w:ind w:right="40" w:firstLine="8"/>
        <w:spacing w:after="0" w:line="254"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present fair salable value of the assets of such Person is not less than the amount that will be required to pay the probable liability of such Person on its debts as they become absolute and matured.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Equity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(a) any Acquisition, any Disposition, any sale, transfer or other disposition that results in a Person ceasing to be a Subsidiary, any Involuntary Disposition, or any Investment that results in a Person becoming a Subsidiary, in each case, whether by merger, consolidation or otherwise or (b) any other event that by the terms of the Loan Documents requires Pro Forma Compliance with a test or covenant, calculation as to Pro Forma Effect with respect to a test or covenant or requires such test or covenant to be calculated on a Pro Forma Basis.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8.16(b)(ii)</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82" w:lineRule="exact"/>
        <w:rPr>
          <w:sz w:val="20"/>
          <w:szCs w:val="20"/>
          <w:color w:val="auto"/>
        </w:rPr>
      </w:pPr>
    </w:p>
    <w:p>
      <w:pPr>
        <w:ind w:right="4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w:t>
      </w:r>
    </w:p>
    <w:p>
      <w:pPr>
        <w:ind w:right="160"/>
        <w:spacing w:after="0" w:line="290" w:lineRule="auto"/>
        <w:rPr>
          <w:sz w:val="20"/>
          <w:szCs w:val="20"/>
          <w:color w:val="auto"/>
        </w:rPr>
      </w:pPr>
      <w:r>
        <w:rPr>
          <w:rFonts w:ascii="Arial" w:cs="Arial" w:eastAsia="Arial" w:hAnsi="Arial"/>
          <w:sz w:val="17"/>
          <w:szCs w:val="17"/>
          <w:color w:val="auto"/>
        </w:rPr>
        <w:t>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w:t>
      </w:r>
      <w:r>
        <w:rPr>
          <w:rFonts w:ascii="Arial" w:cs="Arial" w:eastAsia="Arial" w:hAnsi="Arial"/>
          <w:sz w:val="16"/>
          <w:szCs w:val="16"/>
          <w:color w:val="auto"/>
        </w:rPr>
        <w:t>” 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w:t>
      </w:r>
    </w:p>
    <w:p>
      <w:pPr>
        <w:sectPr>
          <w:pgSz w:w="11900" w:h="16975" w:orient="portrait"/>
          <w:cols w:equalWidth="0" w:num="1">
            <w:col w:w="11420"/>
          </w:cols>
          <w:pgMar w:left="240" w:top="125"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 balance sheet under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right="1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Borrowing</w:t>
      </w:r>
      <w:r>
        <w:rPr>
          <w:rFonts w:ascii="Arial" w:cs="Arial" w:eastAsia="Arial" w:hAnsi="Arial"/>
          <w:sz w:val="18"/>
          <w:szCs w:val="18"/>
          <w:color w:val="auto"/>
        </w:rPr>
        <w:t xml:space="preserve">” means a borrowing consisting of simultaneous Term A Loans made by each of the Term A Lenders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Commitment</w:t>
      </w:r>
      <w:r>
        <w:rPr>
          <w:rFonts w:ascii="Arial" w:cs="Arial" w:eastAsia="Arial" w:hAnsi="Arial"/>
          <w:sz w:val="18"/>
          <w:szCs w:val="18"/>
          <w:color w:val="auto"/>
        </w:rPr>
        <w:t xml:space="preserve">” means, as to each Term A Lender, its obligation to make a Term A Loan to the Borrower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in the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The aggregate principal amount of the Term A Commitments of all of the Term A Lenders as in effect on the Effective Date is TWENTY-FIVE MILLION DOLLARS ($25,000,000).</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Facility</w:t>
      </w:r>
      <w:r>
        <w:rPr>
          <w:rFonts w:ascii="Arial" w:cs="Arial" w:eastAsia="Arial" w:hAnsi="Arial"/>
          <w:sz w:val="18"/>
          <w:szCs w:val="18"/>
          <w:color w:val="auto"/>
        </w:rPr>
        <w:t>” means, at any time, (a) on or prior to the Funding Date, the aggregate amount of the Term A Commitments at such time and (b) thereafter, the aggregate principal amount of the Term A Loans of all Term A Lenders outstanding at such time.</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Lender</w:t>
      </w:r>
      <w:r>
        <w:rPr>
          <w:rFonts w:ascii="Arial" w:cs="Arial" w:eastAsia="Arial" w:hAnsi="Arial"/>
          <w:sz w:val="18"/>
          <w:szCs w:val="18"/>
          <w:color w:val="auto"/>
        </w:rPr>
        <w:t>” means (a) at any time on or prior to the Funding Date, any Lender that has a Term A Commitment at such time and (b) at any time after the Funding Date, any Lender that holds one or more Term A Loans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Loan</w:t>
      </w:r>
      <w:r>
        <w:rPr>
          <w:rFonts w:ascii="Arial" w:cs="Arial" w:eastAsia="Arial" w:hAnsi="Arial"/>
          <w:sz w:val="18"/>
          <w:szCs w:val="18"/>
          <w:color w:val="auto"/>
        </w:rPr>
        <w:t>” means an advance made by any Term A Lender under the Term A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 Note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B Borrowing</w:t>
      </w:r>
      <w:r>
        <w:rPr>
          <w:rFonts w:ascii="Arial" w:cs="Arial" w:eastAsia="Arial" w:hAnsi="Arial"/>
          <w:sz w:val="16"/>
          <w:szCs w:val="16"/>
          <w:color w:val="auto"/>
        </w:rPr>
        <w:t xml:space="preserve">” means a borrowing consisting of simultaneous Term B Loans made by each of the Term B Lenders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w:t>
      </w:r>
    </w:p>
    <w:p>
      <w:pPr>
        <w:spacing w:after="0" w:line="2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Commitment</w:t>
      </w:r>
      <w:r>
        <w:rPr>
          <w:rFonts w:ascii="Arial" w:cs="Arial" w:eastAsia="Arial" w:hAnsi="Arial"/>
          <w:sz w:val="18"/>
          <w:szCs w:val="18"/>
          <w:color w:val="auto"/>
        </w:rPr>
        <w:t xml:space="preserve">” means, as to each Lender, its obligation to make a Term B Loan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in the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The aggregate principal amount of the Term B Commitments of all of the Lenders as in effect on the Effective Date is FIFTEEN MILLION DOLLARS ($15,000,000.00).</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Facility</w:t>
      </w:r>
      <w:r>
        <w:rPr>
          <w:rFonts w:ascii="Arial" w:cs="Arial" w:eastAsia="Arial" w:hAnsi="Arial"/>
          <w:sz w:val="18"/>
          <w:szCs w:val="18"/>
          <w:color w:val="auto"/>
        </w:rPr>
        <w:t>” means, at any time, (a) on or prior to the Funding Date, the aggregate amount of the Term B Commitments at such time, (b) at any time during the Availability Period, the aggregate amount of the Term B Commitments at such time and (c) thereafter, the aggregate principal amount of the Term B Loans of all Term B Lenders outstanding at such time.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Lender</w:t>
      </w:r>
      <w:r>
        <w:rPr>
          <w:rFonts w:ascii="Arial" w:cs="Arial" w:eastAsia="Arial" w:hAnsi="Arial"/>
          <w:sz w:val="18"/>
          <w:szCs w:val="18"/>
          <w:color w:val="auto"/>
        </w:rPr>
        <w:t>” means (a) at any time on or prior to the Funding Date, any Lender that has a Term B Commitment at such time, (b) at any time during the Availability Period, any Lender that has a Term B Commitment at such time and (c) at any time after the Availability Period, any Lender that holds one or more Term B Loans at such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Loan</w:t>
      </w:r>
      <w:r>
        <w:rPr>
          <w:rFonts w:ascii="Arial" w:cs="Arial" w:eastAsia="Arial" w:hAnsi="Arial"/>
          <w:sz w:val="18"/>
          <w:szCs w:val="18"/>
          <w:color w:val="auto"/>
        </w:rPr>
        <w:t>” means an advance made by any Term B Lender under the Term B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 Note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$350,000.</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of such Lender at such time and the Outstanding Amount of all Loans of such Lender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means any agreement, written or oral, providing for the grant of any right to use any Trademark.</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all statutory and common-law trademarks, trade names, corporate names, company names, business names, fictitious business names, trade styles, service marks, logos and other source or business identifiers, and the goodwill associated therewith, now existing or hereafter adopted or acquired, all registrations and recordings thereof, and all applications to register in connection therewith, under the laws of the United States, any state thereof or any other country or any political subdivision thereof, or otherwise, for the full term and all renewals thereof, which are owned by the Borrower or any Subsidiary or which the Borrower or any Subsidiary is licensed, authorized or otherwise granted rights under or to.</w:t>
      </w:r>
    </w:p>
    <w:p>
      <w:pPr>
        <w:spacing w:after="0" w:line="173"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w:t>
      </w:r>
      <w:r>
        <w:rPr>
          <w:rFonts w:ascii="Arial" w:cs="Arial" w:eastAsia="Arial" w:hAnsi="Arial"/>
          <w:sz w:val="16"/>
          <w:szCs w:val="16"/>
          <w:color w:val="auto"/>
        </w:rPr>
        <w:t>” means any data or information that is not commonly known by or available to the public and which (a) derives economic value, actual or potential, from not being generally known to and not being readily ascertainable by proper means by other Persons who can obtain economic value from its disclosure or use, (b) is the subject of efforts that are reasonable under the circumstances to maintain its secrecy and (c) which are owned by the Borrower or any Subsidiary or which the Borrower or any Subsidiary is licensed, authorized or otherwise granted rights under or to.</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TRICARE</w:t>
      </w:r>
      <w:r>
        <w:rPr>
          <w:rFonts w:ascii="Arial" w:cs="Arial" w:eastAsia="Arial" w:hAnsi="Arial"/>
          <w:sz w:val="18"/>
          <w:szCs w:val="18"/>
          <w:color w:val="auto"/>
        </w:rPr>
        <w:t>” means the health care program of the United States Department of Defense Military Health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at any time, the aggregate cash and Cash Equivalents of the Loan Parties (without duplication) that are not Restricted at such time.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ectPr>
          <w:pgSz w:w="11900" w:h="16838" w:orient="portrait"/>
          <w:cols w:equalWidth="0" w:num="1">
            <w:col w:w="11400"/>
          </w:cols>
          <w:pgMar w:left="240" w:top="125" w:right="259" w:bottom="0" w:gutter="0" w:footer="0" w:header="0"/>
        </w:sectPr>
      </w:pPr>
    </w:p>
    <w:bookmarkStart w:id="55" w:name="page56"/>
    <w:bookmarkEnd w:id="55"/>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Websites</w:t>
      </w:r>
      <w:r>
        <w:rPr>
          <w:rFonts w:ascii="Arial" w:cs="Arial" w:eastAsia="Arial" w:hAnsi="Arial"/>
          <w:sz w:val="18"/>
          <w:szCs w:val="18"/>
          <w:color w:val="auto"/>
        </w:rPr>
        <w:t>” means all websites that the Borrower or any Subsidiary shall operate, manage or control through a Domain Name, whether on an exclusive basis or a nonexclusive basis, including, without limitation, all content, elements, data, information, materials, hypertext markup language (HTML), software and code, works of authorship, textual works, visual works, aural works, audiovisual works and functionality embodied in, published or available through each such website and all intellectual property and proprietary rights in each of the foregoing.</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Website Agreements</w:t>
      </w:r>
      <w:r>
        <w:rPr>
          <w:rFonts w:ascii="Arial" w:cs="Arial" w:eastAsia="Arial" w:hAnsi="Arial"/>
          <w:sz w:val="16"/>
          <w:szCs w:val="16"/>
          <w:color w:val="auto"/>
        </w:rPr>
        <w:t>” means all agreements between the Borrower and/or any Subsidiary and any other Person pursuant to which such Person provides any services relating to the hosting, design, operation, management or maintenance of any Website, including without limitation, all agreements with any Person providing website hosting, database management or maintenance or disaster recovery services to the Borrower and/or any Subsidiary and all agreements with any domain name registrar, as all such agreements may be amended, supplemented or otherwise modified from time to time.</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Wholly Owned Subsidiary</w:t>
      </w:r>
      <w:r>
        <w:rPr>
          <w:rFonts w:ascii="Arial" w:cs="Arial" w:eastAsia="Arial" w:hAnsi="Arial"/>
          <w:sz w:val="16"/>
          <w:szCs w:val="16"/>
          <w:color w:val="auto"/>
        </w:rPr>
        <w:t>” means, as to any Person, (a) any corporation one hundred percent (100%) of whose Equity Interests (other than directors’ qualifying shares or Equity Interests that are required to be held by another person in order to satisfy a foreign requirement of Law prescribing an equity owner resident in the local jurisdiction) is at the time owned by such Person and/or one or more Wholly Owned Subsidiaries of such Person and</w:t>
      </w:r>
    </w:p>
    <w:p>
      <w:pPr>
        <w:ind w:right="80" w:firstLine="8"/>
        <w:spacing w:after="0" w:line="302" w:lineRule="auto"/>
        <w:tabs>
          <w:tab w:leader="none" w:pos="2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partnership, association, joint venture, limited liability company or other entity in which such Person and/or one or more Wholly Owned Subsidiaries of such Person have a one hundred percent (100%) equity interest at such time. Unless otherwise specified, all references herein to a “Wholly Owned Subsidiary” or to “Wholly Owned Subsidiaries” shall refer to a Wholly Owned Subsidiary or Wholly Owned Subsidiaries of the Borrower.</w:t>
      </w:r>
    </w:p>
    <w:p>
      <w:pPr>
        <w:spacing w:after="0" w:line="15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the Administrative Agent and any other Person required by applicable Law to withhold or deduct amounts from a payment made by or on account of any obligation of any Loan Party under any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w:t>
      </w:r>
      <w:r>
        <w:rPr>
          <w:rFonts w:ascii="Arial" w:cs="Arial" w:eastAsia="Arial" w:hAnsi="Arial"/>
          <w:sz w:val="18"/>
          <w:szCs w:val="18"/>
          <w:color w:val="auto"/>
        </w:rPr>
        <w:t>” means any work or subject matter that is subject to protection pursuant to Title 17 of the United States Code.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Other Interpretive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86" w:lineRule="auto"/>
        <w:tabs>
          <w:tab w:leader="none" w:pos="195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 extended, restated, replaced or supplemented from time to time (subject to any restrictions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any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real and personal property and tangible and intangible assets and properties, including cash, securities, accounts and contract rights.</w:t>
      </w:r>
    </w:p>
    <w:p>
      <w:pPr>
        <w:spacing w:after="0" w:line="168" w:lineRule="exact"/>
        <w:rPr>
          <w:rFonts w:ascii="Arial" w:cs="Arial" w:eastAsia="Arial" w:hAnsi="Arial"/>
          <w:sz w:val="16"/>
          <w:szCs w:val="16"/>
          <w:color w:val="auto"/>
        </w:rPr>
      </w:pPr>
    </w:p>
    <w:p>
      <w:pPr>
        <w:ind w:left="660" w:right="60" w:firstLine="645"/>
        <w:spacing w:after="0" w:line="277" w:lineRule="auto"/>
        <w:tabs>
          <w:tab w:leader="none" w:pos="19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“from and including;”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“to but excluding;”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“to and including.”</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Accounting Terms.</w:t>
      </w:r>
    </w:p>
    <w:p>
      <w:pPr>
        <w:spacing w:after="0" w:line="225" w:lineRule="exact"/>
        <w:rPr>
          <w:sz w:val="20"/>
          <w:szCs w:val="20"/>
          <w:color w:val="auto"/>
        </w:rPr>
      </w:pPr>
    </w:p>
    <w:p>
      <w:pPr>
        <w:ind w:left="660" w:firstLine="645"/>
        <w:spacing w:after="0" w:line="270" w:lineRule="auto"/>
        <w:tabs>
          <w:tab w:leader="none" w:pos="195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calculations of Attributable Indebtedness under any Synthetic Lease or the implied interest component of any Synthetic Lease shall be made by the Borrower in accordance with accepted financial practice and consistent with the terms of such Synthetic Lease. Notwithstanding the foregoing, for purposes of determining compliance with any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81" w:lineRule="exact"/>
        <w:rPr>
          <w:rFonts w:ascii="Arial" w:cs="Arial" w:eastAsia="Arial" w:hAnsi="Arial"/>
          <w:sz w:val="17"/>
          <w:szCs w:val="17"/>
          <w:color w:val="auto"/>
        </w:rPr>
      </w:pPr>
    </w:p>
    <w:p>
      <w:pPr>
        <w:ind w:left="660" w:right="100" w:firstLine="645"/>
        <w:spacing w:after="0" w:line="308" w:lineRule="auto"/>
        <w:tabs>
          <w:tab w:leader="none" w:pos="1964"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The Borrower will provide a written summary of material changes in GAAP and in the consistent application thereof with each annual and quarterly financial statement delivered in accordance with </w:t>
      </w:r>
      <w:r>
        <w:rPr>
          <w:rFonts w:ascii="Arial" w:cs="Arial" w:eastAsia="Arial" w:hAnsi="Arial"/>
          <w:sz w:val="17"/>
          <w:szCs w:val="17"/>
          <w:u w:val="single" w:color="auto"/>
          <w:color w:val="auto"/>
        </w:rPr>
        <w:t>Section 7.01</w:t>
      </w:r>
      <w:r>
        <w:rPr>
          <w:rFonts w:ascii="Arial" w:cs="Arial" w:eastAsia="Arial" w:hAnsi="Arial"/>
          <w:sz w:val="17"/>
          <w:szCs w:val="17"/>
          <w:color w:val="auto"/>
        </w:rPr>
        <w:t>. If at any time any change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56" w:name="page57"/>
    <w:bookmarkEnd w:id="56"/>
    <w:p>
      <w:pPr>
        <w:ind w:right="20"/>
        <w:spacing w:after="0" w:line="270" w:lineRule="auto"/>
        <w:rPr>
          <w:sz w:val="20"/>
          <w:szCs w:val="20"/>
          <w:color w:val="auto"/>
        </w:rPr>
      </w:pPr>
      <w:r>
        <w:rPr>
          <w:rFonts w:ascii="Arial" w:cs="Arial" w:eastAsia="Arial" w:hAnsi="Arial"/>
          <w:sz w:val="17"/>
          <w:szCs w:val="17"/>
          <w:color w:val="auto"/>
        </w:rPr>
        <w:t xml:space="preserve">GAAP would affect the computation of any financial requirement set forth in any Loan Document, and either the Borrower or the Required Lenders shall so request, the Administrative Agent, the Lenders and the Borrower shall negotiate in good faith to amend such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until so amended, (i) such requirement shall continue to be computed in accordance with GAAP prior to such change therein and (ii) the Borrower shall provide to the Administrative Agent and the Lenders financial statements and other documents required under this Agreement or as requested hereunder setting forth a reconciliation between calculations of such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2" w:lineRule="exact"/>
        <w:rPr>
          <w:sz w:val="20"/>
          <w:szCs w:val="20"/>
          <w:color w:val="auto"/>
        </w:rPr>
      </w:pPr>
    </w:p>
    <w:p>
      <w:pPr>
        <w:ind w:right="40" w:firstLine="645"/>
        <w:spacing w:after="0" w:line="259" w:lineRule="auto"/>
        <w:tabs>
          <w:tab w:leader="none" w:pos="130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Rate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was a Subsidiary as defined herein.</w:t>
      </w:r>
    </w:p>
    <w:p>
      <w:pPr>
        <w:spacing w:after="0" w:line="186" w:lineRule="exact"/>
        <w:rPr>
          <w:rFonts w:ascii="Arial" w:cs="Arial" w:eastAsia="Arial" w:hAnsi="Arial"/>
          <w:sz w:val="18"/>
          <w:szCs w:val="18"/>
          <w:color w:val="auto"/>
        </w:rPr>
      </w:pPr>
    </w:p>
    <w:p>
      <w:pPr>
        <w:ind w:right="120" w:firstLine="645"/>
        <w:spacing w:after="0" w:line="264" w:lineRule="auto"/>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Pro Forma Calculations</w:t>
      </w:r>
      <w:r>
        <w:rPr>
          <w:rFonts w:ascii="Arial" w:cs="Arial" w:eastAsia="Arial" w:hAnsi="Arial"/>
          <w:sz w:val="18"/>
          <w:szCs w:val="18"/>
          <w:color w:val="auto"/>
        </w:rPr>
        <w:t xml:space="preserve">. Notwithstanding anything to the contrary contained herein, all calculations of the financial covenant set forth in </w:t>
      </w:r>
      <w:r>
        <w:rPr>
          <w:rFonts w:ascii="Arial" w:cs="Arial" w:eastAsia="Arial" w:hAnsi="Arial"/>
          <w:sz w:val="18"/>
          <w:szCs w:val="18"/>
          <w:u w:val="single" w:color="auto"/>
          <w:color w:val="auto"/>
        </w:rPr>
        <w:t>Section 8.16(a)</w:t>
      </w:r>
      <w:r>
        <w:rPr>
          <w:rFonts w:ascii="Arial" w:cs="Arial" w:eastAsia="Arial" w:hAnsi="Arial"/>
          <w:sz w:val="18"/>
          <w:szCs w:val="18"/>
          <w:color w:val="auto"/>
        </w:rPr>
        <w:t xml:space="preserve"> shall be made on a Pro Forma Basis with respect to all Specified Transactions occurring during the applicable period to which such calculation relates.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Times of Day.</w:t>
      </w:r>
    </w:p>
    <w:p>
      <w:pPr>
        <w:spacing w:after="0" w:line="225"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Unless otherwise specified, all references herein to times of day shall be references to Eastern time (daylight or standard, as applicable).</w:t>
      </w:r>
    </w:p>
    <w:p>
      <w:pPr>
        <w:spacing w:after="0" w:line="248"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THE COMMITMENTS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u w:val="single" w:color="auto"/>
          <w:color w:val="auto"/>
        </w:rPr>
        <w:t>Commitments.</w:t>
      </w:r>
    </w:p>
    <w:p>
      <w:pPr>
        <w:spacing w:after="0" w:line="225" w:lineRule="exact"/>
        <w:rPr>
          <w:sz w:val="20"/>
          <w:szCs w:val="20"/>
          <w:color w:val="auto"/>
        </w:rPr>
      </w:pPr>
    </w:p>
    <w:p>
      <w:pPr>
        <w:ind w:right="20" w:firstLine="645"/>
        <w:spacing w:after="0" w:line="259" w:lineRule="auto"/>
        <w:tabs>
          <w:tab w:leader="none" w:pos="129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 A Borrowing</w:t>
      </w:r>
      <w:r>
        <w:rPr>
          <w:rFonts w:ascii="Arial" w:cs="Arial" w:eastAsia="Arial" w:hAnsi="Arial"/>
          <w:sz w:val="18"/>
          <w:szCs w:val="18"/>
          <w:color w:val="auto"/>
        </w:rPr>
        <w:t>. Subject to the terms and conditions set forth herein, each Term A Lender severally agrees to make a single loan to the Borrower, in Dollars, on the Funding Date in an aggregate amount not to exceed such Term A Lender’s Term A Commitment. The Term A Borrowing shall consist of Term A Loans made simultaneously by the Term A Lenders in accordance with their respective Term A Commitments. Term A Borrowings repaid or prepaid may not be reborrowed.</w:t>
      </w:r>
    </w:p>
    <w:p>
      <w:pPr>
        <w:spacing w:after="0" w:line="186" w:lineRule="exact"/>
        <w:rPr>
          <w:rFonts w:ascii="Arial" w:cs="Arial" w:eastAsia="Arial" w:hAnsi="Arial"/>
          <w:sz w:val="18"/>
          <w:szCs w:val="18"/>
          <w:color w:val="auto"/>
        </w:rPr>
      </w:pPr>
    </w:p>
    <w:p>
      <w:pPr>
        <w:jc w:val="both"/>
        <w:ind w:right="120" w:firstLine="645"/>
        <w:spacing w:after="0" w:line="279" w:lineRule="auto"/>
        <w:tabs>
          <w:tab w:leader="none" w:pos="130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Term B Borrowing</w:t>
      </w:r>
      <w:r>
        <w:rPr>
          <w:rFonts w:ascii="Arial" w:cs="Arial" w:eastAsia="Arial" w:hAnsi="Arial"/>
          <w:sz w:val="17"/>
          <w:szCs w:val="17"/>
          <w:color w:val="auto"/>
        </w:rPr>
        <w:t>. Subject to the terms and conditions set forth herein, each Term B Lender severally agrees to make a single loan to the Borrower, in Dollars, on any Business Day during the Availability Period, in an aggregate amount not to exceed such Term B Lender’s Term B Commitment. The Term B Borrowing shall consist of Term B Loans made simultaneously by the Term B Lenders in accordance with their respective Term B Commitments. Term B Borrowings repaid or prepaid may not be reborrowed.</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u w:val="single" w:color="auto"/>
          <w:color w:val="auto"/>
        </w:rPr>
        <w:t>Borrowings.</w:t>
      </w:r>
    </w:p>
    <w:p>
      <w:pPr>
        <w:spacing w:after="0" w:line="225" w:lineRule="exact"/>
        <w:rPr>
          <w:sz w:val="20"/>
          <w:szCs w:val="20"/>
          <w:color w:val="auto"/>
        </w:rPr>
      </w:pPr>
    </w:p>
    <w:p>
      <w:pPr>
        <w:ind w:firstLine="645"/>
        <w:spacing w:after="0" w:line="276" w:lineRule="auto"/>
        <w:tabs>
          <w:tab w:leader="none" w:pos="1294"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Borrowing shall be made upon the Borrower’s irrevocable notice (in the form of a written Loan Notice, appropriately completed and signed by a Responsible Officer of the Borrower) to the Administrative Agent, which must be given not later than 11:00 a.m. at least fifteen (15) Business Days (or such shorter period as may be agreed to by the Administrative Agent in its sole discretion) in advance of the requested date of any Borrowing. Each Loan Notice shall specify (i) the requested date of the Borrowing (which shall be a Business Day), (ii) the applicable Facility under which the Borrower is requesting a Borrowing and (iii) the principal amount of Loans to be borrowed.</w:t>
      </w:r>
    </w:p>
    <w:p>
      <w:pPr>
        <w:spacing w:after="0" w:line="172" w:lineRule="exact"/>
        <w:rPr>
          <w:rFonts w:ascii="Arial" w:cs="Arial" w:eastAsia="Arial" w:hAnsi="Arial"/>
          <w:sz w:val="17"/>
          <w:szCs w:val="17"/>
          <w:color w:val="auto"/>
        </w:rPr>
      </w:pPr>
    </w:p>
    <w:p>
      <w:pPr>
        <w:ind w:right="140" w:firstLine="645"/>
        <w:spacing w:after="0" w:line="255" w:lineRule="auto"/>
        <w:tabs>
          <w:tab w:leader="none" w:pos="13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for a Facility, the Administrative Agent shall promptly notify each Appropriate Lender of the amount of its Applicable Percentage under such Facility of the applicable Loans. Each Appropriate Lender shall make the amount of its Loan available to the Administrative Agent in immediately available funds at the Administrative Agent’s Office not later than 1:00 p.m. on the Business Day specified in the applicable Loan Notice. Upon satisfaction of the conditions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if such Borrowing is the initial Borrowing,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5.02</w:t>
      </w:r>
      <w:r>
        <w:rPr>
          <w:rFonts w:ascii="Arial" w:cs="Arial" w:eastAsia="Arial" w:hAnsi="Arial"/>
          <w:sz w:val="18"/>
          <w:szCs w:val="18"/>
          <w:color w:val="auto"/>
        </w:rPr>
        <w:t>), the Administrative Agent shall make all funds so received available to the Borrower in like funds as received by the Administrative Agent by wire transfer of such funds in accordance with instructions provided to (and acceptable to) the Administrative Agent by the Borrower.</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5"/>
          <w:szCs w:val="15"/>
          <w:u w:val="single" w:color="auto"/>
          <w:color w:val="auto"/>
        </w:rPr>
        <w:t>Prepayments.</w:t>
      </w:r>
    </w:p>
    <w:p>
      <w:pPr>
        <w:spacing w:after="0" w:line="225" w:lineRule="exact"/>
        <w:rPr>
          <w:sz w:val="20"/>
          <w:szCs w:val="20"/>
          <w:color w:val="auto"/>
        </w:rPr>
      </w:pPr>
    </w:p>
    <w:p>
      <w:pPr>
        <w:ind w:right="20" w:firstLine="645"/>
        <w:spacing w:after="0" w:line="286" w:lineRule="auto"/>
        <w:tabs>
          <w:tab w:leader="none" w:pos="1294"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Subject to the payment of any prepayment premium as required under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and any other fees or amounts payable hereunder at such time, the Borrower may, upon notice from the Borrower to the Administrative Agent, voluntarily prepay the Loans,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 such notice must be received not later than 11:00 a.m. three (3) Business Days prior to the date of prepayment, (ii) any such prepayment shall only be made on an Interest Payment Date (it being understood that the requirement set forth in this sub-clause (ii) shall not be applicable to any voluntary prepayment in full of the aggregate Outstanding Amount of the Loans) and (iii) any such prepayment shall be in a principal amount of $5,000,000 or a whole multiple of $1,000,000 in excess thereof (or, if less, the entire principal amount thereof then outstanding). Each such notice shall specify the date and amount of such prepayment. If such notice is given by the Borrower, the Borrower shall make such prepayment and the payment amount specified in such notice shall be due and payable on the date specified therein. Any prepayment pursuant to this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shall be accompanied by (x) all accrued interest on the principal amount of the Loans prepaid, (y) the prepayment premium required under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and (z) all fees, costs, expenses, indemnities and other amounts due and payable hereunder at the time of prepayment.Each such prepayment shall be applied ratably to the Term A Facility and the Term B Facility and to the principal repayment installments thereof in the inverse order of maturity. Each such prepayment shall be applied to the Loans of the Lenders in accordance with their respective Applicable Percentages in respect of each of the relevant Facilities.</w:t>
      </w:r>
    </w:p>
    <w:p>
      <w:pPr>
        <w:spacing w:after="0" w:line="174" w:lineRule="exact"/>
        <w:rPr>
          <w:rFonts w:ascii="Arial" w:cs="Arial" w:eastAsia="Arial" w:hAnsi="Arial"/>
          <w:sz w:val="16"/>
          <w:szCs w:val="16"/>
          <w:color w:val="auto"/>
        </w:rPr>
      </w:pPr>
    </w:p>
    <w:p>
      <w:pPr>
        <w:ind w:left="1300" w:hanging="655"/>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ectPr>
          <w:pgSz w:w="11900" w:h="16838" w:orient="portrait"/>
          <w:cols w:equalWidth="0" w:num="1">
            <w:col w:w="10720"/>
          </w:cols>
          <w:pgMar w:left="900" w:top="125" w:right="279" w:bottom="0" w:gutter="0" w:footer="0" w:header="0"/>
        </w:sectPr>
      </w:pPr>
    </w:p>
    <w:bookmarkStart w:id="57" w:name="page58"/>
    <w:bookmarkEnd w:id="57"/>
    <w:p>
      <w:pPr>
        <w:spacing w:after="0" w:line="122" w:lineRule="exact"/>
        <w:rPr>
          <w:sz w:val="20"/>
          <w:szCs w:val="20"/>
          <w:color w:val="auto"/>
        </w:rPr>
      </w:pPr>
    </w:p>
    <w:p>
      <w:pPr>
        <w:ind w:left="644" w:right="220" w:firstLine="653"/>
        <w:spacing w:after="0" w:line="264" w:lineRule="auto"/>
        <w:tabs>
          <w:tab w:leader="none" w:pos="196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Dispositions and Involuntary Dispositions</w:t>
      </w:r>
      <w:r>
        <w:rPr>
          <w:rFonts w:ascii="Arial" w:cs="Arial" w:eastAsia="Arial" w:hAnsi="Arial"/>
          <w:sz w:val="18"/>
          <w:szCs w:val="18"/>
          <w:color w:val="auto"/>
        </w:rPr>
        <w:t>. The Borrower shall promptly (and in any event, within three (3) Business Days) prepay the Loans in an aggregate amount equal to 100% of the Net Cash Proceeds of all Dispositions and Involuntary Dispositions received by any Loan Party or any Subsidiary to the extent such Net Cash</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440"/>
        <w:spacing w:after="0" w:line="277" w:lineRule="auto"/>
        <w:rPr>
          <w:sz w:val="20"/>
          <w:szCs w:val="20"/>
          <w:color w:val="auto"/>
        </w:rPr>
      </w:pPr>
      <w:r>
        <w:rPr>
          <w:rFonts w:ascii="Arial" w:cs="Arial" w:eastAsia="Arial" w:hAnsi="Arial"/>
          <w:sz w:val="18"/>
          <w:szCs w:val="18"/>
          <w:color w:val="auto"/>
        </w:rPr>
        <w:t xml:space="preserve">Proceeds are not reinvested in Eligible Assets within one hundred and eighty (180) days of the date of such Disposition or Involuntary Disposition. Any prepayment pursuant to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be applied as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below.</w:t>
      </w:r>
    </w:p>
    <w:p>
      <w:pPr>
        <w:spacing w:after="0" w:line="170" w:lineRule="exact"/>
        <w:rPr>
          <w:sz w:val="20"/>
          <w:szCs w:val="20"/>
          <w:color w:val="auto"/>
        </w:rPr>
      </w:pPr>
    </w:p>
    <w:p>
      <w:pPr>
        <w:jc w:val="both"/>
        <w:ind w:left="704" w:right="80" w:firstLine="1940"/>
        <w:spacing w:after="0" w:line="312" w:lineRule="auto"/>
        <w:tabs>
          <w:tab w:leader="none" w:pos="3274" w:val="left"/>
        </w:tabs>
        <w:numPr>
          <w:ilvl w:val="2"/>
          <w:numId w:val="46"/>
        </w:numPr>
        <w:rPr>
          <w:rFonts w:ascii="Arial" w:cs="Arial" w:eastAsia="Arial" w:hAnsi="Arial"/>
          <w:sz w:val="16"/>
          <w:szCs w:val="16"/>
          <w:color w:val="auto"/>
        </w:rPr>
      </w:pPr>
      <w:r>
        <w:rPr>
          <w:rFonts w:ascii="Arial" w:cs="Arial" w:eastAsia="Arial" w:hAnsi="Arial"/>
          <w:sz w:val="16"/>
          <w:szCs w:val="16"/>
          <w:u w:val="single" w:color="auto"/>
          <w:color w:val="auto"/>
        </w:rPr>
        <w:t>Debt Issuance</w:t>
      </w:r>
      <w:r>
        <w:rPr>
          <w:rFonts w:ascii="Arial" w:cs="Arial" w:eastAsia="Arial" w:hAnsi="Arial"/>
          <w:sz w:val="16"/>
          <w:szCs w:val="16"/>
          <w:color w:val="auto"/>
        </w:rPr>
        <w:t xml:space="preserve">. The Borrower shall promptly (and, in any event, within three (3) Business Days) upon the receipt by any Loan Party or any Subsidiary of the Net Cash Proceeds of any Debt Issuance, prepay the Loans in an aggregate amount equal to 100% of such Net Cash Proceeds. Any prepayment pursuant to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be applied as set forth in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w:t>
      </w:r>
    </w:p>
    <w:p>
      <w:pPr>
        <w:spacing w:after="0" w:line="146" w:lineRule="exact"/>
        <w:rPr>
          <w:rFonts w:ascii="Arial" w:cs="Arial" w:eastAsia="Arial" w:hAnsi="Arial"/>
          <w:sz w:val="16"/>
          <w:szCs w:val="16"/>
          <w:color w:val="auto"/>
        </w:rPr>
      </w:pPr>
    </w:p>
    <w:p>
      <w:pPr>
        <w:ind w:left="644" w:right="120" w:firstLine="653"/>
        <w:spacing w:after="0" w:line="272" w:lineRule="auto"/>
        <w:tabs>
          <w:tab w:leader="none" w:pos="1981"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Application of Mandatory Prepayments</w:t>
      </w:r>
      <w:r>
        <w:rPr>
          <w:rFonts w:ascii="Arial" w:cs="Arial" w:eastAsia="Arial" w:hAnsi="Arial"/>
          <w:sz w:val="17"/>
          <w:szCs w:val="17"/>
          <w:color w:val="auto"/>
        </w:rPr>
        <w:t xml:space="preserve">. All payments under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shall be applied first to all fees, costs, expenses, indemnities and other amounts due and payable hereunder, then proportionately (based on the relation of such amounts to the total amount of the relevant payment under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to the payment or prepayment (as applicable) of the following amounts of the Loans: default interest, if any, prepayment premium required by </w:t>
      </w:r>
      <w:r>
        <w:rPr>
          <w:rFonts w:ascii="Arial" w:cs="Arial" w:eastAsia="Arial" w:hAnsi="Arial"/>
          <w:sz w:val="17"/>
          <w:szCs w:val="17"/>
          <w:u w:val="single" w:color="auto"/>
          <w:color w:val="auto"/>
        </w:rPr>
        <w:t>Section 2.03(e)</w:t>
      </w:r>
      <w:r>
        <w:rPr>
          <w:rFonts w:ascii="Arial" w:cs="Arial" w:eastAsia="Arial" w:hAnsi="Arial"/>
          <w:sz w:val="17"/>
          <w:szCs w:val="17"/>
          <w:color w:val="auto"/>
        </w:rPr>
        <w:t>, accrued interest and principal. Each such prepayment shall be applied ratably to the Term A Facility and the Term B Facility and to the principal repayment installments thereof in the inverse order of maturity. Each such prepayment shall be applied to the Loans of the Lenders in accordance with their respective Applicable Percentages in respect of each of the relevant Facilities.</w:t>
      </w:r>
    </w:p>
    <w:p>
      <w:pPr>
        <w:spacing w:after="0" w:line="177" w:lineRule="exact"/>
        <w:rPr>
          <w:rFonts w:ascii="Arial" w:cs="Arial" w:eastAsia="Arial" w:hAnsi="Arial"/>
          <w:sz w:val="17"/>
          <w:szCs w:val="17"/>
          <w:color w:val="auto"/>
        </w:rPr>
      </w:pPr>
    </w:p>
    <w:p>
      <w:pPr>
        <w:ind w:left="4" w:firstLine="645"/>
        <w:spacing w:after="0" w:line="254" w:lineRule="auto"/>
        <w:tabs>
          <w:tab w:leader="none" w:pos="131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Upon the occurrence of a Change of Control, the Borrower shall, at the direction of the Required Lenders (which such direction under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be made by the Required Lenders within thirty (30) days of the applicable Change of Control), and may, at its option upon three (3) Business Days’ prior written notice from the Borrower to the Administrative Agent, prepay the Outstanding Amount of the Loans together with all accrued and unpaid interest thereon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prepayment premium required by </w:t>
      </w:r>
      <w:r>
        <w:rPr>
          <w:rFonts w:ascii="Arial" w:cs="Arial" w:eastAsia="Arial" w:hAnsi="Arial"/>
          <w:sz w:val="18"/>
          <w:szCs w:val="18"/>
          <w:u w:val="single" w:color="auto"/>
          <w:color w:val="auto"/>
        </w:rPr>
        <w:t>Section 2.03(e) plus</w:t>
      </w:r>
      <w:r>
        <w:rPr>
          <w:rFonts w:ascii="Arial" w:cs="Arial" w:eastAsia="Arial" w:hAnsi="Arial"/>
          <w:sz w:val="18"/>
          <w:szCs w:val="18"/>
          <w:color w:val="auto"/>
        </w:rPr>
        <w:t xml:space="preserve"> all other Obligations. Each such direction or notice shall specify the date and amount of such prepayment. If such notice is given by the Borrower, the Borrower shall make such prepayment and the payment amount specified in such notice shall be due and payable on the date specified therein. Each prepayment under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applied to the Loans of the Lenders in accordance with their respective Applicable Percentages in respect of each of the relevant Facilities.</w:t>
      </w:r>
    </w:p>
    <w:p>
      <w:pPr>
        <w:spacing w:after="0" w:line="192" w:lineRule="exact"/>
        <w:rPr>
          <w:rFonts w:ascii="Arial" w:cs="Arial" w:eastAsia="Arial" w:hAnsi="Arial"/>
          <w:sz w:val="18"/>
          <w:szCs w:val="18"/>
          <w:color w:val="auto"/>
        </w:rPr>
      </w:pPr>
    </w:p>
    <w:p>
      <w:pPr>
        <w:ind w:left="4" w:right="20" w:firstLine="645"/>
        <w:spacing w:after="0" w:line="255" w:lineRule="auto"/>
        <w:tabs>
          <w:tab w:leader="none" w:pos="130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Applicable High Yield Discount Obligation Payments</w:t>
      </w:r>
      <w:r>
        <w:rPr>
          <w:rFonts w:ascii="Arial" w:cs="Arial" w:eastAsia="Arial" w:hAnsi="Arial"/>
          <w:sz w:val="17"/>
          <w:szCs w:val="17"/>
          <w:color w:val="auto"/>
        </w:rPr>
        <w:t>. On any Interest Payment Date following the fifth (5</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Funding Date, if the aggregate amounts which would be includible in gross income of the Lenders with respect to the Loans for all periods ending on or before such Interest Payment Date (within the meaning of section 163(i) of the Internal Revenue Code) (the “</w:t>
      </w:r>
      <w:r>
        <w:rPr>
          <w:rFonts w:ascii="Arial" w:cs="Arial" w:eastAsia="Arial" w:hAnsi="Arial"/>
          <w:sz w:val="17"/>
          <w:szCs w:val="17"/>
          <w:u w:val="single" w:color="auto"/>
          <w:color w:val="auto"/>
        </w:rPr>
        <w:t>Aggregate Accrual</w:t>
      </w:r>
      <w:r>
        <w:rPr>
          <w:rFonts w:ascii="Arial" w:cs="Arial" w:eastAsia="Arial" w:hAnsi="Arial"/>
          <w:sz w:val="17"/>
          <w:szCs w:val="17"/>
          <w:color w:val="auto"/>
        </w:rPr>
        <w:t xml:space="preserve">”) would exceed an amount equal to the sum of (x) the aggregate amount of interest to be paid (within the meaning of section 163(i) of the Internal Revenue Code) on the Loans on or before such Interest Payment Date (determined without regard to the amounts payable on such Interest Payment Date under this </w:t>
      </w:r>
      <w:r>
        <w:rPr>
          <w:rFonts w:ascii="Arial" w:cs="Arial" w:eastAsia="Arial" w:hAnsi="Arial"/>
          <w:sz w:val="17"/>
          <w:szCs w:val="17"/>
          <w:u w:val="single" w:color="auto"/>
          <w:color w:val="auto"/>
        </w:rPr>
        <w:t>Section 2.03(d)</w:t>
      </w:r>
      <w:r>
        <w:rPr>
          <w:rFonts w:ascii="Arial" w:cs="Arial" w:eastAsia="Arial" w:hAnsi="Arial"/>
          <w:sz w:val="17"/>
          <w:szCs w:val="17"/>
          <w:color w:val="auto"/>
        </w:rPr>
        <w:t>) and (y) the product of (A) the issue price (as defined in sections 1273(b) and 1274(a) of the Internal Revenue Code) of the Loans and (B) the yield to maturity (interpreted in accordance with section 163(i) of the Internal Revenue Code) of the Loans (such sum, the “</w:t>
      </w:r>
      <w:r>
        <w:rPr>
          <w:rFonts w:ascii="Arial" w:cs="Arial" w:eastAsia="Arial" w:hAnsi="Arial"/>
          <w:sz w:val="17"/>
          <w:szCs w:val="17"/>
          <w:u w:val="single" w:color="auto"/>
          <w:color w:val="auto"/>
        </w:rPr>
        <w:t>Maximum</w:t>
      </w:r>
      <w:r>
        <w:rPr>
          <w:rFonts w:ascii="Arial" w:cs="Arial" w:eastAsia="Arial" w:hAnsi="Arial"/>
          <w:sz w:val="17"/>
          <w:szCs w:val="17"/>
          <w:color w:val="auto"/>
        </w:rPr>
        <w:t xml:space="preserve"> </w:t>
      </w:r>
      <w:r>
        <w:rPr>
          <w:rFonts w:ascii="Arial" w:cs="Arial" w:eastAsia="Arial" w:hAnsi="Arial"/>
          <w:sz w:val="17"/>
          <w:szCs w:val="17"/>
          <w:u w:val="single" w:color="auto"/>
          <w:color w:val="auto"/>
        </w:rPr>
        <w:t>Accrual</w:t>
      </w:r>
      <w:r>
        <w:rPr>
          <w:rFonts w:ascii="Arial" w:cs="Arial" w:eastAsia="Arial" w:hAnsi="Arial"/>
          <w:sz w:val="17"/>
          <w:szCs w:val="17"/>
          <w:color w:val="auto"/>
        </w:rPr>
        <w:t>”), then the Borrower shall mandatorily pay to the Lenders ratably in cash, on each Interest Payment Date following the fifth (5</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Funding Date, an amount equal to the excess, if any, of the Aggregate Accrual over the Maximum Accrual and the amount of such payment shall be treated for purposes of section 163(i) of the Internal Revenue Code as interest paid under the Loans. Notwithstanding anything to the contrary contained herein, all such payments shall be made to the Lenders on an equal and ratable basis. Each such prepayment shall be applied to the</w:t>
      </w:r>
    </w:p>
    <w:p>
      <w:pPr>
        <w:spacing w:after="0" w:line="19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Loans of the Lenders in accordance with the respective Applicable Percentages </w:t>
      </w:r>
      <w:r>
        <w:rPr>
          <w:rFonts w:ascii="Arial" w:cs="Arial" w:eastAsia="Arial" w:hAnsi="Arial"/>
          <w:sz w:val="17"/>
          <w:szCs w:val="17"/>
          <w:color w:val="auto"/>
        </w:rPr>
        <w:t>in respect of each of the relevant Facilities.</w:t>
      </w:r>
    </w:p>
    <w:p>
      <w:pPr>
        <w:spacing w:after="0" w:line="225" w:lineRule="exact"/>
        <w:rPr>
          <w:sz w:val="20"/>
          <w:szCs w:val="20"/>
          <w:color w:val="auto"/>
        </w:rPr>
      </w:pPr>
    </w:p>
    <w:p>
      <w:pPr>
        <w:jc w:val="both"/>
        <w:ind w:left="4" w:right="140" w:firstLine="645"/>
        <w:spacing w:after="0" w:line="288" w:lineRule="auto"/>
        <w:tabs>
          <w:tab w:leader="none" w:pos="1311"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Prepayment Premiums</w:t>
      </w:r>
      <w:r>
        <w:rPr>
          <w:rFonts w:ascii="Arial" w:cs="Arial" w:eastAsia="Arial" w:hAnsi="Arial"/>
          <w:sz w:val="16"/>
          <w:szCs w:val="16"/>
          <w:color w:val="auto"/>
        </w:rPr>
        <w:t xml:space="preserve">. If all or any portion of the Loans are prepaid, or required to be prepaid,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then, in all cases, the Borrower shall pay to the Lenders, for their respective ratable accounts, on the date on which such prepayment is paid or required to be paid, in addition to the other Obligations so prepaid or required to be prepaid, a prepayment premium equal to:</w:t>
      </w:r>
    </w:p>
    <w:p>
      <w:pPr>
        <w:ind w:left="4" w:right="360" w:hanging="4"/>
        <w:spacing w:after="0" w:line="281" w:lineRule="auto"/>
        <w:tabs>
          <w:tab w:leader="none" w:pos="219" w:val="left"/>
        </w:tabs>
        <w:numPr>
          <w:ilvl w:val="0"/>
          <w:numId w:val="50"/>
        </w:numPr>
        <w:rPr>
          <w:rFonts w:ascii="Arial" w:cs="Arial" w:eastAsia="Arial" w:hAnsi="Arial"/>
          <w:sz w:val="16"/>
          <w:szCs w:val="16"/>
          <w:color w:val="auto"/>
        </w:rPr>
      </w:pPr>
      <w:r>
        <w:rPr>
          <w:rFonts w:ascii="Arial" w:cs="Arial" w:eastAsia="Arial" w:hAnsi="Arial"/>
          <w:sz w:val="16"/>
          <w:szCs w:val="16"/>
          <w:color w:val="auto"/>
        </w:rPr>
        <w:t>with respect to any prepayment paid or required to be paid on or prior to March 31, 2018, the Make-Whole Amount with respect to such prepayment, (ii) with respect to any prepayment paid or required to be paid after March 31, 2018 but on or prior to March 31, 2019, four percent</w:t>
      </w:r>
    </w:p>
    <w:p>
      <w:pPr>
        <w:spacing w:after="0" w:line="1" w:lineRule="exact"/>
        <w:rPr>
          <w:rFonts w:ascii="Arial" w:cs="Arial" w:eastAsia="Arial" w:hAnsi="Arial"/>
          <w:sz w:val="16"/>
          <w:szCs w:val="16"/>
          <w:color w:val="auto"/>
        </w:rPr>
      </w:pPr>
    </w:p>
    <w:p>
      <w:pPr>
        <w:ind w:left="4" w:right="200"/>
        <w:spacing w:after="0" w:line="281" w:lineRule="auto"/>
        <w:rPr>
          <w:rFonts w:ascii="Arial" w:cs="Arial" w:eastAsia="Arial" w:hAnsi="Arial"/>
          <w:sz w:val="16"/>
          <w:szCs w:val="16"/>
          <w:color w:val="auto"/>
        </w:rPr>
      </w:pPr>
      <w:r>
        <w:rPr>
          <w:rFonts w:ascii="Arial" w:cs="Arial" w:eastAsia="Arial" w:hAnsi="Arial"/>
          <w:sz w:val="16"/>
          <w:szCs w:val="16"/>
          <w:color w:val="auto"/>
        </w:rPr>
        <w:t>(4.0%) of the principal amount of the Loans prepaid or required to be prepaid, (iii) with respect to any prepayment paid or required to be paid after March 31, 2019 but on or prior to March 31, 2020, two percent (2.0%) of the principal amount of the Loans prepaid or required to be prepaid,</w:t>
      </w:r>
    </w:p>
    <w:p>
      <w:pPr>
        <w:spacing w:after="0" w:line="1" w:lineRule="exact"/>
        <w:rPr>
          <w:rFonts w:ascii="Arial" w:cs="Arial" w:eastAsia="Arial" w:hAnsi="Arial"/>
          <w:sz w:val="16"/>
          <w:szCs w:val="16"/>
          <w:color w:val="auto"/>
        </w:rPr>
      </w:pPr>
    </w:p>
    <w:p>
      <w:pPr>
        <w:ind w:left="4" w:right="80" w:hanging="4"/>
        <w:spacing w:after="0" w:line="281" w:lineRule="auto"/>
        <w:tabs>
          <w:tab w:leader="none" w:pos="30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with respect to any prepayment paid or required to be paid after March 31, 2020 but on or prior to March 31, 2021, one percent (1.0%) of the principal amount of the Loans prepaid or required to be prepaid and (v) with respect to any prepayment thereafter, zero percent (0.0%) of the principal amount of the Loans prepaid or required to be prepaid. Notwithstanding the foregoing, or anything to the contrary set forth in this Agreement, to the extent that all or any portion of the Loans outstanding on any date are refinanced (whether through an amendment to this Agreement or otherwise) by new credit extensions advanced by one or more of the Lenders to the Borrower on such date, no prepayment premium shall be payable pursuant to this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with respect to the portion of the Loans so refinanced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 no Default or Event of Default shall have occurred and be continuing as of such date, (y) the Loan Parties shall have been in compliance with</w:t>
      </w:r>
    </w:p>
    <w:p>
      <w:pPr>
        <w:spacing w:after="0" w:line="4" w:lineRule="exact"/>
        <w:rPr>
          <w:rFonts w:ascii="Arial" w:cs="Arial" w:eastAsia="Arial" w:hAnsi="Arial"/>
          <w:sz w:val="16"/>
          <w:szCs w:val="16"/>
          <w:color w:val="auto"/>
        </w:rPr>
      </w:pPr>
    </w:p>
    <w:p>
      <w:pPr>
        <w:ind w:left="4" w:right="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8.16(a)</w:t>
      </w:r>
      <w:r>
        <w:rPr>
          <w:rFonts w:ascii="Arial" w:cs="Arial" w:eastAsia="Arial" w:hAnsi="Arial"/>
          <w:sz w:val="18"/>
          <w:szCs w:val="18"/>
          <w:color w:val="auto"/>
        </w:rPr>
        <w:t xml:space="preserve"> (without giving effect to any exercise of a Cure Right pursuant to </w:t>
      </w:r>
      <w:r>
        <w:rPr>
          <w:rFonts w:ascii="Arial" w:cs="Arial" w:eastAsia="Arial" w:hAnsi="Arial"/>
          <w:sz w:val="18"/>
          <w:szCs w:val="18"/>
          <w:u w:val="single" w:color="auto"/>
          <w:color w:val="auto"/>
        </w:rPr>
        <w:t>Section 8.16(b)</w:t>
      </w:r>
      <w:r>
        <w:rPr>
          <w:rFonts w:ascii="Arial" w:cs="Arial" w:eastAsia="Arial" w:hAnsi="Arial"/>
          <w:sz w:val="18"/>
          <w:szCs w:val="18"/>
          <w:color w:val="auto"/>
        </w:rPr>
        <w:t>) for each four (4) consecutive fiscal quarter period ending after the Funding Date but on or prior to such date of refinancing and (z) the aggregate principal amount of such refinancing is at least $40,000,000.</w:t>
      </w:r>
    </w:p>
    <w:p>
      <w:pPr>
        <w:spacing w:after="0" w:line="190"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6"/>
          <w:szCs w:val="16"/>
          <w:u w:val="single" w:color="auto"/>
          <w:color w:val="auto"/>
        </w:rPr>
        <w:t>Termination or Reduction of Commitments.</w:t>
      </w:r>
    </w:p>
    <w:p>
      <w:pPr>
        <w:spacing w:after="0" w:line="225" w:lineRule="exact"/>
        <w:rPr>
          <w:sz w:val="20"/>
          <w:szCs w:val="20"/>
          <w:color w:val="auto"/>
        </w:rPr>
      </w:pPr>
    </w:p>
    <w:p>
      <w:pPr>
        <w:ind w:left="4" w:right="80" w:firstLine="645"/>
        <w:spacing w:after="0" w:line="291" w:lineRule="auto"/>
        <w:tabs>
          <w:tab w:leader="none" w:pos="1297"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Voluntary</w:t>
      </w:r>
      <w:r>
        <w:rPr>
          <w:rFonts w:ascii="Arial" w:cs="Arial" w:eastAsia="Arial" w:hAnsi="Arial"/>
          <w:sz w:val="16"/>
          <w:szCs w:val="16"/>
          <w:color w:val="auto"/>
        </w:rPr>
        <w:t xml:space="preserve">. The Borrower may, upon notice to the Administrative Agent during the Availability Period applicable thereto, terminate in full the Commitments under any Facility, or from time to time permanently reduce the Commitments under any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w:t>
      </w:r>
    </w:p>
    <w:p>
      <w:pPr>
        <w:ind w:left="4" w:right="140" w:hanging="4"/>
        <w:spacing w:after="0" w:line="323" w:lineRule="auto"/>
        <w:tabs>
          <w:tab w:leader="none" w:pos="219"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such notice shall be received by the Administrative Agent not later than 11:00 a.m. five (5) Business Days prior to the date of termination or reduction and (ii) any such partial reduction shall be in an aggregate amount of $5,000,000 or any whole multiple of $1,000,000 in excess thereof.</w:t>
      </w:r>
    </w:p>
    <w:p>
      <w:pPr>
        <w:sectPr>
          <w:pgSz w:w="11900" w:h="16961" w:orient="portrait"/>
          <w:cols w:equalWidth="0" w:num="1">
            <w:col w:w="10764"/>
          </w:cols>
          <w:pgMar w:left="896" w:top="341" w:right="239" w:bottom="0" w:gutter="0" w:footer="0" w:header="0"/>
        </w:sectPr>
      </w:pPr>
    </w:p>
    <w:bookmarkStart w:id="58" w:name="page59"/>
    <w:bookmarkEnd w:id="58"/>
    <w:p>
      <w:pPr>
        <w:ind w:left="4" w:right="340"/>
        <w:spacing w:after="0" w:line="277" w:lineRule="auto"/>
        <w:rPr>
          <w:sz w:val="20"/>
          <w:szCs w:val="20"/>
          <w:color w:val="auto"/>
        </w:rPr>
      </w:pPr>
      <w:r>
        <w:rPr>
          <w:rFonts w:ascii="Arial" w:cs="Arial" w:eastAsia="Arial" w:hAnsi="Arial"/>
          <w:sz w:val="18"/>
          <w:szCs w:val="18"/>
          <w:color w:val="auto"/>
        </w:rPr>
        <w:t>Upon any termination or reduction of the Commitments under a Facility, the Commitments of each Appropriate Lender shall be reduced by such Lender’s Applicable Percentage of such reduction amount.</w:t>
      </w:r>
    </w:p>
    <w:p>
      <w:pPr>
        <w:spacing w:after="0" w:line="170" w:lineRule="exact"/>
        <w:rPr>
          <w:sz w:val="20"/>
          <w:szCs w:val="20"/>
          <w:color w:val="auto"/>
        </w:rPr>
      </w:pPr>
    </w:p>
    <w:p>
      <w:pPr>
        <w:ind w:left="4" w:right="620" w:firstLine="645"/>
        <w:spacing w:after="0" w:line="286" w:lineRule="auto"/>
        <w:tabs>
          <w:tab w:leader="none" w:pos="130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Mandatory</w:t>
      </w:r>
      <w:r>
        <w:rPr>
          <w:rFonts w:ascii="Arial" w:cs="Arial" w:eastAsia="Arial" w:hAnsi="Arial"/>
          <w:sz w:val="17"/>
          <w:szCs w:val="17"/>
          <w:color w:val="auto"/>
        </w:rPr>
        <w:t xml:space="preserve">. The Commitments under a Facility shall be automatically and permanently reduced to zero on the date of the Borrowing under such Facility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Upon any reduction of the Commitments under a Facility, the Commitments of each Appropriate Lender shall be reduced by such Lender’s Applicable Percentage of such reduction amount.</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6"/>
          <w:szCs w:val="16"/>
          <w:u w:val="single" w:color="auto"/>
          <w:color w:val="auto"/>
        </w:rPr>
        <w:t>Repayment of Loans.</w:t>
      </w:r>
    </w:p>
    <w:p>
      <w:pPr>
        <w:spacing w:after="0" w:line="225" w:lineRule="exact"/>
        <w:rPr>
          <w:sz w:val="20"/>
          <w:szCs w:val="20"/>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 A Facility</w:t>
      </w:r>
      <w:r>
        <w:rPr>
          <w:rFonts w:ascii="Arial" w:cs="Arial" w:eastAsia="Arial" w:hAnsi="Arial"/>
          <w:sz w:val="18"/>
          <w:szCs w:val="18"/>
          <w:color w:val="auto"/>
        </w:rPr>
        <w:t>.</w:t>
      </w:r>
    </w:p>
    <w:p>
      <w:pPr>
        <w:spacing w:after="0" w:line="225" w:lineRule="exact"/>
        <w:rPr>
          <w:sz w:val="20"/>
          <w:szCs w:val="20"/>
          <w:color w:val="auto"/>
        </w:rPr>
      </w:pPr>
    </w:p>
    <w:p>
      <w:pPr>
        <w:ind w:left="4" w:firstLine="648"/>
        <w:spacing w:after="0" w:line="264" w:lineRule="auto"/>
        <w:rPr>
          <w:sz w:val="20"/>
          <w:szCs w:val="20"/>
          <w:color w:val="auto"/>
        </w:rPr>
      </w:pPr>
      <w:r>
        <w:rPr>
          <w:rFonts w:ascii="Arial" w:cs="Arial" w:eastAsia="Arial" w:hAnsi="Arial"/>
          <w:sz w:val="18"/>
          <w:szCs w:val="18"/>
          <w:color w:val="auto"/>
        </w:rPr>
        <w:t xml:space="preserve">The Borrower shall repay the outstanding principal amount of the Term A Loans in installments on the dates set forth below, in each case, in the respective amounts set forth in the table below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unless accelerated sooner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60" w:lineRule="exact"/>
        <w:rPr>
          <w:sz w:val="20"/>
          <w:szCs w:val="20"/>
          <w:color w:val="auto"/>
        </w:rPr>
      </w:pPr>
    </w:p>
    <w:tbl>
      <w:tblPr>
        <w:tblLayout w:type="fixed"/>
        <w:tblInd w:w="964"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Amortization Payment (% of</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Dates</w:t>
            </w:r>
          </w:p>
        </w:tc>
        <w:tc>
          <w:tcPr>
            <w:tcW w:w="4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 Term A Facility</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on March 31, 2020)</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2020</w:t>
            </w:r>
          </w:p>
        </w:tc>
        <w:tc>
          <w:tcPr>
            <w:tcW w:w="2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 2020</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31, 2020</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March 31, 2021</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June 30, 2021</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 2021</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31, 2021</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02"/>
        </w:trPr>
        <w:tc>
          <w:tcPr>
            <w:tcW w:w="26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3"/>
              </w:rPr>
              <w:t>Maturity Date</w:t>
            </w:r>
          </w:p>
        </w:tc>
        <w:tc>
          <w:tcPr>
            <w:tcW w:w="4900" w:type="dxa"/>
            <w:vAlign w:val="bottom"/>
          </w:tcPr>
          <w:p>
            <w:pPr>
              <w:jc w:val="center"/>
              <w:spacing w:after="0" w:line="201" w:lineRule="exact"/>
              <w:rPr>
                <w:sz w:val="20"/>
                <w:szCs w:val="20"/>
                <w:color w:val="auto"/>
              </w:rPr>
            </w:pPr>
            <w:r>
              <w:rPr>
                <w:rFonts w:ascii="Arial" w:cs="Arial" w:eastAsia="Arial" w:hAnsi="Arial"/>
                <w:sz w:val="18"/>
                <w:szCs w:val="18"/>
                <w:color w:val="auto"/>
                <w:w w:val="91"/>
              </w:rPr>
              <w:t>Outstanding Principal Balance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of Term A Loans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the final principal repayment installment of the Term A Loans shall be repaid on the Maturity Date and in any event shall be in an amount equal to the aggregate principal amount of all Term A Loans outstanding on such date and (y) if any principal repayment installment to be made by the Borrower shall come due on a day other than a Business Day, such principal repayment installment shall be due on the first immediately preceding Business Day.</w:t>
      </w:r>
    </w:p>
    <w:p>
      <w:pPr>
        <w:spacing w:after="0" w:line="187" w:lineRule="exact"/>
        <w:rPr>
          <w:sz w:val="20"/>
          <w:szCs w:val="20"/>
          <w:color w:val="auto"/>
        </w:rPr>
      </w:pPr>
    </w:p>
    <w:p>
      <w:pPr>
        <w:ind w:left="664" w:hanging="664"/>
        <w:spacing w:after="0"/>
        <w:tabs>
          <w:tab w:leader="none" w:pos="66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 B Facility</w:t>
      </w:r>
      <w:r>
        <w:rPr>
          <w:rFonts w:ascii="Arial" w:cs="Arial" w:eastAsia="Arial" w:hAnsi="Arial"/>
          <w:sz w:val="18"/>
          <w:szCs w:val="18"/>
          <w:color w:val="auto"/>
        </w:rPr>
        <w:t>.</w:t>
      </w:r>
    </w:p>
    <w:p>
      <w:pPr>
        <w:spacing w:after="0" w:line="225" w:lineRule="exact"/>
        <w:rPr>
          <w:sz w:val="20"/>
          <w:szCs w:val="20"/>
          <w:color w:val="auto"/>
        </w:rPr>
      </w:pPr>
    </w:p>
    <w:p>
      <w:pPr>
        <w:jc w:val="both"/>
        <w:ind w:left="4" w:right="20" w:firstLine="648"/>
        <w:spacing w:after="0" w:line="264" w:lineRule="auto"/>
        <w:rPr>
          <w:sz w:val="20"/>
          <w:szCs w:val="20"/>
          <w:color w:val="auto"/>
        </w:rPr>
      </w:pPr>
      <w:r>
        <w:rPr>
          <w:rFonts w:ascii="Arial" w:cs="Arial" w:eastAsia="Arial" w:hAnsi="Arial"/>
          <w:sz w:val="18"/>
          <w:szCs w:val="18"/>
          <w:color w:val="auto"/>
        </w:rPr>
        <w:t xml:space="preserve">The Borrower shall repay the outstanding principal amount of the Term B Loans in installments on the dates set forth below, in each case, in the respective amounts set forth in the table below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unless accelerated sooner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60" w:lineRule="exact"/>
        <w:rPr>
          <w:sz w:val="20"/>
          <w:szCs w:val="20"/>
          <w:color w:val="auto"/>
        </w:rPr>
      </w:pPr>
    </w:p>
    <w:tbl>
      <w:tblPr>
        <w:tblLayout w:type="fixed"/>
        <w:tblInd w:w="964"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Amortization Payment (% of</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 Dates</w:t>
            </w:r>
          </w:p>
        </w:tc>
        <w:tc>
          <w:tcPr>
            <w:tcW w:w="4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Principal Amount of Term B Facility</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490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on March 31, 2020)</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2020</w:t>
            </w:r>
          </w:p>
        </w:tc>
        <w:tc>
          <w:tcPr>
            <w:tcW w:w="2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 2020</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31, 2020</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March 31, 2021</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June 30, 2021</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 2021</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31, 2021</w:t>
            </w:r>
          </w:p>
        </w:tc>
        <w:tc>
          <w:tcPr>
            <w:tcW w:w="4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12.50%</w:t>
            </w:r>
          </w:p>
        </w:tc>
        <w:tc>
          <w:tcPr>
            <w:tcW w:w="0" w:type="dxa"/>
            <w:vAlign w:val="bottom"/>
          </w:tcPr>
          <w:p>
            <w:pPr>
              <w:spacing w:after="0"/>
              <w:rPr>
                <w:sz w:val="1"/>
                <w:szCs w:val="1"/>
                <w:color w:val="auto"/>
              </w:rPr>
            </w:pPr>
          </w:p>
        </w:tc>
      </w:tr>
      <w:tr>
        <w:trPr>
          <w:trHeight w:val="202"/>
        </w:trPr>
        <w:tc>
          <w:tcPr>
            <w:tcW w:w="26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3"/>
              </w:rPr>
              <w:t>Maturity Date</w:t>
            </w:r>
          </w:p>
        </w:tc>
        <w:tc>
          <w:tcPr>
            <w:tcW w:w="4900" w:type="dxa"/>
            <w:vAlign w:val="bottom"/>
          </w:tcPr>
          <w:p>
            <w:pPr>
              <w:jc w:val="center"/>
              <w:spacing w:after="0" w:line="201" w:lineRule="exact"/>
              <w:rPr>
                <w:sz w:val="20"/>
                <w:szCs w:val="20"/>
                <w:color w:val="auto"/>
              </w:rPr>
            </w:pPr>
            <w:r>
              <w:rPr>
                <w:rFonts w:ascii="Arial" w:cs="Arial" w:eastAsia="Arial" w:hAnsi="Arial"/>
                <w:sz w:val="18"/>
                <w:szCs w:val="18"/>
                <w:color w:val="auto"/>
                <w:w w:val="91"/>
              </w:rPr>
              <w:t>Outstanding Principal Balance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of Term B Loans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the final principal repayment installment of the Term B Loans shall be repaid on the Maturity Date and in any event shall be in an amount equal to the aggregate</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60"/>
        <w:spacing w:after="0" w:line="342" w:lineRule="auto"/>
        <w:rPr>
          <w:sz w:val="20"/>
          <w:szCs w:val="20"/>
          <w:color w:val="auto"/>
        </w:rPr>
      </w:pPr>
      <w:r>
        <w:rPr>
          <w:rFonts w:ascii="Arial" w:cs="Arial" w:eastAsia="Arial" w:hAnsi="Arial"/>
          <w:sz w:val="16"/>
          <w:szCs w:val="16"/>
          <w:color w:val="auto"/>
        </w:rPr>
        <w:t>principal amount of all Term B Loans outstanding on such date and (y) if any principal repayment installment to be made by the Borrower shall come due on a day other than a Business Day, such principal repayment installment shall be due on the first immediately preceding Business Day.</w:t>
      </w:r>
    </w:p>
    <w:p>
      <w:pPr>
        <w:spacing w:after="0" w:line="124" w:lineRule="exact"/>
        <w:rPr>
          <w:sz w:val="20"/>
          <w:szCs w:val="20"/>
          <w:color w:val="auto"/>
        </w:rPr>
      </w:pPr>
    </w:p>
    <w:p>
      <w:pPr>
        <w:ind w:left="4"/>
        <w:spacing w:after="0"/>
        <w:tabs>
          <w:tab w:leader="none" w:pos="623"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Interest.</w:t>
      </w:r>
    </w:p>
    <w:p>
      <w:pPr>
        <w:spacing w:after="0" w:line="225" w:lineRule="exact"/>
        <w:rPr>
          <w:sz w:val="20"/>
          <w:szCs w:val="20"/>
          <w:color w:val="auto"/>
        </w:rPr>
      </w:pPr>
    </w:p>
    <w:p>
      <w:pPr>
        <w:ind w:left="4" w:right="260" w:firstLine="645"/>
        <w:spacing w:after="0" w:line="342" w:lineRule="auto"/>
        <w:tabs>
          <w:tab w:leader="none" w:pos="129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Pre-Default Rate</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each Loan shall bear interest on the outstanding principal amount thereof from the applicable borrowing date thereof, at a rate per annum equal to twelve percent (12.00%) per annum (the “</w:t>
      </w:r>
      <w:r>
        <w:rPr>
          <w:rFonts w:ascii="Arial" w:cs="Arial" w:eastAsia="Arial" w:hAnsi="Arial"/>
          <w:sz w:val="16"/>
          <w:szCs w:val="16"/>
          <w:u w:val="single" w:color="auto"/>
          <w:color w:val="auto"/>
        </w:rPr>
        <w:t>Interest Rate</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4" w:right="20" w:firstLine="645"/>
        <w:spacing w:after="0" w:line="259" w:lineRule="auto"/>
        <w:tabs>
          <w:tab w:leader="none" w:pos="130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(i) Upon the occurrence and during the existence of any Event of Default, all outstanding Obligations shall thereafter bear interest at an interest rate per annum at all times equal to the Interest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 per annum (the “</w:t>
      </w:r>
      <w:r>
        <w:rPr>
          <w:rFonts w:ascii="Arial" w:cs="Arial" w:eastAsia="Arial" w:hAnsi="Arial"/>
          <w:sz w:val="18"/>
          <w:szCs w:val="18"/>
          <w:u w:val="single" w:color="auto"/>
          <w:color w:val="auto"/>
        </w:rPr>
        <w:t>Default Rate</w:t>
      </w:r>
      <w:r>
        <w:rPr>
          <w:rFonts w:ascii="Arial" w:cs="Arial" w:eastAsia="Arial" w:hAnsi="Arial"/>
          <w:sz w:val="18"/>
          <w:szCs w:val="18"/>
          <w:color w:val="auto"/>
        </w:rPr>
        <w:t>”), to the fullest extent permitted by applicable Laws and (ii) accrued and unpaid interest on past due amounts (including interest on past due interest) shall be due and payable in cash on demand.</w:t>
      </w:r>
    </w:p>
    <w:p>
      <w:pPr>
        <w:spacing w:after="0" w:line="186" w:lineRule="exact"/>
        <w:rPr>
          <w:rFonts w:ascii="Arial" w:cs="Arial" w:eastAsia="Arial" w:hAnsi="Arial"/>
          <w:sz w:val="18"/>
          <w:szCs w:val="18"/>
          <w:color w:val="auto"/>
        </w:rPr>
      </w:pPr>
    </w:p>
    <w:p>
      <w:pPr>
        <w:ind w:left="1304" w:hanging="655"/>
        <w:spacing w:after="0"/>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Paid-In-Kind Interest</w:t>
      </w:r>
      <w:r>
        <w:rPr>
          <w:rFonts w:ascii="Arial" w:cs="Arial" w:eastAsia="Arial" w:hAnsi="Arial"/>
          <w:sz w:val="18"/>
          <w:szCs w:val="18"/>
          <w:color w:val="auto"/>
        </w:rPr>
        <w:t>.</w:t>
      </w:r>
    </w:p>
    <w:p>
      <w:pPr>
        <w:sectPr>
          <w:pgSz w:w="11900" w:h="16838" w:orient="portrait"/>
          <w:cols w:equalWidth="0" w:num="1">
            <w:col w:w="10764"/>
          </w:cols>
          <w:pgMar w:left="896" w:top="125" w:right="239" w:bottom="0" w:gutter="0" w:footer="0" w:header="0"/>
        </w:sectPr>
      </w:pPr>
    </w:p>
    <w:bookmarkStart w:id="59" w:name="page60"/>
    <w:bookmarkEnd w:id="59"/>
    <w:p>
      <w:pPr>
        <w:ind w:left="1220" w:right="20" w:firstLine="652"/>
        <w:spacing w:after="0" w:line="274" w:lineRule="auto"/>
        <w:tabs>
          <w:tab w:leader="none" w:pos="2619" w:val="left"/>
        </w:tabs>
        <w:numPr>
          <w:ilvl w:val="1"/>
          <w:numId w:val="58"/>
        </w:numPr>
        <w:rPr>
          <w:rFonts w:ascii="Arial" w:cs="Arial" w:eastAsia="Arial" w:hAnsi="Arial"/>
          <w:sz w:val="16"/>
          <w:szCs w:val="16"/>
          <w:color w:val="auto"/>
        </w:rPr>
      </w:pPr>
      <w:r>
        <w:rPr>
          <w:rFonts w:ascii="Arial" w:cs="Arial" w:eastAsia="Arial" w:hAnsi="Arial"/>
          <w:sz w:val="16"/>
          <w:szCs w:val="16"/>
          <w:color w:val="auto"/>
        </w:rPr>
        <w:t>Beginning with the first (1</w:t>
      </w:r>
      <w:r>
        <w:rPr>
          <w:rFonts w:ascii="Arial" w:cs="Arial" w:eastAsia="Arial" w:hAnsi="Arial"/>
          <w:sz w:val="20"/>
          <w:szCs w:val="20"/>
          <w:color w:val="auto"/>
          <w:vertAlign w:val="superscript"/>
        </w:rPr>
        <w:t>st</w:t>
      </w:r>
      <w:r>
        <w:rPr>
          <w:rFonts w:ascii="Arial" w:cs="Arial" w:eastAsia="Arial" w:hAnsi="Arial"/>
          <w:sz w:val="16"/>
          <w:szCs w:val="16"/>
          <w:color w:val="auto"/>
        </w:rPr>
        <w:t>) Interest Payment Date to occur after the Funding Date and continuing through and including the sixteenth (16</w:t>
      </w:r>
      <w:r>
        <w:rPr>
          <w:rFonts w:ascii="Arial" w:cs="Arial" w:eastAsia="Arial" w:hAnsi="Arial"/>
          <w:sz w:val="20"/>
          <w:szCs w:val="20"/>
          <w:color w:val="auto"/>
          <w:vertAlign w:val="superscript"/>
        </w:rPr>
        <w:t>th</w:t>
      </w:r>
      <w:r>
        <w:rPr>
          <w:rFonts w:ascii="Arial" w:cs="Arial" w:eastAsia="Arial" w:hAnsi="Arial"/>
          <w:sz w:val="16"/>
          <w:szCs w:val="16"/>
          <w:color w:val="auto"/>
        </w:rPr>
        <w:t>) Interest Payment Date to occur after the Funding Date (the “</w:t>
      </w:r>
      <w:r>
        <w:rPr>
          <w:rFonts w:ascii="Arial" w:cs="Arial" w:eastAsia="Arial" w:hAnsi="Arial"/>
          <w:sz w:val="16"/>
          <w:szCs w:val="16"/>
          <w:u w:val="single" w:color="auto"/>
          <w:color w:val="auto"/>
        </w:rPr>
        <w:t>PIK Period</w:t>
      </w:r>
      <w:r>
        <w:rPr>
          <w:rFonts w:ascii="Arial" w:cs="Arial" w:eastAsia="Arial" w:hAnsi="Arial"/>
          <w:sz w:val="16"/>
          <w:szCs w:val="16"/>
          <w:color w:val="auto"/>
        </w:rPr>
        <w:t>”), so long as (x) no Event of Default has occurred and is continuing as of any such Interest Payment Date and (y) the Borrower has not notified the Administrative Agent in writing prior to such Interest Payment Date that it intends to pay all interest due on such Interest Payment Date in cash, (A) a portion of the interest accruing on the Loans at the rate of nine percent (9.00%) per annum (the “</w:t>
      </w:r>
      <w:r>
        <w:rPr>
          <w:rFonts w:ascii="Arial" w:cs="Arial" w:eastAsia="Arial" w:hAnsi="Arial"/>
          <w:sz w:val="16"/>
          <w:szCs w:val="16"/>
          <w:u w:val="single" w:color="auto"/>
          <w:color w:val="auto"/>
        </w:rPr>
        <w:t>Cash Pay Interest</w:t>
      </w:r>
      <w:r>
        <w:rPr>
          <w:rFonts w:ascii="Arial" w:cs="Arial" w:eastAsia="Arial" w:hAnsi="Arial"/>
          <w:sz w:val="16"/>
          <w:szCs w:val="16"/>
          <w:color w:val="auto"/>
        </w:rPr>
        <w:t>”) shall be due and payable in cash in arrears on each such Interest Payment Date and (B) the portion of the interest accruing on the Loans in excess of the Cash Pay Interest (such portion, the “</w:t>
      </w:r>
      <w:r>
        <w:rPr>
          <w:rFonts w:ascii="Arial" w:cs="Arial" w:eastAsia="Arial" w:hAnsi="Arial"/>
          <w:sz w:val="16"/>
          <w:szCs w:val="16"/>
          <w:u w:val="single" w:color="auto"/>
          <w:color w:val="auto"/>
        </w:rPr>
        <w:t>Paid-in-Kind Interest</w:t>
      </w:r>
      <w:r>
        <w:rPr>
          <w:rFonts w:ascii="Arial" w:cs="Arial" w:eastAsia="Arial" w:hAnsi="Arial"/>
          <w:sz w:val="16"/>
          <w:szCs w:val="16"/>
          <w:color w:val="auto"/>
        </w:rPr>
        <w:t>”) shall be due and payable on each such Interest Payment Date by adding such Paid-in-Kind Interest to the outstanding principal amount of the applicable Loans on such Interest Payment Date. For the avoidance of doubt, if prior to any Interest Payment Date occurring during the PIK Period the Borrower has notified the Administrative Agent in writing prior to such Interest Payment Date that it intends to pay all interest due on such Interest Payment Date in cash or, if any Event of Default has occurred and is continuing as of any such Interest Payment Date, all interest accruing on the Loans shall be due and payable in cash in arrears on such Interest Payment Date.</w:t>
      </w:r>
    </w:p>
    <w:p>
      <w:pPr>
        <w:spacing w:after="0" w:line="177" w:lineRule="exact"/>
        <w:rPr>
          <w:rFonts w:ascii="Arial" w:cs="Arial" w:eastAsia="Arial" w:hAnsi="Arial"/>
          <w:sz w:val="16"/>
          <w:szCs w:val="16"/>
          <w:color w:val="auto"/>
        </w:rPr>
      </w:pPr>
    </w:p>
    <w:p>
      <w:pPr>
        <w:ind w:left="1220" w:right="60" w:firstLine="652"/>
        <w:spacing w:after="0" w:line="257" w:lineRule="auto"/>
        <w:tabs>
          <w:tab w:leader="none" w:pos="2628"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Any and all such Paid-in-Kind Interest so added to the principal amount of the Loans shall constitute and increase the principal amount of the Loans for all purposes under this Agreement, including without limitation, for purposes of calculating any prepayment premium under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and shall bear interest in accordance with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the occurrence and during the continuation of any Event of Default during the PIK Period, all interest accruing on the Loans shall be due and payable in cash in arrears on each Interest Payment Date and at such other times as may be specified herein.</w:t>
      </w:r>
    </w:p>
    <w:p>
      <w:pPr>
        <w:spacing w:after="0" w:line="188" w:lineRule="exact"/>
        <w:rPr>
          <w:rFonts w:ascii="Arial" w:cs="Arial" w:eastAsia="Arial" w:hAnsi="Arial"/>
          <w:sz w:val="18"/>
          <w:szCs w:val="18"/>
          <w:color w:val="auto"/>
        </w:rPr>
      </w:pPr>
    </w:p>
    <w:p>
      <w:pPr>
        <w:ind w:left="660" w:right="280" w:firstLine="645"/>
        <w:spacing w:after="0" w:line="264" w:lineRule="auto"/>
        <w:tabs>
          <w:tab w:leader="none" w:pos="196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Interest Generally</w:t>
      </w:r>
      <w:r>
        <w:rPr>
          <w:rFonts w:ascii="Arial" w:cs="Arial" w:eastAsia="Arial" w:hAnsi="Arial"/>
          <w:sz w:val="18"/>
          <w:szCs w:val="18"/>
          <w:color w:val="auto"/>
        </w:rPr>
        <w:t>. Interest on each Loan shall be due and payable in arrears on each Interest Payment Date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Borrower shall pay to the Administrative Agent and the Lenders, for their own respective accounts, fees in the amounts and at the times specified in the Fee Letter. Such fees shall be fully earned when paid and shall not be refundable for any reason whatsoever.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6"/>
          <w:szCs w:val="16"/>
          <w:u w:val="single" w:color="auto"/>
          <w:color w:val="auto"/>
        </w:rPr>
        <w:t>Computation of Interest.</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All computations of interest shall be made on the basis of a 360-day year and actual days elapsed. Interest shall accrue on each Loan for the day on which such Loan is made, and shall not accrue on a Loan, or any portion thereof, for the day on which such Loan or such portion is paid.</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6"/>
          <w:szCs w:val="16"/>
          <w:u w:val="single" w:color="auto"/>
          <w:color w:val="auto"/>
        </w:rPr>
        <w:t>Evidence of Debt.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The Loans made by each Lender shall be evidenced by one or more accounts or records maintained by such Lender in the ordinary course of business. The accounts or records maintained by each Lender shall be conclusive absent manifest error of the amount of Loans made by the Lenders to the Borrower and the interest and payments thereon. Any failure to so record or any error in doing so shall not, however, limit or otherwise affect the obligation of the Borrower hereunder to pay any amount owing with respect to the Obligations. Upon the request of any Lender made through the Administrative Agent, the Borrower shall execute and deliver to such Lender a promissory note, which shall evidence such Lender’s Loans in addition to such accounts or records. Each such promissory note shall (i) in the case of the Term A Loans, be in the form of </w:t>
      </w:r>
      <w:r>
        <w:rPr>
          <w:rFonts w:ascii="Arial" w:cs="Arial" w:eastAsia="Arial" w:hAnsi="Arial"/>
          <w:sz w:val="17"/>
          <w:szCs w:val="17"/>
          <w:u w:val="single" w:color="auto"/>
          <w:color w:val="auto"/>
        </w:rPr>
        <w:t>Exhibit B</w:t>
      </w:r>
      <w:r>
        <w:rPr>
          <w:rFonts w:ascii="Arial" w:cs="Arial" w:eastAsia="Arial" w:hAnsi="Arial"/>
          <w:sz w:val="17"/>
          <w:szCs w:val="17"/>
          <w:b w:val="1"/>
          <w:bCs w:val="1"/>
          <w:u w:val="single" w:color="auto"/>
          <w:color w:val="auto"/>
        </w:rPr>
        <w:t>-</w:t>
      </w:r>
      <w:r>
        <w:rPr>
          <w:rFonts w:ascii="Arial" w:cs="Arial" w:eastAsia="Arial" w:hAnsi="Arial"/>
          <w:sz w:val="17"/>
          <w:szCs w:val="17"/>
          <w:u w:val="single" w:color="auto"/>
          <w:color w:val="auto"/>
        </w:rPr>
        <w:t>1</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Term A Note</w:t>
      </w:r>
      <w:r>
        <w:rPr>
          <w:rFonts w:ascii="Arial" w:cs="Arial" w:eastAsia="Arial" w:hAnsi="Arial"/>
          <w:sz w:val="17"/>
          <w:szCs w:val="17"/>
          <w:color w:val="auto"/>
        </w:rPr>
        <w:t xml:space="preserve">”) and (ii) in the case of the Term B Loans, be in the form of </w:t>
      </w:r>
      <w:r>
        <w:rPr>
          <w:rFonts w:ascii="Arial" w:cs="Arial" w:eastAsia="Arial" w:hAnsi="Arial"/>
          <w:sz w:val="17"/>
          <w:szCs w:val="17"/>
          <w:u w:val="single" w:color="auto"/>
          <w:color w:val="auto"/>
        </w:rPr>
        <w:t>Exhibit B</w:t>
      </w:r>
      <w:r>
        <w:rPr>
          <w:rFonts w:ascii="Arial" w:cs="Arial" w:eastAsia="Arial" w:hAnsi="Arial"/>
          <w:sz w:val="17"/>
          <w:szCs w:val="17"/>
          <w:b w:val="1"/>
          <w:bCs w:val="1"/>
          <w:u w:val="single" w:color="auto"/>
          <w:color w:val="auto"/>
        </w:rPr>
        <w:t>-</w:t>
      </w:r>
      <w:r>
        <w:rPr>
          <w:rFonts w:ascii="Arial" w:cs="Arial" w:eastAsia="Arial" w:hAnsi="Arial"/>
          <w:sz w:val="17"/>
          <w:szCs w:val="17"/>
          <w:u w:val="single" w:color="auto"/>
          <w:color w:val="auto"/>
        </w:rPr>
        <w:t>2</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Term B Note</w:t>
      </w:r>
      <w:r>
        <w:rPr>
          <w:rFonts w:ascii="Arial" w:cs="Arial" w:eastAsia="Arial" w:hAnsi="Arial"/>
          <w:sz w:val="17"/>
          <w:szCs w:val="17"/>
          <w:color w:val="auto"/>
        </w:rPr>
        <w:t>”). Each Lender may attach schedules to its Notes and endorse thereon the date, amount and maturity of its Loans and payments with respect thereto.</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u w:val="single" w:color="auto"/>
          <w:color w:val="auto"/>
        </w:rPr>
        <w:t>Payments Generally.</w:t>
      </w:r>
    </w:p>
    <w:p>
      <w:pPr>
        <w:spacing w:after="0" w:line="225" w:lineRule="exact"/>
        <w:rPr>
          <w:sz w:val="20"/>
          <w:szCs w:val="20"/>
          <w:color w:val="auto"/>
        </w:rPr>
      </w:pPr>
    </w:p>
    <w:p>
      <w:pPr>
        <w:ind w:left="660" w:right="100" w:firstLine="645"/>
        <w:spacing w:after="0" w:line="270" w:lineRule="auto"/>
        <w:tabs>
          <w:tab w:leader="none" w:pos="1954"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All payments to be made by the Borrower shall be made free and clear of and without condition or deduction for any counterclaim, defense, recoupment or setoff. Subject to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all payments of principal, interest, prepayment premiums and fees on the Loans and all other Obligations payable by any Loan Party under the Loan Documents shall be due, without any presentment thereof, directly to the Lenders, at the respective Lending Offices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at the time of any such payment a Lender is a Defaulting Lender, such Defaulting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 payment shall be made directly to the Administrative Agent. The Loan Parties will make such payments in Dollars, in immediately available funds not later than 2:00 p.m. on the date due, marked for attention as indicated, or in such other manner or to such other account in any United States bank as the Lenders may from time to time direct in writing. All payments received by the Lenders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w:t>
      </w:r>
    </w:p>
    <w:p>
      <w:pPr>
        <w:spacing w:after="0" w:line="177" w:lineRule="exact"/>
        <w:rPr>
          <w:rFonts w:ascii="Arial" w:cs="Arial" w:eastAsia="Arial" w:hAnsi="Arial"/>
          <w:sz w:val="17"/>
          <w:szCs w:val="17"/>
          <w:color w:val="auto"/>
        </w:rPr>
      </w:pPr>
    </w:p>
    <w:p>
      <w:pPr>
        <w:ind w:left="660" w:right="140" w:firstLine="645"/>
        <w:spacing w:after="0" w:line="279" w:lineRule="auto"/>
        <w:tabs>
          <w:tab w:leader="none" w:pos="1964"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Loans and to make payments pursuant to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are several and not joint. The failure of any Lender to make any Loan or to make any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342" w:lineRule="auto"/>
        <w:tabs>
          <w:tab w:leader="none" w:pos="196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Sharing of Payments by Lenders.</w:t>
      </w:r>
    </w:p>
    <w:p>
      <w:pPr>
        <w:sectPr>
          <w:pgSz w:w="11900" w:h="16838" w:orient="portrait"/>
          <w:cols w:equalWidth="0" w:num="1">
            <w:col w:w="11420"/>
          </w:cols>
          <w:pgMar w:left="240" w:top="341" w:right="239" w:bottom="32" w:gutter="0" w:footer="0" w:header="0"/>
        </w:sectPr>
      </w:pPr>
    </w:p>
    <w:bookmarkStart w:id="60" w:name="page61"/>
    <w:bookmarkEnd w:id="60"/>
    <w:p>
      <w:pPr>
        <w:ind w:firstLine="648"/>
        <w:spacing w:after="0" w:line="288" w:lineRule="auto"/>
        <w:rPr>
          <w:sz w:val="20"/>
          <w:szCs w:val="20"/>
          <w:color w:val="auto"/>
        </w:rPr>
      </w:pPr>
      <w:r>
        <w:rPr>
          <w:rFonts w:ascii="Arial" w:cs="Arial" w:eastAsia="Arial" w:hAnsi="Arial"/>
          <w:sz w:val="16"/>
          <w:szCs w:val="16"/>
          <w:color w:val="auto"/>
        </w:rPr>
        <w:t xml:space="preserve">If any Lender shall, by exercising any right of setoff or otherwise, obtain payment in respect of any principal of or interest on its portion of any of the Loans or prepayment premium in connection therewith resulting in such Lender’s receiving payment of a proportion of the aggregate amount of the Loans and accrued interest thereon and prepayment premium in connection therewith greater than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thereof as provided herein, then the Lender shall</w:t>
      </w:r>
    </w:p>
    <w:p>
      <w:pPr>
        <w:ind w:right="200" w:firstLine="8"/>
        <w:spacing w:after="0" w:line="254"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notify the Administrative Agent of such fact and (b) purchase (for cash at face value) participations in the portions of the Loans of the other Lenders, or make such other adjustments as shall be equitable, so that the benefit of all such payments shall be shared by the Lenders ratably in accordance with the aggregate amount of principal of, accrued interest on and prepayment premium in connection with their respective portions of the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80" w:right="480" w:firstLine="675"/>
        <w:spacing w:after="0" w:line="308" w:lineRule="auto"/>
        <w:tabs>
          <w:tab w:leader="none" w:pos="2644"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46" w:lineRule="exact"/>
        <w:rPr>
          <w:rFonts w:ascii="Arial" w:cs="Arial" w:eastAsia="Arial" w:hAnsi="Arial"/>
          <w:sz w:val="17"/>
          <w:szCs w:val="17"/>
          <w:color w:val="auto"/>
        </w:rPr>
      </w:pPr>
    </w:p>
    <w:p>
      <w:pPr>
        <w:ind w:left="680" w:right="60" w:firstLine="675"/>
        <w:spacing w:after="0" w:line="257" w:lineRule="auto"/>
        <w:tabs>
          <w:tab w:leader="none" w:pos="2654"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portion of the Loans to any assignee or participant, other than an assignment to the Borrower or any Subsidiary (as to which the provisions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apply).</w:t>
      </w:r>
    </w:p>
    <w:p>
      <w:pPr>
        <w:spacing w:after="0" w:line="188" w:lineRule="exact"/>
        <w:rPr>
          <w:sz w:val="20"/>
          <w:szCs w:val="20"/>
          <w:color w:val="auto"/>
        </w:rPr>
      </w:pPr>
    </w:p>
    <w:p>
      <w:pPr>
        <w:ind w:right="20" w:firstLine="673"/>
        <w:spacing w:after="0" w:line="264"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1"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Defaulting Lenders.</w:t>
      </w:r>
    </w:p>
    <w:p>
      <w:pPr>
        <w:spacing w:after="0" w:line="225" w:lineRule="exact"/>
        <w:rPr>
          <w:sz w:val="20"/>
          <w:szCs w:val="20"/>
          <w:color w:val="auto"/>
        </w:rPr>
      </w:pPr>
    </w:p>
    <w:p>
      <w:pPr>
        <w:ind w:left="660" w:right="80" w:firstLine="645"/>
        <w:spacing w:after="0" w:line="277" w:lineRule="auto"/>
        <w:tabs>
          <w:tab w:leader="none" w:pos="195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1300" w:right="260" w:firstLine="653"/>
        <w:spacing w:after="0" w:line="308" w:lineRule="auto"/>
        <w:tabs>
          <w:tab w:leader="none" w:pos="2618"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Waivers and Amendment</w:t>
      </w:r>
      <w:r>
        <w:rPr>
          <w:rFonts w:ascii="Arial" w:cs="Arial" w:eastAsia="Arial" w:hAnsi="Arial"/>
          <w:sz w:val="17"/>
          <w:szCs w:val="17"/>
          <w:color w:val="auto"/>
        </w:rPr>
        <w:t xml:space="preserve">. The Defaulting Lender’s right to approve or disapprove any amendment, waiver or consent with respect to this Agreement shall be restricted as set forth in the definition of “Required Lenders” and </w:t>
      </w:r>
      <w:r>
        <w:rPr>
          <w:rFonts w:ascii="Arial" w:cs="Arial" w:eastAsia="Arial" w:hAnsi="Arial"/>
          <w:sz w:val="17"/>
          <w:szCs w:val="17"/>
          <w:u w:val="single" w:color="auto"/>
          <w:color w:val="auto"/>
        </w:rPr>
        <w:t>Section 11.01</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300" w:right="20" w:firstLine="653"/>
        <w:spacing w:after="0" w:line="302" w:lineRule="auto"/>
        <w:tabs>
          <w:tab w:leader="none" w:pos="2627"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any other amount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to the payment of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spacing w:after="0" w:line="286" w:lineRule="auto"/>
        <w:rPr>
          <w:sz w:val="20"/>
          <w:szCs w:val="20"/>
          <w:color w:val="auto"/>
        </w:rPr>
      </w:pPr>
      <w:r>
        <w:rPr>
          <w:rFonts w:ascii="Arial" w:cs="Arial" w:eastAsia="Arial" w:hAnsi="Arial"/>
          <w:sz w:val="16"/>
          <w:szCs w:val="16"/>
          <w:color w:val="auto"/>
        </w:rPr>
        <w:t xml:space="preserve">amounts owing by that Defaulting Lender to the Administrative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(x) such payment is a payment of the principal amount of any Loans in respect of which that Defaulting Lender has not fully funded its appropriate share and (y) such Loans were made at a time when the conditions set forth in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were satisfied or waived, such payment shall be applied solely to pay the Loans of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that Defaulting Lender. Any payments, prepayments or other amounts paid or payable to a Defaulting Lender that are applied (or held) to pay amounts owed by a Defaulting Lender pursuant to this </w:t>
      </w:r>
      <w:r>
        <w:rPr>
          <w:rFonts w:ascii="Arial" w:cs="Arial" w:eastAsia="Arial" w:hAnsi="Arial"/>
          <w:sz w:val="16"/>
          <w:szCs w:val="16"/>
          <w:u w:val="single" w:color="auto"/>
          <w:color w:val="auto"/>
        </w:rPr>
        <w:t>Section 2.12(a)(ii)</w:t>
      </w:r>
      <w:r>
        <w:rPr>
          <w:rFonts w:ascii="Arial" w:cs="Arial" w:eastAsia="Arial" w:hAnsi="Arial"/>
          <w:sz w:val="16"/>
          <w:szCs w:val="16"/>
          <w:color w:val="auto"/>
        </w:rPr>
        <w:t xml:space="preserve"> shall be deemed paid to and redirected by that Defaulting Lender, and each Lender irrevocably consents hereto.</w:t>
      </w:r>
    </w:p>
    <w:p>
      <w:pPr>
        <w:spacing w:after="0" w:line="169" w:lineRule="exact"/>
        <w:rPr>
          <w:sz w:val="20"/>
          <w:szCs w:val="20"/>
          <w:color w:val="auto"/>
        </w:rPr>
      </w:pPr>
    </w:p>
    <w:p>
      <w:pPr>
        <w:ind w:left="660" w:firstLine="645"/>
        <w:spacing w:after="0" w:line="255" w:lineRule="auto"/>
        <w:tabs>
          <w:tab w:leader="none" w:pos="196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 adjustments will be made retroactively with respect to fees accrued or payments made by or on behalf of the Borrower while that Lender was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9"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u w:val="single" w:color="auto"/>
          <w:color w:val="auto"/>
        </w:rPr>
        <w:t>Right of First Offer.</w:t>
      </w:r>
    </w:p>
    <w:p>
      <w:pPr>
        <w:spacing w:after="0" w:line="225" w:lineRule="exact"/>
        <w:rPr>
          <w:sz w:val="20"/>
          <w:szCs w:val="20"/>
          <w:color w:val="auto"/>
        </w:rPr>
      </w:pPr>
    </w:p>
    <w:p>
      <w:pPr>
        <w:ind w:left="660" w:right="20" w:firstLine="645"/>
        <w:spacing w:after="0" w:line="276" w:lineRule="auto"/>
        <w:tabs>
          <w:tab w:leader="none" w:pos="1954"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the Borrower or any Subsidiary contemplates undertaking a Debt Issuance and/or issuing Qualified Subordinated Debt, then, not fewer than twelve (12) Business Days (in the case of a Debt Issuance) or twenty (20) Business Days (in the case of an issuance of Qualified Subordinated Debt) prior to the proposed date of such Debt Issuance or such issuance of Qualified Subordinated Debt, the Borrower shall provide written notice (a “</w:t>
      </w:r>
      <w:r>
        <w:rPr>
          <w:rFonts w:ascii="Arial" w:cs="Arial" w:eastAsia="Arial" w:hAnsi="Arial"/>
          <w:sz w:val="17"/>
          <w:szCs w:val="17"/>
          <w:u w:val="single" w:color="auto"/>
          <w:color w:val="auto"/>
        </w:rPr>
        <w:t>Debt Issuance Notice</w:t>
      </w:r>
      <w:r>
        <w:rPr>
          <w:rFonts w:ascii="Arial" w:cs="Arial" w:eastAsia="Arial" w:hAnsi="Arial"/>
          <w:sz w:val="17"/>
          <w:szCs w:val="17"/>
          <w:color w:val="auto"/>
        </w:rPr>
        <w:t>”) thereof to the Lenders, and shall deliver promptly to the Lenders such information concerning the Debt Issuance or the issuance of Qualified Subordinated Debt, as the case may be, as the Lenders may reasonably request.</w:t>
      </w:r>
    </w:p>
    <w:p>
      <w:pPr>
        <w:spacing w:after="0" w:line="172"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 period of ten (10) consecutive Business Days (the “</w:t>
      </w:r>
      <w:r>
        <w:rPr>
          <w:rFonts w:ascii="Arial" w:cs="Arial" w:eastAsia="Arial" w:hAnsi="Arial"/>
          <w:sz w:val="18"/>
          <w:szCs w:val="18"/>
          <w:u w:val="single" w:color="auto"/>
          <w:color w:val="auto"/>
        </w:rPr>
        <w:t>Exclusivity and Proposal Period</w:t>
      </w:r>
      <w:r>
        <w:rPr>
          <w:rFonts w:ascii="Arial" w:cs="Arial" w:eastAsia="Arial" w:hAnsi="Arial"/>
          <w:sz w:val="18"/>
          <w:szCs w:val="18"/>
          <w:color w:val="auto"/>
        </w:rPr>
        <w:t>”) after receipt by the Lenders of a Debt Issuance Notice, the Lenders shall have the exclusive option (or in the case of Qualified Subordinated Debt, a non-exclusive option), but not the obligation, to propose the material terms and conditions (the “</w:t>
      </w:r>
      <w:r>
        <w:rPr>
          <w:rFonts w:ascii="Arial" w:cs="Arial" w:eastAsia="Arial" w:hAnsi="Arial"/>
          <w:sz w:val="18"/>
          <w:szCs w:val="18"/>
          <w:u w:val="single" w:color="auto"/>
          <w:color w:val="auto"/>
        </w:rPr>
        <w:t>Proposed Terms</w:t>
      </w:r>
      <w:r>
        <w:rPr>
          <w:rFonts w:ascii="Arial" w:cs="Arial" w:eastAsia="Arial" w:hAnsi="Arial"/>
          <w:sz w:val="18"/>
          <w:szCs w:val="18"/>
          <w:color w:val="auto"/>
        </w:rPr>
        <w:t>”) under</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61" w:name="page62"/>
    <w:bookmarkEnd w:id="61"/>
    <w:p>
      <w:pPr>
        <w:spacing w:after="0" w:line="288" w:lineRule="auto"/>
        <w:rPr>
          <w:sz w:val="20"/>
          <w:szCs w:val="20"/>
          <w:color w:val="auto"/>
        </w:rPr>
      </w:pPr>
      <w:r>
        <w:rPr>
          <w:rFonts w:ascii="Arial" w:cs="Arial" w:eastAsia="Arial" w:hAnsi="Arial"/>
          <w:sz w:val="16"/>
          <w:szCs w:val="16"/>
          <w:color w:val="auto"/>
        </w:rPr>
        <w:t>which they would be willing to provide such Debt Issuance or such Qualified Subordinated Debt by delivering written notice (a “</w:t>
      </w:r>
      <w:r>
        <w:rPr>
          <w:rFonts w:ascii="Arial" w:cs="Arial" w:eastAsia="Arial" w:hAnsi="Arial"/>
          <w:sz w:val="16"/>
          <w:szCs w:val="16"/>
          <w:u w:val="single" w:color="auto"/>
          <w:color w:val="auto"/>
        </w:rPr>
        <w:t>Proposed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Sheet</w:t>
      </w:r>
      <w:r>
        <w:rPr>
          <w:rFonts w:ascii="Arial" w:cs="Arial" w:eastAsia="Arial" w:hAnsi="Arial"/>
          <w:sz w:val="16"/>
          <w:szCs w:val="16"/>
          <w:color w:val="auto"/>
        </w:rPr>
        <w:t xml:space="preserve">”) thereof to the Borrower, setting forth such Proposed Terms. Failure by the Lenders to deliver a Proposed Term Sheet within the applicable Exclusivity and Proposal Period shall be deemed an election by the Lenders not to provide the Debt Issuance or the Qualified Subordinated Debt, as applicable. If the Lenders deliver a Proposed Term Sheet to the Borrower, neither the Borrower nor any Subsidiary may then undertake any such Debt Issuance or any such issuance of Qualified Subordinated Debt, as the case may be, with any other Person except on economic terms that are more favorable (taken as a whole) to the Borrower or such Subsidiary than the Proposed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prior to undertaking any such Debt Issuance or any such issuance of Qualified Subordinated Debt with any other Person, the Borrower or such Subsidiary shall provide the Lenders with at least five (5) Business Days’ notice thereof (and such information with respect thereto as the Lenders shall reasonably request) and afford the Lenders a period of three (3) Business Days thereafter to propose a Term Sheet containing economic terms at least as favorable to the Borrower or such Subsidiary as the economic terms of such Debt Issuance or such issuance of Qualified Subordinated Debt, as the case may be.</w:t>
      </w:r>
    </w:p>
    <w:p>
      <w:pPr>
        <w:spacing w:after="0" w:line="169"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TAXES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ind w:right="20" w:firstLine="645"/>
        <w:spacing w:after="0" w:line="285" w:lineRule="auto"/>
        <w:tabs>
          <w:tab w:leader="none" w:pos="1294"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All payments of principal and interest on the Loans and all other amounts payable hereunder shall be made free and clear of and without deduction for any present or future income, excise, stamp, documentary, property or franchise taxes and other taxes, fees, duties, levies, assessments, withholdings or other charges of any nature whatsoever (including interest and penalties thereon) imposed by any taxing authority, excluding (x) taxes imposed on or measured by net income imposed by the jurisdiction under which a Recipient is organized or conducts business (other than solely as the result of entering into any of the Loan Documents or taking any action thereunder), (y) U.S. federal withholding taxes imposed on amounts payable to or for the account of a Recipient with respect to an applicable interest in a Loan or Commitment pursuant to a law in effect on the date on which (i) such Recipient acquires such interest in the Loan or Commitment (other than pursuant to an assignment request by the Borrower pursuant to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(ii) such Recipient changes its Lending Office, except in each case to the extent that,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amounts with respect to such taxes were payable either to such Recipient’s assignor immediately before such Recipient became a party hereto or to such Recipient immediately before it changed its Lending Office and (z) U.S. federal withholding tax imposed under FATCA (all non-excluded items being called “</w:t>
      </w:r>
      <w:r>
        <w:rPr>
          <w:rFonts w:ascii="Arial" w:cs="Arial" w:eastAsia="Arial" w:hAnsi="Arial"/>
          <w:sz w:val="16"/>
          <w:szCs w:val="16"/>
          <w:u w:val="single" w:color="auto"/>
          <w:color w:val="auto"/>
        </w:rPr>
        <w:t>Taxes</w:t>
      </w:r>
      <w:r>
        <w:rPr>
          <w:rFonts w:ascii="Arial" w:cs="Arial" w:eastAsia="Arial" w:hAnsi="Arial"/>
          <w:sz w:val="16"/>
          <w:szCs w:val="16"/>
          <w:color w:val="auto"/>
        </w:rPr>
        <w:t>”). If any withholding or deduction of any Taxes from any payment by or on account of any obligation of any Loan Party hereunder is required in respect of any Taxes pursuant to any applicable Law, then (i) the applicable Withholding Agent shall be entitled to make such withholding or deduction and shall pay directly to the relevant Governmental Authority the full amount required to be so withheld or deducted, (ii) the applicable Withholding Agent shall promptly forward to the Administrative Agent an official receipt or other documentation satisfactory to the Administrative Agent evidencing such payment to such Governmental Authority and (iii) the sum payable by the applicable Loan Party shall be increased by such additional amount or amounts as is necessary to ensure that the net amount actually received by the applicable Recipient will equal the full amount such Recipient would have received had no such withholding or deduction been required.</w:t>
      </w:r>
    </w:p>
    <w:p>
      <w:pPr>
        <w:spacing w:after="0" w:line="17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5"/>
        <w:spacing w:after="0" w:line="259"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Borrower shall indemnify each Recipient, within ten (10) days after demand therefor, for the full amount of any Taxes (including Taxes imposed on or attributable to amounts payable under this Section) payable or paid by such Recipient or required to be withheld or deducted from a payment by such Recipient and any reasonable expenses arising therefrom or with respect thereto, whether or not such Taxes were correctly or legally imposed or asserted by the relevant Governmental Authority.</w:t>
      </w:r>
    </w:p>
    <w:p>
      <w:pPr>
        <w:spacing w:after="0" w:line="186" w:lineRule="exact"/>
        <w:rPr>
          <w:rFonts w:ascii="Arial" w:cs="Arial" w:eastAsia="Arial" w:hAnsi="Arial"/>
          <w:sz w:val="18"/>
          <w:szCs w:val="18"/>
          <w:color w:val="auto"/>
        </w:rPr>
      </w:pPr>
    </w:p>
    <w:p>
      <w:pPr>
        <w:ind w:firstLine="645"/>
        <w:spacing w:after="0" w:line="286" w:lineRule="auto"/>
        <w:tabs>
          <w:tab w:leader="none" w:pos="13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Each Lender that is not a “United States person” as defined in Section 7701(a)(30) of the Internal Revenue Code that purports to become an assignee of an interest pursuant to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after the Effective Date (each such Lender a “</w:t>
      </w:r>
      <w:r>
        <w:rPr>
          <w:rFonts w:ascii="Arial" w:cs="Arial" w:eastAsia="Arial" w:hAnsi="Arial"/>
          <w:sz w:val="16"/>
          <w:szCs w:val="16"/>
          <w:u w:val="single" w:color="auto"/>
          <w:color w:val="auto"/>
        </w:rPr>
        <w:t>Foreign Lender</w:t>
      </w:r>
      <w:r>
        <w:rPr>
          <w:rFonts w:ascii="Arial" w:cs="Arial" w:eastAsia="Arial" w:hAnsi="Arial"/>
          <w:sz w:val="16"/>
          <w:szCs w:val="16"/>
          <w:color w:val="auto"/>
        </w:rPr>
        <w:t xml:space="preserve">”) shall execute and deliver to each of the Borrower and the Administrative Agent on or prior to the date that such Lender becomes a party hereto (and from time to time thereafter upon the reasonable request of the Borrower or the Administrative Agent), one or more (as the Borrower or the Administrative Agent may reasonably request) duly completed and executed copies of United States Internal Revenue Service Forms W-8ECI, W-8BEN, W-8BEN-E, W-8IMY (as applicable) and other applicable forms, certificates or documents prescribed by the United States Internal Revenue Service or reasonably requested by the Borrower or the Administrative Agent certifying as to such Lender’s entitlement to any available exemption from or reduction of withholding or deduction of taxes. Each Lender that is a “United States person” as defined in Section 7701(a)(30) of the Internal Revenue Code shall execute and deliver to the Borrower and the Administrative Agent on or prior to the date such Lender becomes a party hereto (and from time to time thereafter upon the reasonable request of the Borrower or the Administrative Agent), one or more (as the Borrower or the Administrative Agent may reasonably request) duly completed and executed copies of United States Internal Revenue Service Form W-9 certifying that such Lender is not subject to United States backup withholding. The Borrower shall not be required to pay additional amounts to any Lender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taxes attributable to the failure of such Foreign Lender to comply with this paragraph.</w:t>
      </w:r>
    </w:p>
    <w:p>
      <w:pPr>
        <w:spacing w:after="0" w:line="174" w:lineRule="exact"/>
        <w:rPr>
          <w:rFonts w:ascii="Arial" w:cs="Arial" w:eastAsia="Arial" w:hAnsi="Arial"/>
          <w:sz w:val="16"/>
          <w:szCs w:val="16"/>
          <w:color w:val="auto"/>
        </w:rPr>
      </w:pPr>
    </w:p>
    <w:p>
      <w:pPr>
        <w:ind w:right="540" w:firstLine="645"/>
        <w:spacing w:after="0" w:line="264"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promptly update such form or certification or promptly notify the Administrative Agent and the Borrower of its inability to do so.</w:t>
      </w:r>
    </w:p>
    <w:p>
      <w:pPr>
        <w:spacing w:after="0" w:line="181" w:lineRule="exact"/>
        <w:rPr>
          <w:rFonts w:ascii="Arial" w:cs="Arial" w:eastAsia="Arial" w:hAnsi="Arial"/>
          <w:sz w:val="18"/>
          <w:szCs w:val="18"/>
          <w:color w:val="auto"/>
        </w:rPr>
      </w:pPr>
    </w:p>
    <w:p>
      <w:pPr>
        <w:ind w:firstLine="645"/>
        <w:spacing w:after="0" w:line="287" w:lineRule="auto"/>
        <w:tabs>
          <w:tab w:leader="none" w:pos="1307"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any Lender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such Lender, agrees to repay the amount paid over to the Borrower (plus any penalties, interest or other charges imposed by the relevant Governmental Authority) to such Lender in the event such Lender is required to repay such refund to such Governmental Authority. Notwithstanding anything to the contrary in this subsection, in no event will the applicable Lender be required to pay any amount to the Borrower pursuant to this subsection the payment of which would place such Lender in a less favorable net after-tax position than such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w:t>
      </w:r>
    </w:p>
    <w:p>
      <w:pPr>
        <w:sectPr>
          <w:pgSz w:w="11900" w:h="16838" w:orient="portrait"/>
          <w:cols w:equalWidth="0" w:num="1">
            <w:col w:w="10740"/>
          </w:cols>
          <w:pgMar w:left="900" w:top="584" w:right="259" w:bottom="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any Lender to make available its tax returns (or any other information relating to its taxes that it deems confidential) to the Borrower or any other Person.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u w:val="single" w:color="auto"/>
          <w:color w:val="auto"/>
        </w:rPr>
        <w:t>Survival.</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Commitments, repayment of all Obligations hereunder and resignation of the Administrative Agent.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5"/>
          <w:szCs w:val="15"/>
          <w:u w:val="single" w:color="auto"/>
          <w:color w:val="auto"/>
        </w:rPr>
        <w:t>The Guaranty.</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of the Guarantors hereby jointly and severally guarantees to each Secured Party and the Administrative Agent as hereinafter provided, as primary obligor and not as surety, the prompt payment of the Obligations in full when due (whether at stated maturity, as a mandatory prepayment, by acceleration or otherwise) strictly in accordance with the terms thereof. The Guarantors hereby further agree that if any of the Obligations are not paid in full when due (whether at stated maturity, as a mandatory prepayment, by acceleration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or otherwise) in accordance with the terms of such extension or renewal.</w:t>
      </w:r>
    </w:p>
    <w:p>
      <w:pPr>
        <w:spacing w:after="0" w:line="18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Notwithstanding any provision to the contrary contained herein or in any other of the Loan Documents, the obligations of each Guarantor under this Agreement and the other Loan Documents shall be limited to an aggregate amount equal to the largest amount that would not render such obligations subject to avoidance under Debtor Relief Laws or any comparable provisions of any applicable state law.</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Obligations Unconditional.</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The obligations of the Guarantors under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joint and several, absolute and unconditional, irrespective of the value, genuineness, validity, regularity or enforceability of any of the Loan Documents, or any other agreement or instrument referred to therein, or any substitution, release, impairment or exchange of any other guarantee of or security for any of the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67" w:lineRule="exact"/>
        <w:rPr>
          <w:sz w:val="20"/>
          <w:szCs w:val="20"/>
          <w:color w:val="auto"/>
        </w:rPr>
      </w:pPr>
    </w:p>
    <w:p>
      <w:pPr>
        <w:ind w:left="660" w:right="180" w:firstLine="645"/>
        <w:spacing w:after="0" w:line="277" w:lineRule="auto"/>
        <w:tabs>
          <w:tab w:leader="none" w:pos="1954"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645"/>
        <w:spacing w:after="0" w:line="277" w:lineRule="auto"/>
        <w:tabs>
          <w:tab w:leader="none" w:pos="196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any of the Loan Documents, or any other agreement or instrument referred to in the Loan Documents shall be done or omitted;</w:t>
      </w:r>
    </w:p>
    <w:p>
      <w:pPr>
        <w:spacing w:after="0" w:line="170" w:lineRule="exact"/>
        <w:rPr>
          <w:rFonts w:ascii="Arial" w:cs="Arial" w:eastAsia="Arial" w:hAnsi="Arial"/>
          <w:sz w:val="18"/>
          <w:szCs w:val="18"/>
          <w:color w:val="auto"/>
        </w:rPr>
      </w:pPr>
    </w:p>
    <w:p>
      <w:pPr>
        <w:ind w:left="660" w:right="100" w:firstLine="645"/>
        <w:spacing w:after="0" w:line="259" w:lineRule="auto"/>
        <w:tabs>
          <w:tab w:leader="none" w:pos="19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maturity of any of the Obligations shall be accelerated, or any of the Obligations shall be modified, supplemented or amended in any respect, or any right under any of the Loan Documents, or any other agreement or instrument referred to in the Loan Documents shall be waived or any other guarantee of any of the Obligations or any security therefor shall be released, impaired or exchanged in whole or in part or otherwise dealt with;</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Lien granted to, or in favor of, any Secured Party as security for any of the Obligations shall fail to attach or be perfected; or</w:t>
      </w:r>
    </w:p>
    <w:p>
      <w:pPr>
        <w:spacing w:after="0" w:line="248" w:lineRule="exact"/>
        <w:rPr>
          <w:rFonts w:ascii="Arial" w:cs="Arial" w:eastAsia="Arial" w:hAnsi="Arial"/>
          <w:sz w:val="16"/>
          <w:szCs w:val="16"/>
          <w:color w:val="auto"/>
        </w:rPr>
      </w:pPr>
    </w:p>
    <w:p>
      <w:pPr>
        <w:ind w:left="660" w:right="180" w:firstLine="645"/>
        <w:spacing w:after="0" w:line="308" w:lineRule="auto"/>
        <w:tabs>
          <w:tab w:leader="none" w:pos="1967"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and any requirement that the Secured Parties exhaust any right, power or remedy or proceed against any Person under any of the Loan Documents, or any other agreement or instrument referred to in the Loan Documents, or against any other Person under any other guarantee of, or security for, any of the Obligations.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u w:val="single" w:color="auto"/>
          <w:color w:val="auto"/>
        </w:rPr>
        <w:t>Reinstatement.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obligations of the Guarantors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automatically reinstated if and to the extent that for any reason any payment by or on behalf of any Person in respect of the Obligations is rescinded or must be otherwise restored by any Secured Party, whether as a result of any proceedings in bankruptcy or reorganization or otherwise, and each Guarantor agrees that it will indemnify the Secured Parties on demand for all reasonable costs and expenses (including, without limitation, the fees, charges and disbursements of counsel) incurred by the Secured Parties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ectPr>
          <w:pgSz w:w="11900" w:h="16838" w:orient="portrait"/>
          <w:cols w:equalWidth="0" w:num="1">
            <w:col w:w="11400"/>
          </w:cols>
          <w:pgMar w:left="240" w:top="125" w:right="259" w:bottom="0" w:gutter="0" w:footer="0" w:header="0"/>
        </w:sectPr>
      </w:pPr>
    </w:p>
    <w:bookmarkStart w:id="63" w:name="page64"/>
    <w:bookmarkEnd w:id="63"/>
    <w:p>
      <w:pPr>
        <w:spacing w:after="0" w:line="1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u w:val="single" w:color="auto"/>
          <w:color w:val="auto"/>
        </w:rPr>
        <w:t>Certain Additional Waivers.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through the exercise of rights of contribution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5"/>
          <w:szCs w:val="15"/>
          <w:u w:val="single" w:color="auto"/>
          <w:color w:val="auto"/>
        </w:rPr>
        <w:t>Remedies.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Guarantors agree that, to the fullest extent permitted by law, as between the Guarantors, on the one hand, and the Secured Parties, on the other hand, the Obligations may be declared to be forthwith due and payable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shall be deemed to have become automatically due and payable in the circumstances provided in said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The Guarantors acknowledge and agree that their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obligations hereunder are secured in accordance with the terms of the Collateral Documents and that the Secured Parties may exercise their remedies thereunder in accordance with the terms thereof.</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u w:val="single" w:color="auto"/>
          <w:color w:val="auto"/>
        </w:rPr>
        <w:t>Rights of Contribution.</w:t>
      </w:r>
    </w:p>
    <w:p>
      <w:pPr>
        <w:spacing w:after="0" w:line="225"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have been paid in full and the Commitments have terminated.</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6"/>
          <w:szCs w:val="16"/>
          <w:u w:val="single" w:color="auto"/>
          <w:color w:val="auto"/>
        </w:rPr>
        <w:t>Guarantee of Payment; Continuing Guarantee.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guarantee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a guaranty of payment and not of collection, is a continuing guarantee, and shall apply to all Obligations whenever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arising.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BORROWINGS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Condition to Effectiveness.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Agreement shall become effective upon receipt by the Administrative Agent of executed counterparts of this Agreement, properly executed by a Responsible Officer of each Loan Party and by each Lender, together with all exhibits and schedules hereto.</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u w:val="single" w:color="auto"/>
          <w:color w:val="auto"/>
        </w:rPr>
        <w:t>Conditions to Initial Extensions of Credit.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 of each Lender to make its initial Loans hereunder is subject to satisfaction of the following conditions precedent:</w:t>
      </w:r>
    </w:p>
    <w:p>
      <w:pPr>
        <w:spacing w:after="0" w:line="225" w:lineRule="exact"/>
        <w:rPr>
          <w:sz w:val="20"/>
          <w:szCs w:val="20"/>
          <w:color w:val="auto"/>
        </w:rPr>
      </w:pPr>
    </w:p>
    <w:p>
      <w:pPr>
        <w:ind w:left="660" w:right="140" w:firstLine="645"/>
        <w:spacing w:after="0" w:line="264" w:lineRule="auto"/>
        <w:tabs>
          <w:tab w:leader="none" w:pos="195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Receipt by the Administrative Agent of executed counterparts of the Loan Documents and the ROFR Side Letter, each properly executed by a Responsible Officer of the signing Loan Party and each other party to such documents, in each case in form and substance satisfactory to the Administrative Agent and the Lenders.</w:t>
      </w:r>
    </w:p>
    <w:p>
      <w:pPr>
        <w:spacing w:after="0" w:line="181" w:lineRule="exact"/>
        <w:rPr>
          <w:rFonts w:ascii="Arial" w:cs="Arial" w:eastAsia="Arial" w:hAnsi="Arial"/>
          <w:sz w:val="18"/>
          <w:szCs w:val="18"/>
          <w:color w:val="auto"/>
        </w:rPr>
      </w:pPr>
    </w:p>
    <w:p>
      <w:pPr>
        <w:ind w:left="660" w:right="80" w:firstLine="645"/>
        <w:spacing w:after="0" w:line="342" w:lineRule="auto"/>
        <w:tabs>
          <w:tab w:leader="none" w:pos="1964"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Receipt by the Administrative Agent of favorable opinions of legal counsel to the Loan Parties, addressed to the Administrative Agent and each Lender, dated as of the Funding Date, and in form and substance satisfactory to the Administrative Agent.</w:t>
      </w:r>
    </w:p>
    <w:p>
      <w:pPr>
        <w:spacing w:after="0" w:line="123" w:lineRule="exact"/>
        <w:rPr>
          <w:rFonts w:ascii="Arial" w:cs="Arial" w:eastAsia="Arial" w:hAnsi="Arial"/>
          <w:sz w:val="16"/>
          <w:szCs w:val="16"/>
          <w:color w:val="auto"/>
        </w:rPr>
      </w:pPr>
    </w:p>
    <w:p>
      <w:pPr>
        <w:ind w:left="660" w:right="240" w:firstLine="645"/>
        <w:spacing w:after="0" w:line="277" w:lineRule="auto"/>
        <w:tabs>
          <w:tab w:leader="none" w:pos="196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Financial Statements; Due Diligence</w:t>
      </w:r>
      <w:r>
        <w:rPr>
          <w:rFonts w:ascii="Arial" w:cs="Arial" w:eastAsia="Arial" w:hAnsi="Arial"/>
          <w:sz w:val="18"/>
          <w:szCs w:val="18"/>
          <w:color w:val="auto"/>
        </w:rPr>
        <w:t>. The Administrative Agent shall have received the Audited Financial Statements and such other reports, statements and due diligence items as the Administrative Agent or any Lender shall request.</w:t>
      </w:r>
    </w:p>
    <w:p>
      <w:pPr>
        <w:spacing w:after="0" w:line="170" w:lineRule="exact"/>
        <w:rPr>
          <w:rFonts w:ascii="Arial" w:cs="Arial" w:eastAsia="Arial" w:hAnsi="Arial"/>
          <w:sz w:val="18"/>
          <w:szCs w:val="18"/>
          <w:color w:val="auto"/>
        </w:rPr>
      </w:pPr>
    </w:p>
    <w:p>
      <w:pPr>
        <w:ind w:left="660" w:right="300" w:firstLine="645"/>
        <w:spacing w:after="0" w:line="264" w:lineRule="auto"/>
        <w:tabs>
          <w:tab w:leader="none" w:pos="196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There shall not have occurred a material adverse change since December 31, 2015 in the operations, business, assets, properties, liabilities (actual or contingent) or condition (financial or otherwise) of the Borrower and its Subsidiaries, taken as a whole.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firstLine="645"/>
        <w:spacing w:after="0" w:line="342" w:lineRule="auto"/>
        <w:tabs>
          <w:tab w:leader="none" w:pos="196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shall not exist any action, suit, investigation or proceeding pending or threatened in any court or before an arbitrator or Governmental Authority that could reasonably be expected, either individually or in the aggregate, to have a Material Adverse Effect.</w:t>
      </w:r>
    </w:p>
    <w:p>
      <w:pPr>
        <w:spacing w:after="0" w:line="123" w:lineRule="exact"/>
        <w:rPr>
          <w:rFonts w:ascii="Arial" w:cs="Arial" w:eastAsia="Arial" w:hAnsi="Arial"/>
          <w:sz w:val="16"/>
          <w:szCs w:val="16"/>
          <w:color w:val="auto"/>
        </w:rPr>
      </w:pPr>
    </w:p>
    <w:p>
      <w:pPr>
        <w:ind w:left="660" w:right="20" w:firstLine="645"/>
        <w:spacing w:after="0" w:line="308" w:lineRule="auto"/>
        <w:tabs>
          <w:tab w:leader="none" w:pos="1961"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Organization Documents, Resolutions, Etc.</w:t>
      </w:r>
      <w:r>
        <w:rPr>
          <w:rFonts w:ascii="Arial" w:cs="Arial" w:eastAsia="Arial" w:hAnsi="Arial"/>
          <w:sz w:val="17"/>
          <w:szCs w:val="17"/>
          <w:color w:val="auto"/>
        </w:rPr>
        <w:t xml:space="preserve"> Receipt by the Administrative Agent of the following, each of which shall be originals or facsimiles (followed promptly by originals), in form and substance satisfactory to the Administrative Agent and its legal counsel:</w:t>
      </w:r>
    </w:p>
    <w:p>
      <w:pPr>
        <w:spacing w:after="0" w:line="146" w:lineRule="exact"/>
        <w:rPr>
          <w:rFonts w:ascii="Arial" w:cs="Arial" w:eastAsia="Arial" w:hAnsi="Arial"/>
          <w:sz w:val="17"/>
          <w:szCs w:val="17"/>
          <w:color w:val="auto"/>
        </w:rPr>
      </w:pPr>
    </w:p>
    <w:p>
      <w:pPr>
        <w:ind w:left="1300" w:right="80" w:firstLine="653"/>
        <w:spacing w:after="0" w:line="286" w:lineRule="auto"/>
        <w:tabs>
          <w:tab w:leader="none" w:pos="2618" w:val="left"/>
        </w:tabs>
        <w:numPr>
          <w:ilvl w:val="1"/>
          <w:numId w:val="71"/>
        </w:numPr>
        <w:rPr>
          <w:rFonts w:ascii="Arial" w:cs="Arial" w:eastAsia="Arial" w:hAnsi="Arial"/>
          <w:sz w:val="17"/>
          <w:szCs w:val="17"/>
          <w:color w:val="auto"/>
        </w:rPr>
      </w:pPr>
      <w:r>
        <w:rPr>
          <w:rFonts w:ascii="Arial" w:cs="Arial" w:eastAsia="Arial" w:hAnsi="Arial"/>
          <w:sz w:val="17"/>
          <w:szCs w:val="17"/>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Funding Date;</w:t>
      </w:r>
    </w:p>
    <w:p>
      <w:pPr>
        <w:spacing w:after="0" w:line="165" w:lineRule="exact"/>
        <w:rPr>
          <w:rFonts w:ascii="Arial" w:cs="Arial" w:eastAsia="Arial" w:hAnsi="Arial"/>
          <w:sz w:val="17"/>
          <w:szCs w:val="17"/>
          <w:color w:val="auto"/>
        </w:rPr>
      </w:pPr>
    </w:p>
    <w:p>
      <w:pPr>
        <w:ind w:left="1300" w:right="180" w:firstLine="653"/>
        <w:spacing w:after="0" w:line="342" w:lineRule="auto"/>
        <w:tabs>
          <w:tab w:leader="none" w:pos="2627" w:val="left"/>
        </w:tabs>
        <w:numPr>
          <w:ilvl w:val="1"/>
          <w:numId w:val="71"/>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require evidencing the identity, authority and capacity of each Responsible Officer</w:t>
      </w:r>
    </w:p>
    <w:p>
      <w:pPr>
        <w:sectPr>
          <w:pgSz w:w="11900" w:h="16975" w:orient="portrait"/>
          <w:cols w:equalWidth="0" w:num="1">
            <w:col w:w="11420"/>
          </w:cols>
          <w:pgMar w:left="240" w:top="125" w:right="239" w:bottom="0" w:gutter="0" w:footer="0" w:header="0"/>
        </w:sectPr>
      </w:pPr>
    </w:p>
    <w:bookmarkStart w:id="64" w:name="page65"/>
    <w:bookmarkEnd w:id="64"/>
    <w:p>
      <w:pPr>
        <w:ind w:left="100" w:right="260"/>
        <w:spacing w:after="0" w:line="277" w:lineRule="auto"/>
        <w:rPr>
          <w:sz w:val="20"/>
          <w:szCs w:val="20"/>
          <w:color w:val="auto"/>
        </w:rPr>
      </w:pPr>
      <w:r>
        <w:rPr>
          <w:rFonts w:ascii="Arial" w:cs="Arial" w:eastAsia="Arial" w:hAnsi="Arial"/>
          <w:sz w:val="18"/>
          <w:szCs w:val="18"/>
          <w:color w:val="auto"/>
        </w:rPr>
        <w:t>thereof authorized to act as a Responsible Officer in connection with this Agreement and the other Loan Documents to which such Loan Party is a party; and</w:t>
      </w:r>
    </w:p>
    <w:p>
      <w:pPr>
        <w:spacing w:after="0" w:line="170" w:lineRule="exact"/>
        <w:rPr>
          <w:sz w:val="20"/>
          <w:szCs w:val="20"/>
          <w:color w:val="auto"/>
        </w:rPr>
      </w:pPr>
    </w:p>
    <w:p>
      <w:pPr>
        <w:ind w:left="100" w:right="160" w:firstLine="653"/>
        <w:spacing w:after="0" w:line="342" w:lineRule="auto"/>
        <w:tabs>
          <w:tab w:leader="none" w:pos="1437" w:val="left"/>
        </w:tabs>
        <w:numPr>
          <w:ilvl w:val="2"/>
          <w:numId w:val="72"/>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require to evidence that each Loan Party is duly organized or formed, and is validly existing, in good standing and qualified to engage in business in its state of organization or formation.</w:t>
      </w:r>
    </w:p>
    <w:p>
      <w:pPr>
        <w:spacing w:after="0" w:line="123" w:lineRule="exact"/>
        <w:rPr>
          <w:rFonts w:ascii="Arial" w:cs="Arial" w:eastAsia="Arial" w:hAnsi="Arial"/>
          <w:sz w:val="16"/>
          <w:szCs w:val="16"/>
          <w:color w:val="auto"/>
        </w:rPr>
      </w:pPr>
    </w:p>
    <w:p>
      <w:pPr>
        <w:ind w:left="780" w:hanging="675"/>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Perfection and Priority of Liens</w:t>
      </w:r>
      <w:r>
        <w:rPr>
          <w:rFonts w:ascii="Arial" w:cs="Arial" w:eastAsia="Arial" w:hAnsi="Arial"/>
          <w:sz w:val="18"/>
          <w:szCs w:val="18"/>
          <w:color w:val="auto"/>
        </w:rPr>
        <w:t>. Receipt by the Administrative Agent of the following:</w:t>
      </w:r>
    </w:p>
    <w:p>
      <w:pPr>
        <w:spacing w:after="0" w:line="225" w:lineRule="exact"/>
        <w:rPr>
          <w:rFonts w:ascii="Arial" w:cs="Arial" w:eastAsia="Arial" w:hAnsi="Arial"/>
          <w:sz w:val="18"/>
          <w:szCs w:val="18"/>
          <w:color w:val="auto"/>
        </w:rPr>
      </w:pPr>
    </w:p>
    <w:p>
      <w:pPr>
        <w:jc w:val="both"/>
        <w:ind w:left="20" w:right="20" w:firstLine="652"/>
        <w:spacing w:after="0" w:line="264" w:lineRule="auto"/>
        <w:tabs>
          <w:tab w:leader="none" w:pos="1419" w:val="left"/>
        </w:tabs>
        <w:numPr>
          <w:ilvl w:val="1"/>
          <w:numId w:val="73"/>
        </w:numPr>
        <w:rPr>
          <w:rFonts w:ascii="Arial" w:cs="Arial" w:eastAsia="Arial" w:hAnsi="Arial"/>
          <w:sz w:val="18"/>
          <w:szCs w:val="18"/>
          <w:color w:val="auto"/>
        </w:rPr>
      </w:pPr>
      <w:r>
        <w:rPr>
          <w:rFonts w:ascii="Arial" w:cs="Arial" w:eastAsia="Arial" w:hAnsi="Arial"/>
          <w:sz w:val="18"/>
          <w:szCs w:val="18"/>
          <w:color w:val="auto"/>
        </w:rPr>
        <w:t>searches of Uniform Commercial Code filings in the jurisdiction of formation of each Loan Party or where a filing would need to be made in order to perfect the Administrative Agent’s security interest in the Collateral, copies of the financing statements on file in such jurisdictions and evidence that no Liens exist other than Permitted Liens;</w:t>
      </w:r>
    </w:p>
    <w:p>
      <w:pPr>
        <w:spacing w:after="0" w:line="181" w:lineRule="exact"/>
        <w:rPr>
          <w:rFonts w:ascii="Arial" w:cs="Arial" w:eastAsia="Arial" w:hAnsi="Arial"/>
          <w:sz w:val="18"/>
          <w:szCs w:val="18"/>
          <w:color w:val="auto"/>
        </w:rPr>
      </w:pPr>
    </w:p>
    <w:p>
      <w:pPr>
        <w:ind w:left="20" w:right="40" w:firstLine="652"/>
        <w:spacing w:after="0" w:line="277" w:lineRule="auto"/>
        <w:tabs>
          <w:tab w:leader="none" w:pos="14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UCC financing statements for each appropriate jurisdiction as is necessary, in the Administrative Agent’s sole discretion, to perfect the Administrative Agent’s security interest in the Collateral;</w:t>
      </w:r>
    </w:p>
    <w:p>
      <w:pPr>
        <w:spacing w:after="0" w:line="170" w:lineRule="exact"/>
        <w:rPr>
          <w:rFonts w:ascii="Arial" w:cs="Arial" w:eastAsia="Arial" w:hAnsi="Arial"/>
          <w:sz w:val="18"/>
          <w:szCs w:val="18"/>
          <w:color w:val="auto"/>
        </w:rPr>
      </w:pPr>
    </w:p>
    <w:p>
      <w:pPr>
        <w:ind w:left="20" w:right="220" w:firstLine="652"/>
        <w:spacing w:after="0" w:line="277" w:lineRule="auto"/>
        <w:tabs>
          <w:tab w:leader="none" w:pos="1438"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certificates evidencing any certificated Equity Interests pledged to the Administrative Agent pursuant to the Pledge Agreement, together with duly executed in blank and undated stock powers attached thereto;</w:t>
      </w:r>
    </w:p>
    <w:p>
      <w:pPr>
        <w:spacing w:after="0" w:line="170" w:lineRule="exact"/>
        <w:rPr>
          <w:rFonts w:ascii="Arial" w:cs="Arial" w:eastAsia="Arial" w:hAnsi="Arial"/>
          <w:sz w:val="18"/>
          <w:szCs w:val="18"/>
          <w:color w:val="auto"/>
        </w:rPr>
      </w:pPr>
    </w:p>
    <w:p>
      <w:pPr>
        <w:ind w:left="1420" w:hanging="748"/>
        <w:spacing w:after="0"/>
        <w:tabs>
          <w:tab w:leader="none" w:pos="1420" w:val="left"/>
        </w:tabs>
        <w:numPr>
          <w:ilvl w:val="1"/>
          <w:numId w:val="73"/>
        </w:numPr>
        <w:rPr>
          <w:rFonts w:ascii="Arial" w:cs="Arial" w:eastAsia="Arial" w:hAnsi="Arial"/>
          <w:sz w:val="17"/>
          <w:szCs w:val="17"/>
          <w:color w:val="auto"/>
        </w:rPr>
      </w:pPr>
      <w:r>
        <w:rPr>
          <w:rFonts w:ascii="Arial" w:cs="Arial" w:eastAsia="Arial" w:hAnsi="Arial"/>
          <w:sz w:val="17"/>
          <w:szCs w:val="17"/>
          <w:color w:val="auto"/>
        </w:rPr>
        <w:t>searches of ownership of, and Liens on, the IP Rights of each Loan Party in the appropriate governmental offices;</w:t>
      </w:r>
    </w:p>
    <w:p>
      <w:pPr>
        <w:spacing w:after="0" w:line="236" w:lineRule="exact"/>
        <w:rPr>
          <w:rFonts w:ascii="Arial" w:cs="Arial" w:eastAsia="Arial" w:hAnsi="Arial"/>
          <w:sz w:val="17"/>
          <w:szCs w:val="17"/>
          <w:color w:val="auto"/>
        </w:rPr>
      </w:pPr>
    </w:p>
    <w:p>
      <w:pPr>
        <w:ind w:left="20" w:right="60" w:firstLine="652"/>
        <w:spacing w:after="0" w:line="308" w:lineRule="auto"/>
        <w:tabs>
          <w:tab w:leader="none" w:pos="1405" w:val="left"/>
        </w:tabs>
        <w:numPr>
          <w:ilvl w:val="1"/>
          <w:numId w:val="73"/>
        </w:numPr>
        <w:rPr>
          <w:rFonts w:ascii="Arial" w:cs="Arial" w:eastAsia="Arial" w:hAnsi="Arial"/>
          <w:sz w:val="17"/>
          <w:szCs w:val="17"/>
          <w:color w:val="auto"/>
        </w:rPr>
      </w:pPr>
      <w:r>
        <w:rPr>
          <w:rFonts w:ascii="Arial" w:cs="Arial" w:eastAsia="Arial" w:hAnsi="Arial"/>
          <w:sz w:val="17"/>
          <w:szCs w:val="17"/>
          <w:color w:val="auto"/>
        </w:rPr>
        <w:t>duly executed notices of grant of security interest in the form required by the Security Agreement as are necessary, in the Administrative Agent’s sole discretion, to perfect the Administrative Agent’s security interest in the IP Rights of the Loan Parties;</w:t>
      </w:r>
    </w:p>
    <w:p>
      <w:pPr>
        <w:spacing w:after="0" w:line="146" w:lineRule="exact"/>
        <w:rPr>
          <w:rFonts w:ascii="Arial" w:cs="Arial" w:eastAsia="Arial" w:hAnsi="Arial"/>
          <w:sz w:val="17"/>
          <w:szCs w:val="17"/>
          <w:color w:val="auto"/>
        </w:rPr>
      </w:pPr>
    </w:p>
    <w:p>
      <w:pPr>
        <w:ind w:left="1420" w:hanging="748"/>
        <w:spacing w:after="0"/>
        <w:tabs>
          <w:tab w:leader="none" w:pos="14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such Qualifying Account Control Agreements as shall be necessary to cause the Loan Parties to be in compliance with</w:t>
      </w:r>
    </w:p>
    <w:p>
      <w:pPr>
        <w:spacing w:after="0" w:line="46"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140" w:firstLine="652"/>
        <w:spacing w:after="0" w:line="264" w:lineRule="auto"/>
        <w:tabs>
          <w:tab w:leader="none" w:pos="142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the extent required to be delivered pursuant to the terms of the Collateral Documents, all instruments, documents and chattel paper in the possession of any of the Loan Parties, together with allonges or assignments as may be necessary or appropriate to perfect the Administrative Agent’s security interest in the Collateral; and</w:t>
      </w:r>
    </w:p>
    <w:p>
      <w:pPr>
        <w:spacing w:after="0" w:line="181" w:lineRule="exact"/>
        <w:rPr>
          <w:rFonts w:ascii="Arial" w:cs="Arial" w:eastAsia="Arial" w:hAnsi="Arial"/>
          <w:sz w:val="18"/>
          <w:szCs w:val="18"/>
          <w:color w:val="auto"/>
        </w:rPr>
      </w:pPr>
    </w:p>
    <w:p>
      <w:pPr>
        <w:ind w:left="20" w:right="460" w:firstLine="652"/>
        <w:spacing w:after="0" w:line="277" w:lineRule="auto"/>
        <w:tabs>
          <w:tab w:leader="none" w:pos="1433"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case of any personal property Collateral located at a premises leased by a Loan Party, such Collateral Access Agreements as may be required by the Administrative Agent.</w:t>
      </w:r>
    </w:p>
    <w:p>
      <w:pPr>
        <w:spacing w:after="0" w:line="170" w:lineRule="exact"/>
        <w:rPr>
          <w:rFonts w:ascii="Arial" w:cs="Arial" w:eastAsia="Arial" w:hAnsi="Arial"/>
          <w:sz w:val="18"/>
          <w:szCs w:val="18"/>
          <w:color w:val="auto"/>
        </w:rPr>
      </w:pPr>
    </w:p>
    <w:p>
      <w:pPr>
        <w:ind w:left="-540" w:right="160" w:firstLine="645"/>
        <w:spacing w:after="0" w:line="264" w:lineRule="auto"/>
        <w:tabs>
          <w:tab w:leader="none" w:pos="76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xml:space="preserve">. Receipt by the Administrative Agent of Mortgages and other Real Property Security Documents with respect to the fee interest and/or leasehold interest of any Loan Party in each real property identified on </w:t>
      </w:r>
      <w:r>
        <w:rPr>
          <w:rFonts w:ascii="Arial" w:cs="Arial" w:eastAsia="Arial" w:hAnsi="Arial"/>
          <w:sz w:val="18"/>
          <w:szCs w:val="18"/>
          <w:u w:val="single" w:color="auto"/>
          <w:color w:val="auto"/>
        </w:rPr>
        <w:t>Schedule 6.20(a)</w:t>
      </w:r>
      <w:r>
        <w:rPr>
          <w:rFonts w:ascii="Arial" w:cs="Arial" w:eastAsia="Arial" w:hAnsi="Arial"/>
          <w:sz w:val="18"/>
          <w:szCs w:val="18"/>
          <w:color w:val="auto"/>
        </w:rPr>
        <w:t xml:space="preserve"> (other than any Excluded Property).</w:t>
      </w:r>
    </w:p>
    <w:p>
      <w:pPr>
        <w:spacing w:after="0" w:line="181" w:lineRule="exact"/>
        <w:rPr>
          <w:rFonts w:ascii="Arial" w:cs="Arial" w:eastAsia="Arial" w:hAnsi="Arial"/>
          <w:sz w:val="18"/>
          <w:szCs w:val="18"/>
          <w:color w:val="auto"/>
        </w:rPr>
      </w:pPr>
    </w:p>
    <w:p>
      <w:pPr>
        <w:jc w:val="both"/>
        <w:ind w:left="-540" w:right="40" w:firstLine="645"/>
        <w:spacing w:after="0" w:line="259" w:lineRule="auto"/>
        <w:tabs>
          <w:tab w:leader="none" w:pos="77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Receipt by the Administrative Agent of copies of insurance policies or certificates of insurance of the Loan Parties evidencing liability and casualty insurance meeting the requirements set forth in the Loan Documents, including, but not limited to, naming the Administrative Agent as additional insured (in the case of liability insurance) or Lender’s loss payee (in the case of hazard insurance) on behalf of the Secured Parties.</w:t>
      </w:r>
    </w:p>
    <w:p>
      <w:pPr>
        <w:spacing w:after="0" w:line="186" w:lineRule="exact"/>
        <w:rPr>
          <w:rFonts w:ascii="Arial" w:cs="Arial" w:eastAsia="Arial" w:hAnsi="Arial"/>
          <w:sz w:val="18"/>
          <w:szCs w:val="18"/>
          <w:color w:val="auto"/>
        </w:rPr>
      </w:pPr>
    </w:p>
    <w:p>
      <w:pPr>
        <w:ind w:left="-540" w:right="100" w:firstLine="645"/>
        <w:spacing w:after="0" w:line="302" w:lineRule="auto"/>
        <w:tabs>
          <w:tab w:leader="none" w:pos="76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Funding Certificate</w:t>
      </w:r>
      <w:r>
        <w:rPr>
          <w:rFonts w:ascii="Arial" w:cs="Arial" w:eastAsia="Arial" w:hAnsi="Arial"/>
          <w:sz w:val="16"/>
          <w:szCs w:val="16"/>
          <w:color w:val="auto"/>
        </w:rPr>
        <w:t xml:space="preserve">. Receipt by the Administrative Agent of a certificate signed by a Responsible Officer of the Borrower certifying (i) that the conditions specified in </w:t>
      </w:r>
      <w:r>
        <w:rPr>
          <w:rFonts w:ascii="Arial" w:cs="Arial" w:eastAsia="Arial" w:hAnsi="Arial"/>
          <w:sz w:val="16"/>
          <w:szCs w:val="16"/>
          <w:u w:val="single" w:color="auto"/>
          <w:color w:val="auto"/>
        </w:rPr>
        <w:t>Sections 5.02(d)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5.03(a)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have been satisfied, (ii) that the Borrower and its Subsidiaries (after giving effect to the transactions contemplated hereby and the incurrence of Indebtedness related thereto) are Solvent on a consolidated basis and (iii) that neither the Borrower nor any Subsidiary as of the Funding Date has outstanding any Disqualified Capital Stock.</w:t>
      </w:r>
    </w:p>
    <w:p>
      <w:pPr>
        <w:spacing w:after="0" w:line="154" w:lineRule="exact"/>
        <w:rPr>
          <w:rFonts w:ascii="Arial" w:cs="Arial" w:eastAsia="Arial" w:hAnsi="Arial"/>
          <w:sz w:val="16"/>
          <w:szCs w:val="16"/>
          <w:color w:val="auto"/>
        </w:rPr>
      </w:pPr>
    </w:p>
    <w:p>
      <w:pPr>
        <w:jc w:val="both"/>
        <w:ind w:left="-540" w:right="60" w:firstLine="645"/>
        <w:spacing w:after="0" w:line="259" w:lineRule="auto"/>
        <w:tabs>
          <w:tab w:leader="none" w:pos="76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All of the existing Indebtedness for borrowed money of the Loan Parties and their respective Subsidiaries (including all Indebtedness under the Existing Credit Agreement but, for the avoidance of doubt, excluding Indebtedness permitted to exist pursuant to </w:t>
      </w:r>
      <w:r>
        <w:rPr>
          <w:rFonts w:ascii="Arial" w:cs="Arial" w:eastAsia="Arial" w:hAnsi="Arial"/>
          <w:sz w:val="18"/>
          <w:szCs w:val="18"/>
          <w:u w:val="single" w:color="auto"/>
          <w:color w:val="auto"/>
        </w:rPr>
        <w:t>Section 8.03</w:t>
      </w:r>
      <w:r>
        <w:rPr>
          <w:rFonts w:ascii="Arial" w:cs="Arial" w:eastAsia="Arial" w:hAnsi="Arial"/>
          <w:sz w:val="18"/>
          <w:szCs w:val="18"/>
          <w:color w:val="auto"/>
        </w:rPr>
        <w:t>), shall be repaid in full and all security interests related thereto shall be terminated on the Funding Date contemporaneously with the Term A Borrowing.</w:t>
      </w:r>
    </w:p>
    <w:p>
      <w:pPr>
        <w:spacing w:after="0" w:line="186" w:lineRule="exact"/>
        <w:rPr>
          <w:rFonts w:ascii="Arial" w:cs="Arial" w:eastAsia="Arial" w:hAnsi="Arial"/>
          <w:sz w:val="18"/>
          <w:szCs w:val="18"/>
          <w:color w:val="auto"/>
        </w:rPr>
      </w:pPr>
    </w:p>
    <w:p>
      <w:pPr>
        <w:ind w:left="-540" w:firstLine="645"/>
        <w:spacing w:after="0" w:line="255" w:lineRule="auto"/>
        <w:tabs>
          <w:tab w:leader="none" w:pos="77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Governmental and Third Party Approvals</w:t>
      </w:r>
      <w:r>
        <w:rPr>
          <w:rFonts w:ascii="Arial" w:cs="Arial" w:eastAsia="Arial" w:hAnsi="Arial"/>
          <w:sz w:val="18"/>
          <w:szCs w:val="18"/>
          <w:color w:val="auto"/>
        </w:rPr>
        <w:t>. The Borrower and its Subsidiaries shall have received all governmental, stockholder and third party consents and approvals necessary in connection with the transactions contemplated by this Agreement and the other Loan Documents and the other transactions contemplated hereby and all applicable waiting periods shall have expired without any action being taken by any Person that could reasonably be expected to restrain, prevent or impose any material adverse conditions on the Borrower or any of its Subsidiaries or such other transactions or that could seek to threaten any of the foregoing, and no law or regulation shall be applicable which could reasonably be expected to have such effect.</w:t>
      </w:r>
    </w:p>
    <w:p>
      <w:pPr>
        <w:spacing w:after="0" w:line="193" w:lineRule="exact"/>
        <w:rPr>
          <w:rFonts w:ascii="Arial" w:cs="Arial" w:eastAsia="Arial" w:hAnsi="Arial"/>
          <w:sz w:val="18"/>
          <w:szCs w:val="18"/>
          <w:color w:val="auto"/>
        </w:rPr>
      </w:pPr>
    </w:p>
    <w:p>
      <w:pPr>
        <w:jc w:val="both"/>
        <w:ind w:left="-540" w:right="140" w:firstLine="645"/>
        <w:spacing w:after="0" w:line="264"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Corporate Structure and Capitalization</w:t>
      </w:r>
      <w:r>
        <w:rPr>
          <w:rFonts w:ascii="Arial" w:cs="Arial" w:eastAsia="Arial" w:hAnsi="Arial"/>
          <w:sz w:val="18"/>
          <w:szCs w:val="18"/>
          <w:color w:val="auto"/>
        </w:rPr>
        <w:t xml:space="preserve">. The capital and ownership structure and the equity holder arrangements of the Borrower and its Subsidiaries on the Funding Date,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the transactions contemplated by the Loan Documents shall be reasonably satisfactory to the Lenders.</w:t>
      </w:r>
    </w:p>
    <w:p>
      <w:pPr>
        <w:spacing w:after="0" w:line="181" w:lineRule="exact"/>
        <w:rPr>
          <w:rFonts w:ascii="Arial" w:cs="Arial" w:eastAsia="Arial" w:hAnsi="Arial"/>
          <w:sz w:val="18"/>
          <w:szCs w:val="18"/>
          <w:color w:val="auto"/>
        </w:rPr>
      </w:pPr>
    </w:p>
    <w:p>
      <w:pPr>
        <w:ind w:left="-540" w:right="280" w:firstLine="645"/>
        <w:spacing w:after="0" w:line="277" w:lineRule="auto"/>
        <w:tabs>
          <w:tab w:leader="none" w:pos="76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Letter of Direction</w:t>
      </w:r>
      <w:r>
        <w:rPr>
          <w:rFonts w:ascii="Arial" w:cs="Arial" w:eastAsia="Arial" w:hAnsi="Arial"/>
          <w:sz w:val="18"/>
          <w:szCs w:val="18"/>
          <w:color w:val="auto"/>
        </w:rPr>
        <w:t>. Receipt by the Administrative Agent of a satisfactory letter of direction containing funds flow information with respect to the proceeds of the Loans to be made on the Funding Date.</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hanging="655"/>
        <w:spacing w:after="0"/>
        <w:tabs>
          <w:tab w:leader="none" w:pos="76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Receipt by the Administrative Agent and the Lenders of any fees required to be paid on or before the Funding Date.</w:t>
      </w:r>
    </w:p>
    <w:p>
      <w:pPr>
        <w:sectPr>
          <w:pgSz w:w="11900" w:h="16838" w:orient="portrait"/>
          <w:cols w:equalWidth="0" w:num="1">
            <w:col w:w="10180"/>
          </w:cols>
          <w:pgMar w:left="1440" w:top="125" w:right="279" w:bottom="0" w:gutter="0" w:footer="0" w:header="0"/>
        </w:sectPr>
      </w:pPr>
    </w:p>
    <w:bookmarkStart w:id="65" w:name="page66"/>
    <w:bookmarkEnd w:id="65"/>
    <w:p>
      <w:pPr>
        <w:spacing w:after="0" w:line="69" w:lineRule="exact"/>
        <w:rPr>
          <w:sz w:val="20"/>
          <w:szCs w:val="20"/>
          <w:color w:val="auto"/>
        </w:rPr>
      </w:pPr>
    </w:p>
    <w:p>
      <w:pPr>
        <w:ind w:left="660" w:right="120" w:firstLine="645"/>
        <w:spacing w:after="0" w:line="276" w:lineRule="auto"/>
        <w:tabs>
          <w:tab w:leader="none" w:pos="1964"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Attorney Costs; Due Diligence Expenses</w:t>
      </w:r>
      <w:r>
        <w:rPr>
          <w:rFonts w:ascii="Arial" w:cs="Arial" w:eastAsia="Arial" w:hAnsi="Arial"/>
          <w:sz w:val="17"/>
          <w:szCs w:val="17"/>
          <w:color w:val="auto"/>
        </w:rPr>
        <w:t xml:space="preserve">. The Borrower shall have paid all fees, charges and disbursements of counsel to the Administrative Agent incurred to the Funding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such estimate shall not thereafter preclude a final settling of accounts between the Borrower and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Borrower shall not be required to pay the first $150,000 of such fees and expenses of counsel to the Administrative Agent.</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Condition to Effectiveness</w:t>
      </w:r>
      <w:r>
        <w:rPr>
          <w:rFonts w:ascii="Arial" w:cs="Arial" w:eastAsia="Arial" w:hAnsi="Arial"/>
          <w:sz w:val="18"/>
          <w:szCs w:val="18"/>
          <w:color w:val="auto"/>
        </w:rPr>
        <w:t xml:space="preserve">. The condition to effectiveness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have been satisfied.</w:t>
      </w:r>
    </w:p>
    <w:p>
      <w:pPr>
        <w:spacing w:after="0" w:line="225" w:lineRule="exact"/>
        <w:rPr>
          <w:rFonts w:ascii="Arial" w:cs="Arial" w:eastAsia="Arial" w:hAnsi="Arial"/>
          <w:sz w:val="18"/>
          <w:szCs w:val="18"/>
          <w:color w:val="auto"/>
        </w:rPr>
      </w:pPr>
    </w:p>
    <w:p>
      <w:pPr>
        <w:ind w:left="660" w:firstLine="645"/>
        <w:spacing w:after="0" w:line="297" w:lineRule="auto"/>
        <w:tabs>
          <w:tab w:leader="none" w:pos="1974"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Receipt by the Administrative Agent and the Lenders of such other documents, instruments, agreements and information as requested by the Administrative Agent or any Lender, including, but not limited to, information regarding litigation, tax, accounting, labor, insurance, pension liabilities (actual or contingent), real estate leases, material contracts, debt agreements, property ownership, environmental matters, contingent liabilities and management of the Borrower and its Subsidiaries; such information may include, if requested by the Administrative Agent, asset appraisal reports and written audits of accounts receivable, inventory, payables, controls and systems.</w:t>
      </w:r>
    </w:p>
    <w:p>
      <w:pPr>
        <w:spacing w:after="0" w:line="158"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5.02</w:t>
      </w:r>
      <w:r>
        <w:rPr>
          <w:rFonts w:ascii="Arial" w:cs="Arial" w:eastAsia="Arial" w:hAnsi="Arial"/>
          <w:sz w:val="16"/>
          <w:szCs w:val="16"/>
          <w:color w:val="auto"/>
        </w:rPr>
        <w:t>, each Lender that has funded its Term A Loan on the Funding Date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Funding Date specifying its objection thereto.</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u w:val="single" w:color="auto"/>
          <w:color w:val="auto"/>
        </w:rPr>
        <w:t>5.03</w:t>
      </w:r>
      <w:r>
        <w:rPr>
          <w:sz w:val="20"/>
          <w:szCs w:val="20"/>
          <w:color w:val="auto"/>
        </w:rPr>
        <w:tab/>
      </w:r>
      <w:r>
        <w:rPr>
          <w:rFonts w:ascii="Arial" w:cs="Arial" w:eastAsia="Arial" w:hAnsi="Arial"/>
          <w:sz w:val="16"/>
          <w:szCs w:val="16"/>
          <w:u w:val="single" w:color="auto"/>
          <w:color w:val="auto"/>
        </w:rPr>
        <w:t>Conditions to all 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 of each Lender to honor any Loan Notice is subject to the following conditions precedent:</w:t>
      </w:r>
    </w:p>
    <w:p>
      <w:pPr>
        <w:spacing w:after="0" w:line="225" w:lineRule="exact"/>
        <w:rPr>
          <w:sz w:val="20"/>
          <w:szCs w:val="20"/>
          <w:color w:val="auto"/>
        </w:rPr>
      </w:pPr>
    </w:p>
    <w:p>
      <w:pPr>
        <w:ind w:left="660" w:firstLine="645"/>
        <w:spacing w:after="0" w:line="255" w:lineRule="auto"/>
        <w:tabs>
          <w:tab w:leader="none" w:pos="195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and each other Loan Party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any other Loan Document, or which are contained in any document furnished at any time under or in connection herewith or therewith, shall be true and correct on and as of the date of such Borrowing,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Default or Event of Default shall exist, or would result from such proposed Borrowing or from the application of the proceeds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660" w:right="600" w:firstLine="645"/>
        <w:spacing w:after="0" w:line="277" w:lineRule="auto"/>
        <w:tabs>
          <w:tab w:leader="none" w:pos="19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respect to any Loan Notice requesting a Borrowing of Term B Loans, the requested Borrowing shall occur during the Availability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Administrative Agent shall have received a Loan Notice in accordance with the requirements 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requested Borrowing shall not occur during any Standstill Period.</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Each Loan Notice submitted by the Borrower shall be deemed to be a representation and warranty that the conditions specified in </w:t>
      </w:r>
      <w:r>
        <w:rPr>
          <w:rFonts w:ascii="Arial" w:cs="Arial" w:eastAsia="Arial" w:hAnsi="Arial"/>
          <w:sz w:val="18"/>
          <w:szCs w:val="18"/>
          <w:u w:val="single" w:color="auto"/>
          <w:color w:val="auto"/>
        </w:rPr>
        <w:t>Sections 5.03(a)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have been satisfied on and as of the date of the applicable Borrowing.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the Funding Date, and on each date thereafter on which the representations and warranties set forth herein are required to be made under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Loan Document (or deemed to be made under any Loan Document), the Loan Parties represent and warrant to the Administrative Agent and the Lenders that:</w:t>
      </w:r>
    </w:p>
    <w:p>
      <w:pPr>
        <w:spacing w:after="0" w:line="2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Existence, Qualification and Power.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Each Loan Party (a) is duly organized or formed, validly existing and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could not reasonably be expected to have a Material Adverse Effect.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Authorization; No Contravention.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in any material respect, any Law (including, without limitation, Regulation U or Regulation X issued by the FRB).</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Governmental Authorization; Other Consents.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w:t>
      </w:r>
    </w:p>
    <w:p>
      <w:pPr>
        <w:sectPr>
          <w:pgSz w:w="11900" w:h="16908" w:orient="portrait"/>
          <w:cols w:equalWidth="0" w:num="1">
            <w:col w:w="11400"/>
          </w:cols>
          <w:pgMar w:left="240" w:top="125" w:right="259" w:bottom="0" w:gutter="0" w:footer="0" w:header="0"/>
        </w:sectPr>
      </w:pPr>
    </w:p>
    <w:bookmarkStart w:id="66" w:name="page67"/>
    <w:bookmarkEnd w:id="66"/>
    <w:p>
      <w:pPr>
        <w:spacing w:after="0" w:line="13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Loan Document other than (a) those that have already been obtained and are in full force and effect and (b) filings to perfect the Liens created by the Collateral Documents.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7"/>
          <w:szCs w:val="17"/>
          <w:u w:val="single" w:color="auto"/>
          <w:color w:val="auto"/>
        </w:rPr>
        <w:t>Binding Effect.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Loan Document has been duly executed and delivered by each Loan Party that is party thereto. Each Loan Document constitutes a legal, valid and binding obligation of each Loan Party that is party thereto, enforceable against each such Loan Party in accordance with its terms, subject to bankruptcy, insolvency and similar laws affecting the enforceability of creditors’ rights generally and to general principles of equity.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6"/>
          <w:szCs w:val="16"/>
          <w:u w:val="single" w:color="auto"/>
          <w:color w:val="auto"/>
        </w:rPr>
        <w:t>Financial Statements; No Material Adverse Effect.</w:t>
      </w:r>
    </w:p>
    <w:p>
      <w:pPr>
        <w:spacing w:after="0" w:line="225" w:lineRule="exact"/>
        <w:rPr>
          <w:sz w:val="20"/>
          <w:szCs w:val="20"/>
          <w:color w:val="auto"/>
        </w:rPr>
      </w:pPr>
    </w:p>
    <w:p>
      <w:pPr>
        <w:ind w:left="660" w:right="20" w:firstLine="645"/>
        <w:spacing w:after="0" w:line="259" w:lineRule="auto"/>
        <w:tabs>
          <w:tab w:leader="none" w:pos="195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for the period covered thereby in accordance with GAAP consistently applied throughout the period covered thereby, except as otherwise expressly noted therein.</w:t>
      </w:r>
    </w:p>
    <w:p>
      <w:pPr>
        <w:spacing w:after="0" w:line="186" w:lineRule="exact"/>
        <w:rPr>
          <w:rFonts w:ascii="Arial" w:cs="Arial" w:eastAsia="Arial" w:hAnsi="Arial"/>
          <w:sz w:val="18"/>
          <w:szCs w:val="18"/>
          <w:color w:val="auto"/>
        </w:rPr>
      </w:pPr>
    </w:p>
    <w:p>
      <w:pPr>
        <w:ind w:left="660" w:right="60" w:firstLine="645"/>
        <w:spacing w:after="0" w:line="259"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Interim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for the period covered thereby, subject,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to the absence of footnotes and to normal year-end audit adjustments.</w:t>
      </w:r>
    </w:p>
    <w:p>
      <w:pPr>
        <w:spacing w:after="0" w:line="186" w:lineRule="exact"/>
        <w:rPr>
          <w:rFonts w:ascii="Arial" w:cs="Arial" w:eastAsia="Arial" w:hAnsi="Arial"/>
          <w:sz w:val="18"/>
          <w:szCs w:val="18"/>
          <w:color w:val="auto"/>
        </w:rPr>
      </w:pPr>
    </w:p>
    <w:p>
      <w:pPr>
        <w:jc w:val="both"/>
        <w:ind w:left="660" w:firstLine="645"/>
        <w:spacing w:after="0" w:line="257" w:lineRule="auto"/>
        <w:tabs>
          <w:tab w:leader="none" w:pos="19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From the date of the Audited Financial Statements to and including the Funding Date, there has been no Disposition by any Loan Party or any Subsidiary, or any Involuntary Disposition, of any material part of the business or property of any Loan Party or any Subsidiary, and no purchase or other acquisition by any of them of any business or property (including any Equity Interests of any other Person) material to any Loan Party or any Subsidiary, in each case, which is not reflected in the foregoing financial statements or in the notes thereto and has not otherwise been disclosed in writing to the Lenders on or prior to the Funding Date.</w:t>
      </w:r>
    </w:p>
    <w:p>
      <w:pPr>
        <w:spacing w:after="0" w:line="188" w:lineRule="exact"/>
        <w:rPr>
          <w:rFonts w:ascii="Arial" w:cs="Arial" w:eastAsia="Arial" w:hAnsi="Arial"/>
          <w:sz w:val="18"/>
          <w:szCs w:val="18"/>
          <w:color w:val="auto"/>
        </w:rPr>
      </w:pPr>
    </w:p>
    <w:p>
      <w:pPr>
        <w:ind w:left="660" w:right="100" w:firstLine="645"/>
        <w:spacing w:after="0" w:line="259" w:lineRule="auto"/>
        <w:tabs>
          <w:tab w:leader="none" w:pos="196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prepared in accordance with GAAP (except as may otherwise be permitted under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and present fairly in all material respects (on the basis disclosed in the footnotes to such financial statements) the consolidated financial condition, results of operations and cash flows of the Borrower and its Subsidiaries as of the dates thereof and for the periods covered thereby.</w:t>
      </w:r>
    </w:p>
    <w:p>
      <w:pPr>
        <w:spacing w:after="0" w:line="186" w:lineRule="exact"/>
        <w:rPr>
          <w:rFonts w:ascii="Arial" w:cs="Arial" w:eastAsia="Arial" w:hAnsi="Arial"/>
          <w:sz w:val="18"/>
          <w:szCs w:val="18"/>
          <w:color w:val="auto"/>
        </w:rPr>
      </w:pPr>
    </w:p>
    <w:p>
      <w:pPr>
        <w:ind w:left="660" w:right="700" w:firstLine="645"/>
        <w:spacing w:after="0" w:line="277" w:lineRule="auto"/>
        <w:tabs>
          <w:tab w:leader="none" w:pos="19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7"/>
          <w:szCs w:val="17"/>
          <w:u w:val="single" w:color="auto"/>
          <w:color w:val="auto"/>
        </w:rPr>
        <w:t>Litigation.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There are no actions, suits, proceedings, claims or disputes pending or, to the knowledge of the Loan Parties, threatened or contemplated, at law, in equity, in arbitration or before any Governmental Authority, by or against any Loan Party or any of its Subsidiaries or against any of their properties or revenues that (a) purport to affect or pertain to this Agreement or any other Loan Document, or any of the transactions contemplated hereby or (b) could reasonably be expected, either individually or in the aggregate, to have a Material Adverse Effect.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6"/>
          <w:szCs w:val="16"/>
          <w:u w:val="single" w:color="auto"/>
          <w:color w:val="auto"/>
        </w:rPr>
        <w:t>No Default.</w:t>
      </w:r>
    </w:p>
    <w:p>
      <w:pPr>
        <w:spacing w:after="0" w:line="225" w:lineRule="exact"/>
        <w:rPr>
          <w:sz w:val="20"/>
          <w:szCs w:val="20"/>
          <w:color w:val="auto"/>
        </w:rPr>
      </w:pPr>
    </w:p>
    <w:p>
      <w:pPr>
        <w:ind w:left="660" w:right="60" w:firstLine="645"/>
        <w:spacing w:after="0" w:line="277" w:lineRule="auto"/>
        <w:tabs>
          <w:tab w:leader="none" w:pos="1954" w:val="left"/>
        </w:tabs>
        <w:numPr>
          <w:ilvl w:val="0"/>
          <w:numId w:val="81"/>
        </w:numPr>
        <w:rPr>
          <w:rFonts w:ascii="Arial" w:cs="Arial" w:eastAsia="Arial" w:hAnsi="Arial"/>
          <w:sz w:val="18"/>
          <w:szCs w:val="18"/>
          <w:color w:val="auto"/>
        </w:rPr>
      </w:pPr>
      <w:r>
        <w:rPr>
          <w:rFonts w:ascii="Arial" w:cs="Arial" w:eastAsia="Arial" w:hAnsi="Arial"/>
          <w:sz w:val="18"/>
          <w:szCs w:val="18"/>
          <w:color w:val="auto"/>
        </w:rPr>
        <w:t>Neither any Loan Party nor any Subsidiary is in default under or with respect to any Contractual Obligation that could reasonably be expected to have a Material Adverse Effect.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u w:val="single" w:color="auto"/>
          <w:color w:val="auto"/>
        </w:rPr>
        <w:t>Ownership of Property; Liens.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Each Loan Party and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Subsidiaries is subject to no Liens, other than Permitted Liens.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6"/>
          <w:szCs w:val="16"/>
          <w:u w:val="single" w:color="auto"/>
          <w:color w:val="auto"/>
        </w:rPr>
        <w:t>Environmental Compliance.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could not reasonably be expected to have a Material Adverse Effect:</w:t>
      </w:r>
    </w:p>
    <w:p>
      <w:pPr>
        <w:spacing w:after="0" w:line="225" w:lineRule="exact"/>
        <w:rPr>
          <w:sz w:val="20"/>
          <w:szCs w:val="20"/>
          <w:color w:val="auto"/>
        </w:rPr>
      </w:pPr>
    </w:p>
    <w:p>
      <w:pPr>
        <w:ind w:left="660" w:right="220" w:firstLine="645"/>
        <w:spacing w:after="0" w:line="312" w:lineRule="auto"/>
        <w:tabs>
          <w:tab w:leader="none" w:pos="1954"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the Business Facilities and all operations at the Business Facilities are in compliance with all applicable Environmental Laws, and there is no violation of any Environmental Law with respect to the Business Facilities or the Businesses, and there are no conditions relating to the Business Facilities or the Businesses that could give rise to liability under any applicable Environmental Laws.</w:t>
      </w:r>
    </w:p>
    <w:p>
      <w:pPr>
        <w:spacing w:after="0" w:line="146" w:lineRule="exact"/>
        <w:rPr>
          <w:rFonts w:ascii="Arial" w:cs="Arial" w:eastAsia="Arial" w:hAnsi="Arial"/>
          <w:sz w:val="16"/>
          <w:szCs w:val="16"/>
          <w:color w:val="auto"/>
        </w:rPr>
      </w:pPr>
    </w:p>
    <w:p>
      <w:pPr>
        <w:ind w:left="660" w:right="480" w:firstLine="645"/>
        <w:spacing w:after="0" w:line="342" w:lineRule="auto"/>
        <w:tabs>
          <w:tab w:leader="none" w:pos="1964"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None of the Business Facilities contains, or has previously contained, any Hazardous Materials at, on or under the Business Facilities in amounts or concentrations that constitute or constituted a violation of, or could give rise to liability under, Environmental Laws.</w:t>
      </w:r>
    </w:p>
    <w:p>
      <w:pPr>
        <w:spacing w:after="0" w:line="123" w:lineRule="exact"/>
        <w:rPr>
          <w:rFonts w:ascii="Arial" w:cs="Arial" w:eastAsia="Arial" w:hAnsi="Arial"/>
          <w:sz w:val="16"/>
          <w:szCs w:val="16"/>
          <w:color w:val="auto"/>
        </w:rPr>
      </w:pPr>
    </w:p>
    <w:p>
      <w:pPr>
        <w:ind w:left="660" w:right="80" w:firstLine="645"/>
        <w:spacing w:after="0" w:line="342" w:lineRule="auto"/>
        <w:tabs>
          <w:tab w:leader="none" w:pos="1967" w:val="left"/>
        </w:tabs>
        <w:numPr>
          <w:ilvl w:val="0"/>
          <w:numId w:val="82"/>
        </w:numPr>
        <w:rPr>
          <w:rFonts w:ascii="Arial" w:cs="Arial" w:eastAsia="Arial" w:hAnsi="Arial"/>
          <w:sz w:val="16"/>
          <w:szCs w:val="16"/>
          <w:color w:val="auto"/>
        </w:rPr>
      </w:pPr>
      <w:r>
        <w:rPr>
          <w:rFonts w:ascii="Arial" w:cs="Arial" w:eastAsia="Arial" w:hAnsi="Arial"/>
          <w:sz w:val="16"/>
          <w:szCs w:val="16"/>
          <w:color w:val="auto"/>
        </w:rPr>
        <w:t>Neither any Loan Party nor any Subsidiary has received any written or verbal notice of, or inquiry from any Governmental Authority regarding, any violation, alleged violation, non-compliance, liability or potential liability regarding environmental matters or compliance</w:t>
      </w:r>
    </w:p>
    <w:p>
      <w:pPr>
        <w:sectPr>
          <w:pgSz w:w="11900" w:h="16975" w:orient="portrait"/>
          <w:cols w:equalWidth="0" w:num="1">
            <w:col w:w="11340"/>
          </w:cols>
          <w:pgMar w:left="240" w:top="125" w:right="319" w:bottom="0" w:gutter="0" w:footer="0" w:header="0"/>
        </w:sectPr>
      </w:pPr>
    </w:p>
    <w:bookmarkStart w:id="67" w:name="page68"/>
    <w:bookmarkEnd w:id="67"/>
    <w:p>
      <w:pPr>
        <w:ind w:left="660" w:right="140"/>
        <w:spacing w:after="0" w:line="277" w:lineRule="auto"/>
        <w:rPr>
          <w:sz w:val="20"/>
          <w:szCs w:val="20"/>
          <w:color w:val="auto"/>
        </w:rPr>
      </w:pPr>
      <w:r>
        <w:rPr>
          <w:rFonts w:ascii="Arial" w:cs="Arial" w:eastAsia="Arial" w:hAnsi="Arial"/>
          <w:sz w:val="18"/>
          <w:szCs w:val="18"/>
          <w:color w:val="auto"/>
        </w:rPr>
        <w:t>with Environmental Laws with regard to any of the Business Facilities or the Businesses, nor does any Responsible Officer of any Loan Party have knowledge or reason to believe that any such notice will be received or is being threatened.</w:t>
      </w:r>
    </w:p>
    <w:p>
      <w:pPr>
        <w:spacing w:after="0" w:line="170" w:lineRule="exact"/>
        <w:rPr>
          <w:sz w:val="20"/>
          <w:szCs w:val="20"/>
          <w:color w:val="auto"/>
        </w:rPr>
      </w:pPr>
    </w:p>
    <w:p>
      <w:pPr>
        <w:ind w:left="660" w:right="200" w:firstLine="645"/>
        <w:spacing w:after="0" w:line="286" w:lineRule="auto"/>
        <w:tabs>
          <w:tab w:leader="none" w:pos="1964" w:val="left"/>
        </w:tabs>
        <w:numPr>
          <w:ilvl w:val="0"/>
          <w:numId w:val="83"/>
        </w:numPr>
        <w:rPr>
          <w:rFonts w:ascii="Arial" w:cs="Arial" w:eastAsia="Arial" w:hAnsi="Arial"/>
          <w:sz w:val="17"/>
          <w:szCs w:val="17"/>
          <w:color w:val="auto"/>
        </w:rPr>
      </w:pPr>
      <w:r>
        <w:rPr>
          <w:rFonts w:ascii="Arial" w:cs="Arial" w:eastAsia="Arial" w:hAnsi="Arial"/>
          <w:sz w:val="17"/>
          <w:szCs w:val="17"/>
          <w:color w:val="auto"/>
        </w:rPr>
        <w:t>Hazardous Materials have not been transported or disposed of from the Business Facilities, or generated, treated, stored or disposed of at, on or under any of the Business Facilities or any other location, in each case by or on behalf of any Loan Party or any Subsidiary in violation of, or in a manner that would be reasonably likely to give rise to liability under, any applicable Environmental Law.</w:t>
      </w:r>
    </w:p>
    <w:p>
      <w:pPr>
        <w:spacing w:after="0" w:line="165" w:lineRule="exact"/>
        <w:rPr>
          <w:rFonts w:ascii="Arial" w:cs="Arial" w:eastAsia="Arial" w:hAnsi="Arial"/>
          <w:sz w:val="17"/>
          <w:szCs w:val="17"/>
          <w:color w:val="auto"/>
        </w:rPr>
      </w:pPr>
    </w:p>
    <w:p>
      <w:pPr>
        <w:jc w:val="both"/>
        <w:ind w:left="660" w:right="100" w:firstLine="645"/>
        <w:spacing w:after="0" w:line="279" w:lineRule="auto"/>
        <w:tabs>
          <w:tab w:leader="none" w:pos="1967"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 judicial proceeding or governmental or administrative action is pending or, to the knowledge of the Loan Parties, threatened, under any Environmental Law to which any Loan Party or any Subsidiary is or will be named as a party, nor are there any consent decrees or other decrees, consent orders, administrative orders or other orders, or other administrative or judicial requirements outstanding under any Environmental Law with respect to any Loan Party, any Subsidiary, the Business Facilities or the Businesses.</w:t>
      </w:r>
    </w:p>
    <w:p>
      <w:pPr>
        <w:spacing w:after="0" w:line="171" w:lineRule="exact"/>
        <w:rPr>
          <w:rFonts w:ascii="Arial" w:cs="Arial" w:eastAsia="Arial" w:hAnsi="Arial"/>
          <w:sz w:val="17"/>
          <w:szCs w:val="17"/>
          <w:color w:val="auto"/>
        </w:rPr>
      </w:pPr>
    </w:p>
    <w:p>
      <w:pPr>
        <w:ind w:left="660" w:right="140" w:firstLine="645"/>
        <w:spacing w:after="0" w:line="277" w:lineRule="auto"/>
        <w:tabs>
          <w:tab w:leader="none" w:pos="196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or from the Business Facilities, or arising from or related to the operations (including, without limitation,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disposal) of any Loan Party or any Subsidiary in connection with the Business Facilities or otherwise in connection with the Businesses, in violation of or in amounts or in a manner that could give rise to liability under Environmental Laws.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5"/>
          <w:szCs w:val="15"/>
          <w:u w:val="single" w:color="auto"/>
          <w:color w:val="auto"/>
        </w:rPr>
        <w:t>Insurance.</w:t>
      </w:r>
    </w:p>
    <w:p>
      <w:pPr>
        <w:spacing w:after="0" w:line="225" w:lineRule="exact"/>
        <w:rPr>
          <w:sz w:val="20"/>
          <w:szCs w:val="20"/>
          <w:color w:val="auto"/>
        </w:rPr>
      </w:pPr>
    </w:p>
    <w:p>
      <w:pPr>
        <w:ind w:left="660" w:right="20" w:firstLine="645"/>
        <w:spacing w:after="0" w:line="257" w:lineRule="auto"/>
        <w:tabs>
          <w:tab w:leader="none" w:pos="195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properties of the Loan Parties and their Subsidiaries are insured with financially sound and reputable insurance companies that are not Affiliates of the Borrower or any Subsidiary, in such amounts, with such deductibles and covering such risks as are customarily carried by companies engaged in similar businesses and owning similar properties in localities where the applicable Loan Party or the applicable Subsidiary operates. The insurance coverage of the Loan Parties and their Subsidiaries as in effect on the Effective Date is outlined as to carrier, policy number, expiration date, type, amount and deductibles on </w:t>
      </w:r>
      <w:r>
        <w:rPr>
          <w:rFonts w:ascii="Arial" w:cs="Arial" w:eastAsia="Arial" w:hAnsi="Arial"/>
          <w:sz w:val="18"/>
          <w:szCs w:val="18"/>
          <w:u w:val="single" w:color="auto"/>
          <w:color w:val="auto"/>
        </w:rPr>
        <w:t>Schedule 6.10</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Borrower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5"/>
          <w:szCs w:val="15"/>
          <w:u w:val="single" w:color="auto"/>
          <w:color w:val="auto"/>
        </w:rPr>
        <w:t>Taxes.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Loan Parties and their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Neither any Loan Party nor any Subsidiary thereof is party to any tax sharing agreement with any Person that is not a Loan Party.</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u w:val="single" w:color="auto"/>
          <w:color w:val="auto"/>
        </w:rPr>
        <w:t>ERISA Compliance.</w:t>
      </w:r>
    </w:p>
    <w:p>
      <w:pPr>
        <w:spacing w:after="0" w:line="225" w:lineRule="exact"/>
        <w:rPr>
          <w:sz w:val="20"/>
          <w:szCs w:val="20"/>
          <w:color w:val="auto"/>
        </w:rPr>
      </w:pPr>
    </w:p>
    <w:p>
      <w:pPr>
        <w:ind w:left="660" w:firstLine="645"/>
        <w:spacing w:after="0" w:line="254" w:lineRule="auto"/>
        <w:tabs>
          <w:tab w:leader="none" w:pos="1954"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Internal Revenue Code and other federal or state laws. Each Plan that is intended to be a qualified plan under Section 401(a) of the Internal Revenue Code has received a favorable determination letter from the Internal Revenue Service (or in the case of a pre-approved prototype or volume submitter plan, can rely on a favorable opinion or advisory letter issued by the Internal Revenue Service to the pre-approved plan sponsor) to the effect that the form of such Plan is qualified under Section 401(a) of the Internal Revenue Code and the trust related thereto has been determined by the Internal Revenue Service to be exempt from federal income tax under Section 501(a) of the Internal Revenue Code or an application for such a letter is currently being processed by the Internal Revenue Service. To the best knowledge of the Loan Parties, nothing has occurred that would prevent, or cause the loss of, such tax-qualified status.</w:t>
      </w:r>
    </w:p>
    <w:p>
      <w:pPr>
        <w:spacing w:after="0" w:line="192" w:lineRule="exact"/>
        <w:rPr>
          <w:rFonts w:ascii="Arial" w:cs="Arial" w:eastAsia="Arial" w:hAnsi="Arial"/>
          <w:sz w:val="18"/>
          <w:szCs w:val="18"/>
          <w:color w:val="auto"/>
        </w:rPr>
      </w:pPr>
    </w:p>
    <w:p>
      <w:pPr>
        <w:ind w:left="660" w:right="180" w:firstLine="645"/>
        <w:spacing w:after="0" w:line="259" w:lineRule="auto"/>
        <w:tabs>
          <w:tab w:leader="none" w:pos="196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69" w:lineRule="auto"/>
        <w:tabs>
          <w:tab w:leader="none" w:pos="1967" w:val="left"/>
        </w:tabs>
        <w:numPr>
          <w:ilvl w:val="0"/>
          <w:numId w:val="86"/>
        </w:numPr>
        <w:rPr>
          <w:rFonts w:ascii="Arial" w:cs="Arial" w:eastAsia="Arial" w:hAnsi="Arial"/>
          <w:sz w:val="17"/>
          <w:szCs w:val="17"/>
          <w:color w:val="auto"/>
        </w:rPr>
      </w:pPr>
      <w:r>
        <w:rPr>
          <w:rFonts w:ascii="Arial" w:cs="Arial" w:eastAsia="Arial" w:hAnsi="Arial"/>
          <w:sz w:val="17"/>
          <w:szCs w:val="17"/>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neither the Borrower nor any ERISA Affiliate has applied for or obtained a waiver of the minimum funding standards under the Pension Funding Rules, (iii) as of the most recent valuation date for any Pension Plan, other than a Multiemployer Plan, the funding target attainment percentage (as defined in Section 430(d)(2) of the Internal Revenue Code) is sixty percent (60%) or higher and neither the Borrower nor any ERISA Affiliate knows of any facts or circumstances that could reasonably be expected to cause the funding target attainment percentage for any such plan to drop below sixty percent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ectPr>
          <w:pgSz w:w="11900" w:h="16838" w:orient="portrait"/>
          <w:cols w:equalWidth="0" w:num="1">
            <w:col w:w="11400"/>
          </w:cols>
          <w:pgMar w:left="240" w:top="125" w:right="259" w:bottom="0" w:gutter="0" w:footer="0" w:header="0"/>
        </w:sectPr>
      </w:pPr>
    </w:p>
    <w:bookmarkStart w:id="68" w:name="page69"/>
    <w:bookmarkEnd w:id="68"/>
    <w:p>
      <w:pPr>
        <w:ind w:left="660"/>
        <w:spacing w:after="0"/>
        <w:tabs>
          <w:tab w:leader="none" w:pos="12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Subsidiaries and Capitalization.</w:t>
      </w:r>
    </w:p>
    <w:p>
      <w:pPr>
        <w:spacing w:after="0" w:line="225" w:lineRule="exact"/>
        <w:rPr>
          <w:sz w:val="20"/>
          <w:szCs w:val="20"/>
          <w:color w:val="auto"/>
        </w:rPr>
      </w:pPr>
    </w:p>
    <w:p>
      <w:pPr>
        <w:ind w:left="1940" w:hanging="635"/>
        <w:spacing w:after="0"/>
        <w:tabs>
          <w:tab w:leader="none" w:pos="19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6.13(a)</w:t>
      </w:r>
      <w:r>
        <w:rPr>
          <w:rFonts w:ascii="Arial" w:cs="Arial" w:eastAsia="Arial" w:hAnsi="Arial"/>
          <w:sz w:val="18"/>
          <w:szCs w:val="18"/>
          <w:color w:val="auto"/>
        </w:rPr>
        <w:t xml:space="preserve"> is a complete and accurate list as of the Effective Date of each Subsidiary, together with</w:t>
      </w:r>
    </w:p>
    <w:p>
      <w:pPr>
        <w:spacing w:after="0" w:line="23" w:lineRule="exact"/>
        <w:rPr>
          <w:rFonts w:ascii="Arial" w:cs="Arial" w:eastAsia="Arial" w:hAnsi="Arial"/>
          <w:sz w:val="18"/>
          <w:szCs w:val="18"/>
          <w:color w:val="auto"/>
        </w:rPr>
      </w:pPr>
    </w:p>
    <w:p>
      <w:pPr>
        <w:jc w:val="both"/>
        <w:ind w:left="660" w:right="120" w:hanging="4"/>
        <w:spacing w:after="0" w:line="254" w:lineRule="auto"/>
        <w:tabs>
          <w:tab w:leader="none" w:pos="875" w:val="left"/>
        </w:tabs>
        <w:numPr>
          <w:ilvl w:val="0"/>
          <w:numId w:val="88"/>
        </w:numPr>
        <w:rPr>
          <w:rFonts w:ascii="Arial" w:cs="Arial" w:eastAsia="Arial" w:hAnsi="Arial"/>
          <w:sz w:val="18"/>
          <w:szCs w:val="18"/>
          <w:color w:val="auto"/>
        </w:rPr>
      </w:pPr>
      <w:r>
        <w:rPr>
          <w:rFonts w:ascii="Arial" w:cs="Arial" w:eastAsia="Arial" w:hAnsi="Arial"/>
          <w:sz w:val="18"/>
          <w:szCs w:val="18"/>
          <w:color w:val="auto"/>
        </w:rPr>
        <w:t>jurisdiction of organization, (ii) number of shares of each class of Equity Interests outstanding, (iii) number and percentage of outstanding shares of each class owned (directly or indirectly) by any Loan Party or any Subsidiary and (iv) number and effect, if exercised, of all outstanding options, warrants, rights of conversion or purchase and all other similar rights with respect thereto. The outstanding Equity Interests of each Subsidiary are validly issued, fully paid and non-assessable.</w:t>
      </w:r>
    </w:p>
    <w:p>
      <w:pPr>
        <w:spacing w:after="0" w:line="189" w:lineRule="exact"/>
        <w:rPr>
          <w:rFonts w:ascii="Arial" w:cs="Arial" w:eastAsia="Arial" w:hAnsi="Arial"/>
          <w:sz w:val="18"/>
          <w:szCs w:val="18"/>
          <w:color w:val="auto"/>
        </w:rPr>
      </w:pPr>
    </w:p>
    <w:p>
      <w:pPr>
        <w:ind w:left="660" w:right="200" w:firstLine="645"/>
        <w:spacing w:after="0" w:line="270" w:lineRule="auto"/>
        <w:tabs>
          <w:tab w:leader="none" w:pos="1964"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6.13(b)</w:t>
      </w:r>
      <w:r>
        <w:rPr>
          <w:rFonts w:ascii="Arial" w:cs="Arial" w:eastAsia="Arial" w:hAnsi="Arial"/>
          <w:sz w:val="17"/>
          <w:szCs w:val="17"/>
          <w:color w:val="auto"/>
        </w:rPr>
        <w:t xml:space="preserve"> is a true and complete table showing the authorized and issued capitalization of the Borrower as of the Effective Date on a fully diluted basis. All issued and outstanding Equity Interests of the Borrower and each of its Subsidiaries are duly authorized and validly issued, fully paid, non-assessable, free and clear of all Liens and such Equity Interests were issued in compliance with all applicable Laws. As of the Effective Date, except as described on </w:t>
      </w:r>
      <w:r>
        <w:rPr>
          <w:rFonts w:ascii="Arial" w:cs="Arial" w:eastAsia="Arial" w:hAnsi="Arial"/>
          <w:sz w:val="17"/>
          <w:szCs w:val="17"/>
          <w:u w:val="single" w:color="auto"/>
          <w:color w:val="auto"/>
        </w:rPr>
        <w:t>Schedule 6.13(b)</w:t>
      </w:r>
      <w:r>
        <w:rPr>
          <w:rFonts w:ascii="Arial" w:cs="Arial" w:eastAsia="Arial" w:hAnsi="Arial"/>
          <w:sz w:val="17"/>
          <w:szCs w:val="17"/>
          <w:color w:val="auto"/>
        </w:rPr>
        <w:t xml:space="preserve">, there are no outstanding commitments or other obligations of the Borrower or any Subsidiary to issue, and no rights of any Person to acquire, any shares of any Equity Interests of the Borrower or any of its Subsidiaries. Except as set forth on </w:t>
      </w:r>
      <w:r>
        <w:rPr>
          <w:rFonts w:ascii="Arial" w:cs="Arial" w:eastAsia="Arial" w:hAnsi="Arial"/>
          <w:sz w:val="17"/>
          <w:szCs w:val="17"/>
          <w:u w:val="single" w:color="auto"/>
          <w:color w:val="auto"/>
        </w:rPr>
        <w:t>Schedule 6.13(b)</w:t>
      </w:r>
      <w:r>
        <w:rPr>
          <w:rFonts w:ascii="Arial" w:cs="Arial" w:eastAsia="Arial" w:hAnsi="Arial"/>
          <w:sz w:val="17"/>
          <w:szCs w:val="17"/>
          <w:color w:val="auto"/>
        </w:rPr>
        <w:t xml:space="preserve">, there are no statutory or contractual preemptive rights, rights of first refusal, anti-dilution rights or any similar rights held by equity holders or option holders of any Loan Party. There are no agreements (voting or otherwise) among any Loan Party’s equity holders with respect to any other aspect of such Loan Party’s affairs, except as set forth on </w:t>
      </w:r>
      <w:r>
        <w:rPr>
          <w:rFonts w:ascii="Arial" w:cs="Arial" w:eastAsia="Arial" w:hAnsi="Arial"/>
          <w:sz w:val="17"/>
          <w:szCs w:val="17"/>
          <w:u w:val="single" w:color="auto"/>
          <w:color w:val="auto"/>
        </w:rPr>
        <w:t>Schedule 6.13(b)</w:t>
      </w:r>
      <w:r>
        <w:rPr>
          <w:rFonts w:ascii="Arial" w:cs="Arial" w:eastAsia="Arial" w:hAnsi="Arial"/>
          <w:sz w:val="17"/>
          <w:szCs w:val="17"/>
          <w:color w:val="auto"/>
        </w:rPr>
        <w:t>. Neither the Borrower nor any Subsidiary has outstanding any Disqualified Capital Stock.</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Margin Regulations; Investment Company Act.</w:t>
      </w:r>
    </w:p>
    <w:p>
      <w:pPr>
        <w:spacing w:after="0" w:line="225" w:lineRule="exact"/>
        <w:rPr>
          <w:sz w:val="20"/>
          <w:szCs w:val="20"/>
          <w:color w:val="auto"/>
        </w:rPr>
      </w:pPr>
    </w:p>
    <w:p>
      <w:pPr>
        <w:ind w:left="660" w:right="60" w:firstLine="645"/>
        <w:spacing w:after="0" w:line="259" w:lineRule="auto"/>
        <w:tabs>
          <w:tab w:leader="none" w:pos="195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not more than 25% of the value of the assets (either of the Borrower only or of the Borrower and its Subsidiaries on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 xml:space="preserve">consolidated basis) subject to the provisions of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8"/>
          <w:szCs w:val="18"/>
          <w:u w:val="single" w:color="auto"/>
          <w:color w:val="auto"/>
        </w:rPr>
        <w:t>Section 9.01(e)</w:t>
      </w:r>
      <w:r>
        <w:rPr>
          <w:rFonts w:ascii="Arial" w:cs="Arial" w:eastAsia="Arial" w:hAnsi="Arial"/>
          <w:sz w:val="18"/>
          <w:szCs w:val="18"/>
          <w:color w:val="auto"/>
        </w:rPr>
        <w:t xml:space="preserve"> will be margin stock.</w:t>
      </w:r>
    </w:p>
    <w:p>
      <w:pPr>
        <w:spacing w:after="0" w:line="181" w:lineRule="exact"/>
        <w:rPr>
          <w:sz w:val="20"/>
          <w:szCs w:val="20"/>
          <w:color w:val="auto"/>
        </w:rPr>
      </w:pPr>
    </w:p>
    <w:p>
      <w:pPr>
        <w:ind w:left="660" w:right="200" w:firstLine="645"/>
        <w:spacing w:after="0" w:line="277" w:lineRule="auto"/>
        <w:tabs>
          <w:tab w:leader="none" w:pos="1964"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None of any Loan Party, any Person Controlling any Loan Party, or any Subsidiary is required to be registered as an “investment company” under the Investment Company Act of 1940.</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Disclosure.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Each Loan Party has disclosed to the Administrative Agent and the Lenders all agreements, instruments and corporate or other restrictions to which it or any of its Subsidiaries is subject that, either individually or in the aggregate, could reasonably be expected to result in a Material Adverse Effect. No report, financial statement, certificate or other information furnished (whether written or oral)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fact necessary to make the statements therein, in the light of the circumstances under which they were made, not misleading (it being recognized by the Administrative Agent and the Lenders that the projections and forecasts provided by any Loan Party in good faith and based upon reasonable assumptions are not to be viewed as facts and that actual results during the period or periods covered by such projections and forecasts may differ from the projected or forecasted results).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either individually or in the aggregate, to have a Material Adverse Effect.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u w:val="single" w:color="auto"/>
          <w:color w:val="auto"/>
        </w:rPr>
        <w:t>Intellectual Property; Licenses, Etc.</w:t>
      </w:r>
    </w:p>
    <w:p>
      <w:pPr>
        <w:spacing w:after="0" w:line="225" w:lineRule="exact"/>
        <w:rPr>
          <w:sz w:val="20"/>
          <w:szCs w:val="20"/>
          <w:color w:val="auto"/>
        </w:rPr>
      </w:pPr>
    </w:p>
    <w:p>
      <w:pPr>
        <w:ind w:left="660" w:right="80" w:firstLine="645"/>
        <w:spacing w:after="0" w:line="269" w:lineRule="auto"/>
        <w:tabs>
          <w:tab w:leader="none" w:pos="1954"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Schedule 6.17</w:t>
      </w:r>
      <w:r>
        <w:rPr>
          <w:rFonts w:ascii="Arial" w:cs="Arial" w:eastAsia="Arial" w:hAnsi="Arial"/>
          <w:sz w:val="17"/>
          <w:szCs w:val="17"/>
          <w:color w:val="auto"/>
        </w:rPr>
        <w:t xml:space="preserve"> sets forth a complete and accurate list of the following as of the Effective Date: (i) all Copyrights and all Trademarks of any Loan Party, that are registered, or in respect of which an application for registration has been filed or recorded, with the United States Patent and Trademark Office or the United States Copyright Office or with any other Governmental Authority (or comparable organization or office established in any country or pursuant to an international treaty or similar international agreement for the filing, recordation or registration of interests in intellectual property), together with relevant identifying information with respect to such Copyrights and Trademarks, (ii) all Patents of any Loan Party that are issued, or in respect of which an application has been filed or recorded, with the United States Patent and Trademark Office or with any other Governmental Authority (or comparable organization or office established in any country or pursuant to an international treaty or similar international agreement for the filing, recordation or registration of interests in intellectual property), together with relevant identifying information with respect to such Patents, (iii) all Domain Names owned by any Loan Party or which any Loan Party is licensed, authorized or otherwise granted rights under or to, or owned by a Person on behalf of any Loan Party, together with relevant identifying information with respect to such Domain Names, (iv) each Copyright License, each Patent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342" w:lineRule="auto"/>
        <w:rPr>
          <w:sz w:val="20"/>
          <w:szCs w:val="20"/>
          <w:color w:val="auto"/>
        </w:rPr>
      </w:pPr>
      <w:r>
        <w:rPr>
          <w:rFonts w:ascii="Arial" w:cs="Arial" w:eastAsia="Arial" w:hAnsi="Arial"/>
          <w:sz w:val="16"/>
          <w:szCs w:val="16"/>
          <w:color w:val="auto"/>
        </w:rPr>
        <w:t>License and each Trademark License of any Loan Party and (v) each other right or interest in the IP Rights of any Loan Party that is material to the Loan Parties, their respective properties or the conduct or operation of their respective businesses (including the generation of future revenues).</w:t>
      </w:r>
    </w:p>
    <w:p>
      <w:pPr>
        <w:sectPr>
          <w:pgSz w:w="11900" w:h="16838" w:orient="portrait"/>
          <w:cols w:equalWidth="0" w:num="1">
            <w:col w:w="11420"/>
          </w:cols>
          <w:pgMar w:left="240" w:top="125" w:right="239" w:bottom="0" w:gutter="0" w:footer="0" w:header="0"/>
        </w:sectPr>
      </w:pPr>
    </w:p>
    <w:bookmarkStart w:id="69" w:name="page70"/>
    <w:bookmarkEnd w:id="69"/>
    <w:p>
      <w:pPr>
        <w:ind w:left="660" w:firstLine="645"/>
        <w:spacing w:after="0" w:line="284" w:lineRule="auto"/>
        <w:tabs>
          <w:tab w:leader="none" w:pos="1964"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The IP Rights are subsisting, unexpired and have not been abandoned. To the Borrower’s knowledge, the IP Rights are valid and enforceable. To the Borrower’s knowledge after reasonable and diligent inquiry and investigation, no claim has been made that the use or other exploitation by the Borrower, any Subsidiary or any of their licensees of any of the IP Rights, including, without limitation, to advertise, display, import, manufacture, have manufactured, market, offer for sale, perform, prepare derivative works based upon, promote, reproduce, sell, use and/or otherwise distribute a Product, does or may infringe, violate or misappropriate the rights of any Person. Except during the course of normal patent prosecution at the United States Patent and Trademark Office (or comparable organization or office established in any country or pursuant to an international treaty or similar international agreement for the filing, recordation or registration of interests in intellectual property), no holding, decision or judgment has been rendered by any Governmental Authority that would limit, invalidate, render unenforceable, cancel or question the validity of any IP Right and no action or proceeding is pending seeking to limit, invalidate, render unenforceable, cancel or question the validity of any IP Right that, in any case, if adversely determined, could reasonably be expected, either individually or in the aggregate, to have a Material Adverse Effect on the value of any IP Right. The Borrower and its Subsidiaries have, since taking title to the IP Rights, performed all acts and have paid all required annuities, fees, costs, expenses and taxes to maintain the IP Rights in full force and effect throughout the world, as applicable. To the Borrower’s knowledge, all applications for registration pertaining to the IP Rights have been duly and properly filed, and all registrations or letters patent pertaining to such IP Rights have been duly and properly filed and issued. The Borrower and its Subsidiaries own, or are entitled to use by license or otherwise, all the IP Rights. Neither the Borrower nor any Subsidiary has made any assignment or agreement in conflict with, and no license agreement with respect to the IP Rights conflicts with the security interest in the IP Rights of the Loan Parties granted to the Administrative Agent, on behalf of the Secured Parties, pursuant to the terms of the Collateral Documents. To the extent any of the IP Rights were authored, developed, conceived or created, in whole or in part, for or on the behalf of the Borrower or any Subsidiary by any Person, then the Borrower or such Subsidiary has entered into a written agreement with such Person in which such Person has assigned all right, title and interest in and to such IP Rights to the Borrower or such Subsidiary, except to the extent the failure to do so could not reasonably be expected to result in a Material Adverse Effect. To the Borrower’s knowledge, no slogan or other advertising device, product, process, method, substance, part or other material now employed, or now contemplated to be employed, by the Borrower or any Subsidiary or any licensee of the Borrower or any Subsidiary violates, infringes or misappropriates any rights held by any other Person. No claim or litigation regarding any of the IP Rights is pending or threatened. None of the IP Rights is subject to any license grant by the Borrower or any Subsidiary or similar arrangement, except for (x) license grants between the Loan Parties and (y) those license grants disclosed on </w:t>
      </w:r>
      <w:r>
        <w:rPr>
          <w:rFonts w:ascii="Arial" w:cs="Arial" w:eastAsia="Arial" w:hAnsi="Arial"/>
          <w:sz w:val="16"/>
          <w:szCs w:val="16"/>
          <w:u w:val="single" w:color="auto"/>
          <w:color w:val="auto"/>
        </w:rPr>
        <w:t>Schedule 6.17</w:t>
      </w:r>
      <w:r>
        <w:rPr>
          <w:rFonts w:ascii="Arial" w:cs="Arial" w:eastAsia="Arial" w:hAnsi="Arial"/>
          <w:sz w:val="16"/>
          <w:szCs w:val="16"/>
          <w:color w:val="auto"/>
        </w:rPr>
        <w:t>.</w:t>
      </w:r>
    </w:p>
    <w:p>
      <w:pPr>
        <w:spacing w:after="0" w:line="392" w:lineRule="exact"/>
        <w:rPr>
          <w:rFonts w:ascii="Arial" w:cs="Arial" w:eastAsia="Arial" w:hAnsi="Arial"/>
          <w:sz w:val="16"/>
          <w:szCs w:val="16"/>
          <w:color w:val="auto"/>
        </w:rPr>
      </w:pPr>
    </w:p>
    <w:p>
      <w:pPr>
        <w:ind w:left="660" w:right="240" w:firstLine="645"/>
        <w:spacing w:after="0" w:line="286" w:lineRule="auto"/>
        <w:tabs>
          <w:tab w:leader="none" w:pos="196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6.17</w:t>
      </w:r>
      <w:r>
        <w:rPr>
          <w:rFonts w:ascii="Arial" w:cs="Arial" w:eastAsia="Arial" w:hAnsi="Arial"/>
          <w:sz w:val="17"/>
          <w:szCs w:val="17"/>
          <w:color w:val="auto"/>
        </w:rPr>
        <w:t>, the consummation of the transaction contemplated hereby and the exercise by the Administrative Agent or the Lenders of any right or protection set forth in this Agreement will not constitute a breach or violation of, or otherwise affect the enforceability or approval of, (i) any licenses associated with IP Rights or (ii) Governmental Licenses.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u w:val="single" w:color="auto"/>
          <w:color w:val="auto"/>
        </w:rPr>
        <w:t>Solvency.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is Solvent, on an individual basis, and the Borrower and its Subsidiaries are Solvent, on a consolidated basis.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6"/>
          <w:szCs w:val="16"/>
          <w:u w:val="single" w:color="auto"/>
          <w:color w:val="auto"/>
        </w:rPr>
        <w:t>Perfection of Security Interests in the Collateral.</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Collateral Documents create valid security interests in, and Liens on, the Collateral purported to be covered thereby, which security interests and Liens will be, upon the timely and proper filings, deliveries and other actions contemplated in the Collateral Documents perfected security interests and Liens (to the extent that such security interests and Liens can be perfected by such filings, deliveries, notations and other actions), prior to all other Liens other than Permitted Liens.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6.20</w:t>
      </w:r>
      <w:r>
        <w:rPr>
          <w:sz w:val="20"/>
          <w:szCs w:val="20"/>
          <w:color w:val="auto"/>
        </w:rPr>
        <w:tab/>
      </w:r>
      <w:r>
        <w:rPr>
          <w:rFonts w:ascii="Arial" w:cs="Arial" w:eastAsia="Arial" w:hAnsi="Arial"/>
          <w:sz w:val="16"/>
          <w:szCs w:val="16"/>
          <w:u w:val="single" w:color="auto"/>
          <w:color w:val="auto"/>
        </w:rPr>
        <w:t>Business Locations.</w:t>
      </w:r>
    </w:p>
    <w:p>
      <w:pPr>
        <w:spacing w:after="0" w:line="22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6.20(a)</w:t>
      </w:r>
      <w:r>
        <w:rPr>
          <w:rFonts w:ascii="Arial" w:cs="Arial" w:eastAsia="Arial" w:hAnsi="Arial"/>
          <w:sz w:val="17"/>
          <w:szCs w:val="17"/>
          <w:color w:val="auto"/>
        </w:rPr>
        <w:t xml:space="preserve"> is a list of all real property located in the United States that is owned or leased by the Loan Parties as of the Effective Date (with (x) a designation of each real property that is Excluded Property and (y) a designation as to whether such real property is owned or leased). Set forth on </w:t>
      </w:r>
      <w:r>
        <w:rPr>
          <w:rFonts w:ascii="Arial" w:cs="Arial" w:eastAsia="Arial" w:hAnsi="Arial"/>
          <w:sz w:val="17"/>
          <w:szCs w:val="17"/>
          <w:u w:val="single" w:color="auto"/>
          <w:color w:val="auto"/>
        </w:rPr>
        <w:t>Schedule 6.20(b)</w:t>
      </w:r>
      <w:r>
        <w:rPr>
          <w:rFonts w:ascii="Arial" w:cs="Arial" w:eastAsia="Arial" w:hAnsi="Arial"/>
          <w:sz w:val="17"/>
          <w:szCs w:val="17"/>
          <w:color w:val="auto"/>
        </w:rPr>
        <w:t xml:space="preserve"> is the tax payer identification number and organizational identification number of each Loan Party as of the Effective Date. The exact legal name and state of organization of (a) the Borrower is as set forth on the signature pages hereto and (b) each Guarantor is (i) as set forth on the signature pages hereto, (ii) as set forth on the signature pages to the Joinder Agreement pursuant to which such Guarantor became a party hereto or (iii) as may be otherwise disclosed by the Loan Parties to the Administrative Agent in accordance with </w:t>
      </w:r>
      <w:r>
        <w:rPr>
          <w:rFonts w:ascii="Arial" w:cs="Arial" w:eastAsia="Arial" w:hAnsi="Arial"/>
          <w:sz w:val="17"/>
          <w:szCs w:val="17"/>
          <w:u w:val="single" w:color="auto"/>
          <w:color w:val="auto"/>
        </w:rPr>
        <w:t>Section 8.12(c)</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6.20(c)</w:t>
      </w:r>
      <w:r>
        <w:rPr>
          <w:rFonts w:ascii="Arial" w:cs="Arial" w:eastAsia="Arial" w:hAnsi="Arial"/>
          <w:sz w:val="17"/>
          <w:szCs w:val="17"/>
          <w:color w:val="auto"/>
        </w:rPr>
        <w:t>, no Loan Party has during the five years preceding the Effective Date (x) changed its legal name, (y) changed its state of organization or (z) been party to a merger, consolidation or other change in structure.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u w:val="single" w:color="auto"/>
          <w:color w:val="auto"/>
        </w:rPr>
        <w:t>Sanctions Concerns; Anti-Corruption Laws; PATRIOT Act.</w:t>
      </w:r>
    </w:p>
    <w:p>
      <w:pPr>
        <w:spacing w:after="0" w:line="225" w:lineRule="exact"/>
        <w:rPr>
          <w:sz w:val="20"/>
          <w:szCs w:val="20"/>
          <w:color w:val="auto"/>
        </w:rPr>
      </w:pPr>
    </w:p>
    <w:p>
      <w:pPr>
        <w:ind w:left="660" w:right="160" w:firstLine="645"/>
        <w:spacing w:after="0" w:line="257" w:lineRule="auto"/>
        <w:tabs>
          <w:tab w:leader="none" w:pos="1954"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Sanctions Concerns</w:t>
      </w:r>
      <w:r>
        <w:rPr>
          <w:rFonts w:ascii="Arial" w:cs="Arial" w:eastAsia="Arial" w:hAnsi="Arial"/>
          <w:sz w:val="18"/>
          <w:szCs w:val="18"/>
          <w:color w:val="auto"/>
        </w:rPr>
        <w:t>. No Loan Party, nor any Subsidiary, nor, to the knowledge of the Loan Parties and their Subsidiaries, any director, officer, employee, agent, affiliate or representative thereof, is an individual or entity that is, or is owned or controlled by, any individual or entity that is (i)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88" w:lineRule="exact"/>
        <w:rPr>
          <w:rFonts w:ascii="Arial" w:cs="Arial" w:eastAsia="Arial" w:hAnsi="Arial"/>
          <w:sz w:val="18"/>
          <w:szCs w:val="18"/>
          <w:color w:val="auto"/>
        </w:rPr>
      </w:pPr>
    </w:p>
    <w:p>
      <w:pPr>
        <w:ind w:left="660" w:right="80" w:firstLine="645"/>
        <w:spacing w:after="0" w:line="259" w:lineRule="auto"/>
        <w:tabs>
          <w:tab w:leader="none" w:pos="1964"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Anti-Corruption Laws</w:t>
      </w:r>
      <w:r>
        <w:rPr>
          <w:rFonts w:ascii="Arial" w:cs="Arial" w:eastAsia="Arial" w:hAnsi="Arial"/>
          <w:sz w:val="18"/>
          <w:szCs w:val="18"/>
          <w:color w:val="auto"/>
        </w:rPr>
        <w:t>. The Loan Parties and their Subsidiaries have conducted their business in compliance with the United States Foreign Corrupt Practices Act of 1977 and other similar anti-corruption legislation in other jurisdictions in which the Loan Parties and their Subsidiaries conduct business and/or are subject to such legislation, and have instituted and maintained policies and procedures designed to promote and achieve compliance with such laws.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93"/>
        </w:numPr>
        <w:rPr>
          <w:rFonts w:ascii="Arial" w:cs="Arial" w:eastAsia="Arial" w:hAnsi="Arial"/>
          <w:sz w:val="17"/>
          <w:szCs w:val="17"/>
          <w:color w:val="auto"/>
        </w:rPr>
      </w:pPr>
      <w:r>
        <w:rPr>
          <w:rFonts w:ascii="Arial" w:cs="Arial" w:eastAsia="Arial" w:hAnsi="Arial"/>
          <w:sz w:val="17"/>
          <w:szCs w:val="17"/>
          <w:u w:val="single" w:color="auto"/>
          <w:color w:val="auto"/>
        </w:rPr>
        <w:t>PATRIOT Act</w:t>
      </w:r>
      <w:r>
        <w:rPr>
          <w:rFonts w:ascii="Arial" w:cs="Arial" w:eastAsia="Arial" w:hAnsi="Arial"/>
          <w:sz w:val="17"/>
          <w:szCs w:val="17"/>
          <w:color w:val="auto"/>
        </w:rPr>
        <w:t>. To the extent applicable, each Loan Party and each Subsidiary is in compliance, in all material respects, with</w:t>
      </w:r>
    </w:p>
    <w:p>
      <w:pPr>
        <w:spacing w:after="0" w:line="34" w:lineRule="exact"/>
        <w:rPr>
          <w:rFonts w:ascii="Arial" w:cs="Arial" w:eastAsia="Arial" w:hAnsi="Arial"/>
          <w:sz w:val="17"/>
          <w:szCs w:val="17"/>
          <w:color w:val="auto"/>
        </w:rPr>
      </w:pPr>
    </w:p>
    <w:p>
      <w:pPr>
        <w:ind w:left="660" w:right="360" w:hanging="4"/>
        <w:spacing w:after="0" w:line="323" w:lineRule="auto"/>
        <w:tabs>
          <w:tab w:leader="none" w:pos="87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Trading with the Enemy Act, as amended, and each of the foreign assets control regulations of the United States Treasury Department (31 CFR, Subtitle B, Chapter V, as amended) and any other enabling legislation or executive order relating thereto and (ii) the PATRIOT Act.</w:t>
      </w:r>
    </w:p>
    <w:p>
      <w:pPr>
        <w:sectPr>
          <w:pgSz w:w="11900" w:h="16838" w:orient="portrait"/>
          <w:cols w:equalWidth="0" w:num="1">
            <w:col w:w="11420"/>
          </w:cols>
          <w:pgMar w:left="240" w:top="125" w:right="239" w:bottom="123"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70" w:name="page71"/>
    <w:bookmarkEnd w:id="70"/>
    <w:p>
      <w:pPr>
        <w:spacing w:after="0" w:line="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u w:val="single" w:color="auto"/>
          <w:color w:val="auto"/>
        </w:rPr>
        <w:t>Material Contracts.</w:t>
      </w:r>
    </w:p>
    <w:p>
      <w:pPr>
        <w:spacing w:after="0" w:line="225"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 xml:space="preserve">Except for the Organization Documents and the other agreements set forth on </w:t>
      </w:r>
      <w:r>
        <w:rPr>
          <w:rFonts w:ascii="Arial" w:cs="Arial" w:eastAsia="Arial" w:hAnsi="Arial"/>
          <w:sz w:val="16"/>
          <w:szCs w:val="16"/>
          <w:u w:val="single" w:color="auto"/>
          <w:color w:val="auto"/>
        </w:rPr>
        <w:t>Schedule 6.22</w:t>
      </w:r>
      <w:r>
        <w:rPr>
          <w:rFonts w:ascii="Arial" w:cs="Arial" w:eastAsia="Arial" w:hAnsi="Arial"/>
          <w:sz w:val="16"/>
          <w:szCs w:val="16"/>
          <w:color w:val="auto"/>
        </w:rPr>
        <w:t xml:space="preserve"> (collectively with the Organization Documents, the “</w:t>
      </w:r>
      <w:r>
        <w:rPr>
          <w:rFonts w:ascii="Arial" w:cs="Arial" w:eastAsia="Arial" w:hAnsi="Arial"/>
          <w:sz w:val="16"/>
          <w:szCs w:val="16"/>
          <w:u w:val="single" w:color="auto"/>
          <w:color w:val="auto"/>
        </w:rPr>
        <w:t>Material Contracts</w:t>
      </w:r>
      <w:r>
        <w:rPr>
          <w:rFonts w:ascii="Arial" w:cs="Arial" w:eastAsia="Arial" w:hAnsi="Arial"/>
          <w:sz w:val="16"/>
          <w:szCs w:val="16"/>
          <w:color w:val="auto"/>
        </w:rPr>
        <w:t>”), as of the Effective Date there are no (a) employment agreements covering the management of the Borrower or any Subsidiary,</w:t>
      </w:r>
    </w:p>
    <w:p>
      <w:pPr>
        <w:ind w:right="40" w:firstLine="8"/>
        <w:spacing w:after="0" w:line="267"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collective bargaining agreements or other labor agreements covering any employees of the Borrower or any Subsidiary, (c) agreements for managerial, consulting or similar services to which the Borrower or any Subsidiary is a party or by which it is bound, (d) agreements regarding the Borrower or any Subsidiary, its assets or operations or any investment therein to which any of its equityholders is a party or by which it is bound, (e) real estate leases, licenses of IP Rights or other lease or license agreements to which the Borrower or any Subsidiary is a party, either as lessor or lessee, or as licensor or licensee (other than licenses arising from the purchase of “off the shelf’ products), (f) customer or supply agreements to which the Borrower or any Subsidiary is a party, in each case with respect to the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requiring payment by the Borrower and/or any Subsidiary of more than $500,000 in any year or (g) any other agreements or instruments to which the Borrower or any Subsidiary is a party, and the breach, nonperformance or cancellation of which, or the failure of which to renew, could reasonably be expected to have a Material Adverse Effect. </w:t>
      </w:r>
      <w:r>
        <w:rPr>
          <w:rFonts w:ascii="Arial" w:cs="Arial" w:eastAsia="Arial" w:hAnsi="Arial"/>
          <w:sz w:val="17"/>
          <w:szCs w:val="17"/>
          <w:u w:val="single" w:color="auto"/>
          <w:color w:val="auto"/>
        </w:rPr>
        <w:t>Schedule 6.22</w:t>
      </w:r>
      <w:r>
        <w:rPr>
          <w:rFonts w:ascii="Arial" w:cs="Arial" w:eastAsia="Arial" w:hAnsi="Arial"/>
          <w:sz w:val="17"/>
          <w:szCs w:val="17"/>
          <w:color w:val="auto"/>
        </w:rPr>
        <w:t xml:space="preserve"> sets forth, with respect to each real estate lease agreement to which the Borrower or any Subsidiary is a party as of the Effective Date, the address of the subject property and the annual rental rate as of the Effective Date. The consummation of the transactions contemplated by the Loan Documents will not give rise to a right of termination in favor of any party to any Material Contract.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u w:val="single" w:color="auto"/>
          <w:color w:val="auto"/>
        </w:rPr>
        <w:t>Compliance of Products.</w:t>
      </w:r>
    </w:p>
    <w:p>
      <w:pPr>
        <w:spacing w:after="0" w:line="225" w:lineRule="exact"/>
        <w:rPr>
          <w:sz w:val="20"/>
          <w:szCs w:val="20"/>
          <w:color w:val="auto"/>
        </w:rPr>
      </w:pPr>
    </w:p>
    <w:p>
      <w:pPr>
        <w:ind w:left="1940" w:hanging="635"/>
        <w:spacing w:after="0"/>
        <w:tabs>
          <w:tab w:leader="none" w:pos="19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Loan Parties represent and warrant:</w:t>
      </w:r>
    </w:p>
    <w:p>
      <w:pPr>
        <w:spacing w:after="0" w:line="225" w:lineRule="exact"/>
        <w:rPr>
          <w:rFonts w:ascii="Arial" w:cs="Arial" w:eastAsia="Arial" w:hAnsi="Arial"/>
          <w:sz w:val="18"/>
          <w:szCs w:val="18"/>
          <w:color w:val="auto"/>
        </w:rPr>
      </w:pPr>
    </w:p>
    <w:p>
      <w:pPr>
        <w:ind w:left="1300" w:right="220" w:firstLine="653"/>
        <w:spacing w:after="0" w:line="264" w:lineRule="auto"/>
        <w:tabs>
          <w:tab w:leader="none" w:pos="2618"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the Borrower and its Subsidiaries have obtained all Required Permits, or have contracted with third parties holding Required Permits, necessary for compliance with all Laws and all such Required Permits are in full force and effect, except where the failure to do so could not reasonably be expected to result in a Material Adverse Effect;</w:t>
      </w:r>
    </w:p>
    <w:p>
      <w:pPr>
        <w:spacing w:after="0" w:line="181" w:lineRule="exact"/>
        <w:rPr>
          <w:rFonts w:ascii="Arial" w:cs="Arial" w:eastAsia="Arial" w:hAnsi="Arial"/>
          <w:sz w:val="18"/>
          <w:szCs w:val="18"/>
          <w:color w:val="auto"/>
        </w:rPr>
      </w:pPr>
    </w:p>
    <w:p>
      <w:pPr>
        <w:ind w:left="1300" w:right="280" w:firstLine="653"/>
        <w:spacing w:after="0" w:line="279" w:lineRule="auto"/>
        <w:tabs>
          <w:tab w:leader="none" w:pos="2627"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that the Borrower and its Subsidiaries have not received any communication from any Governmental Authority regarding, and are not aware of any facts or circumstances that are likely to give rise to (A) any material adverse change in any Required Permit, or any failure to materially comply with any Laws or any term or requirement of any Required Permit or (B) any revocation, withdrawal, suspension, cancellation, material limitation, termination or material modification of any Required Permit;</w:t>
      </w:r>
    </w:p>
    <w:p>
      <w:pPr>
        <w:spacing w:after="0" w:line="171" w:lineRule="exact"/>
        <w:rPr>
          <w:rFonts w:ascii="Arial" w:cs="Arial" w:eastAsia="Arial" w:hAnsi="Arial"/>
          <w:sz w:val="17"/>
          <w:szCs w:val="17"/>
          <w:color w:val="auto"/>
        </w:rPr>
      </w:pPr>
    </w:p>
    <w:p>
      <w:pPr>
        <w:ind w:left="1300" w:firstLine="653"/>
        <w:spacing w:after="0" w:line="312" w:lineRule="auto"/>
        <w:tabs>
          <w:tab w:leader="none" w:pos="2637"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that none of the officers, directors, employees, stockholders, agents, Affiliates of the Borrower or any Subsidiary or, to Borrower’s knowledge after reasonable and diligent inquiry and investigation, any consultant involved in any Product application, has been convicted of any crime or engaged in any conduct which could reasonably be expected to result in debarment under 21 U.S.C. Section 335a;</w:t>
      </w:r>
    </w:p>
    <w:p>
      <w:pPr>
        <w:spacing w:after="0" w:line="146" w:lineRule="exact"/>
        <w:rPr>
          <w:rFonts w:ascii="Arial" w:cs="Arial" w:eastAsia="Arial" w:hAnsi="Arial"/>
          <w:sz w:val="16"/>
          <w:szCs w:val="16"/>
          <w:color w:val="auto"/>
        </w:rPr>
      </w:pPr>
    </w:p>
    <w:p>
      <w:pPr>
        <w:ind w:left="1300" w:right="240" w:firstLine="653"/>
        <w:spacing w:after="0" w:line="259" w:lineRule="auto"/>
        <w:tabs>
          <w:tab w:leader="none" w:pos="26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that none of the officers, directors, employees, stockholders, agents, Affiliates of the Borrower or any Subsidiary or, to the Borrower’s knowledge, any consultant has made an untrue statement of material fact or fraudulent statement to the FDA or failed to disclose a material fact required to be disclosed to the FDA, committed an act, made a statement, or failed to make a statement that could reasonably be expected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to provide a basis for the FDA to invoke its policy respecting “Fraud, Untrue Statements of Material Facts, Bribery, and Illegal Gratuities,” set forth in 56 Fed. Regulation 46191 (September 10, 1991);</w:t>
      </w:r>
    </w:p>
    <w:p>
      <w:pPr>
        <w:spacing w:after="0" w:line="170" w:lineRule="exact"/>
        <w:rPr>
          <w:sz w:val="20"/>
          <w:szCs w:val="20"/>
          <w:color w:val="auto"/>
        </w:rPr>
      </w:pPr>
    </w:p>
    <w:p>
      <w:pPr>
        <w:ind w:left="1300" w:right="120" w:firstLine="653"/>
        <w:spacing w:after="0" w:line="291" w:lineRule="auto"/>
        <w:tabs>
          <w:tab w:leader="none" w:pos="260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that all applications, notifications, submissions, information, claims, reports and statistics and other data and conclusions derived therefrom, utilized as the basis for or submitted in connection with any and all requests for a Required Permit from the FDA or other Governmental Authority relating to the Borrower or any Subsidiary, their business operations and Products, when submitted to the FDA or other Governmental Authority were true, complete and correct in all material respects as of the date of submission and any necessary or required updates, changes, corrections or modifications to such applications, submissions, information and data have been submitted to the FDA or other Governmental Authority. The Required Permits issued by the FDA and other Governmental Authorities for the Borrower’s and its Subsidiaries’ Products are valid and supported by proper research, design, testing, analysis and disclosure;</w:t>
      </w:r>
    </w:p>
    <w:p>
      <w:pPr>
        <w:spacing w:after="0" w:line="167" w:lineRule="exact"/>
        <w:rPr>
          <w:rFonts w:ascii="Arial" w:cs="Arial" w:eastAsia="Arial" w:hAnsi="Arial"/>
          <w:sz w:val="16"/>
          <w:szCs w:val="16"/>
          <w:color w:val="auto"/>
        </w:rPr>
      </w:pPr>
    </w:p>
    <w:p>
      <w:pPr>
        <w:ind w:left="1300" w:right="40" w:firstLine="653"/>
        <w:spacing w:after="0" w:line="279" w:lineRule="auto"/>
        <w:tabs>
          <w:tab w:leader="none" w:pos="2613"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that all preclinical and clinical trials in respect of the activities of the Borrower and its Subsidiaries being conducted by or on behalf of the Borrower and its Subsidiaries that have been submitted to any Governmental Authority, including the FDA and its counterparts worldwide, in connection with any Required Permit, are being or have been conducted in compliance in all material respects with the required experimental protocols, procedures and controls pursuant to applicable Laws;</w:t>
      </w:r>
    </w:p>
    <w:p>
      <w:pPr>
        <w:spacing w:after="0" w:line="171" w:lineRule="exact"/>
        <w:rPr>
          <w:rFonts w:ascii="Arial" w:cs="Arial" w:eastAsia="Arial" w:hAnsi="Arial"/>
          <w:sz w:val="17"/>
          <w:szCs w:val="17"/>
          <w:color w:val="auto"/>
        </w:rPr>
      </w:pPr>
    </w:p>
    <w:p>
      <w:pPr>
        <w:ind w:left="1300" w:right="100" w:firstLine="653"/>
        <w:spacing w:after="0" w:line="297" w:lineRule="auto"/>
        <w:tabs>
          <w:tab w:leader="none" w:pos="2623"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that neither the Borrower nor any Subsidiary has received any written notice that any Governmental Authority, including without limitation the FDA, the Office of the Inspector General of HHS or the United States Department of Justice has commenced or threatened to initiate any action against the Borrower or a Subsidiary, any action to enjoin the Borrower or a Subsidiary, its officers, directors, employees, stockholders or its agents and Affiliates, from conducting its business at any facility owned or used by it or for any material civil penalty, injunction, seizure or criminal action that could reasonably be expected to have a Material Adverse Effect;</w:t>
      </w:r>
    </w:p>
    <w:p>
      <w:pPr>
        <w:spacing w:after="0" w:line="158" w:lineRule="exact"/>
        <w:rPr>
          <w:rFonts w:ascii="Arial" w:cs="Arial" w:eastAsia="Arial" w:hAnsi="Arial"/>
          <w:sz w:val="16"/>
          <w:szCs w:val="16"/>
          <w:color w:val="auto"/>
        </w:rPr>
      </w:pPr>
    </w:p>
    <w:p>
      <w:pPr>
        <w:ind w:left="1300" w:right="100" w:firstLine="653"/>
        <w:spacing w:after="0" w:line="273" w:lineRule="auto"/>
        <w:tabs>
          <w:tab w:leader="none" w:pos="263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that neither the Borrower nor any Subsidiary has received from the FDA, at any time since January 1, 2008, a Warning Letter, Form FDA-483, “Untitled Letter,” other correspondence or notice setting forth allegedly objectionable observations or alleged violations of laws and regulations enforced by the FDA, or any comparable correspondence from any state or local authority with regard to any Product or the use, manufacture, processing, packaging or holding thereof, or any comparable correspondence from any foreign counterpart of the FDA, or any comparable correspondence from any foreign counterpart of any state or local authority with regard to any Product or the use, manufacture, processing, packing, or holding thereof; and</w:t>
      </w:r>
    </w:p>
    <w:p>
      <w:pPr>
        <w:spacing w:after="0" w:line="178" w:lineRule="exact"/>
        <w:rPr>
          <w:rFonts w:ascii="Arial" w:cs="Arial" w:eastAsia="Arial" w:hAnsi="Arial"/>
          <w:sz w:val="17"/>
          <w:szCs w:val="17"/>
          <w:color w:val="auto"/>
        </w:rPr>
      </w:pPr>
    </w:p>
    <w:p>
      <w:pPr>
        <w:ind w:left="1300" w:firstLine="653"/>
        <w:spacing w:after="0" w:line="302" w:lineRule="auto"/>
        <w:tabs>
          <w:tab w:leader="none" w:pos="2613"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that neither the Borrower nor any Subsidiary (A) has engaged in any recalls, field notifications, Market Withdrawals, warnings, “dear doctor” letters, investigator notices, safety alerts, “serious adverse event” reports or other notice of action relating to an alleged lack of safety or regulatory compliance of the Products issued by the Borrower or any Subsidiary, any clinical investigator, and/or other third party (“</w:t>
      </w:r>
      <w:r>
        <w:rPr>
          <w:rFonts w:ascii="Arial" w:cs="Arial" w:eastAsia="Arial" w:hAnsi="Arial"/>
          <w:sz w:val="16"/>
          <w:szCs w:val="16"/>
          <w:u w:val="single" w:color="auto"/>
          <w:color w:val="auto"/>
        </w:rPr>
        <w:t>Safety Notices</w:t>
      </w:r>
      <w:r>
        <w:rPr>
          <w:rFonts w:ascii="Arial" w:cs="Arial" w:eastAsia="Arial" w:hAnsi="Arial"/>
          <w:sz w:val="16"/>
          <w:szCs w:val="16"/>
          <w:color w:val="auto"/>
        </w:rPr>
        <w:t>”), (B) has knowledge of any material product complaints with respect to the Products which, if true, could</w:t>
      </w:r>
    </w:p>
    <w:p>
      <w:pPr>
        <w:sectPr>
          <w:pgSz w:w="11900" w:h="16877" w:orient="portrait"/>
          <w:cols w:equalWidth="0" w:num="1">
            <w:col w:w="11420"/>
          </w:cols>
          <w:pgMar w:left="240" w:top="341" w:right="239" w:bottom="0" w:gutter="0" w:footer="0" w:header="0"/>
        </w:sectPr>
      </w:pPr>
    </w:p>
    <w:bookmarkStart w:id="71" w:name="page72"/>
    <w:bookmarkEnd w:id="71"/>
    <w:p>
      <w:pPr>
        <w:ind w:left="1300" w:right="240"/>
        <w:spacing w:after="0" w:line="277" w:lineRule="auto"/>
        <w:rPr>
          <w:sz w:val="20"/>
          <w:szCs w:val="20"/>
          <w:color w:val="auto"/>
        </w:rPr>
      </w:pPr>
      <w:r>
        <w:rPr>
          <w:rFonts w:ascii="Arial" w:cs="Arial" w:eastAsia="Arial" w:hAnsi="Arial"/>
          <w:sz w:val="18"/>
          <w:szCs w:val="18"/>
          <w:color w:val="auto"/>
        </w:rPr>
        <w:t>reasonably be expected to have a Material Adverse Effect and (C) has knowledge of any facts that would be reasonably likely to result in (1)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60"/>
        <w:spacing w:after="0" w:line="277" w:lineRule="auto"/>
        <w:rPr>
          <w:sz w:val="20"/>
          <w:szCs w:val="20"/>
          <w:color w:val="auto"/>
        </w:rPr>
      </w:pPr>
      <w:r>
        <w:rPr>
          <w:rFonts w:ascii="Arial" w:cs="Arial" w:eastAsia="Arial" w:hAnsi="Arial"/>
          <w:sz w:val="18"/>
          <w:szCs w:val="18"/>
          <w:color w:val="auto"/>
        </w:rPr>
        <w:t>a material Safety Notice with respect to the Products, (2) a material change in the labeling of any of the Products or (3) a termination or suspension of developing and testing of any of the Products.</w:t>
      </w:r>
    </w:p>
    <w:p>
      <w:pPr>
        <w:spacing w:after="0" w:line="170" w:lineRule="exact"/>
        <w:rPr>
          <w:sz w:val="20"/>
          <w:szCs w:val="20"/>
          <w:color w:val="auto"/>
        </w:rPr>
      </w:pPr>
    </w:p>
    <w:p>
      <w:pPr>
        <w:ind w:left="1960" w:hanging="655"/>
        <w:spacing w:after="0"/>
        <w:tabs>
          <w:tab w:leader="none" w:pos="1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 respect to Products, the Loan Parties represent and warrant that:</w:t>
      </w:r>
    </w:p>
    <w:p>
      <w:pPr>
        <w:spacing w:after="0" w:line="225" w:lineRule="exact"/>
        <w:rPr>
          <w:rFonts w:ascii="Arial" w:cs="Arial" w:eastAsia="Arial" w:hAnsi="Arial"/>
          <w:sz w:val="18"/>
          <w:szCs w:val="18"/>
          <w:color w:val="auto"/>
        </w:rPr>
      </w:pPr>
    </w:p>
    <w:p>
      <w:pPr>
        <w:ind w:left="1220" w:firstLine="652"/>
        <w:spacing w:after="0" w:line="270" w:lineRule="auto"/>
        <w:tabs>
          <w:tab w:leader="none" w:pos="2619"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all Products are listed on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and the Borrower has delivered to the Administrative Agent on or prior to the Effective Date copies of all Required Permits relating to such Products issued or outstanding as of the Effective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after the Effective Date, the Borrower or any Subsidiary wishes to manufacture, sell, develop, test or market any new Product, the Borrower shall give prior written notice to the Administrative Agent of such intention (which shall include a brief description of such Product, plus copies of all Required Permits relating to such new Product and/or the Borrower’s or such Subsidiary’s manufacture, sale, development, testing or marketing thereof issued or outstanding as of the date of such notice) along with a copy of an updated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if the Borrower and/or any Subsidiary shall at any time obtain any new or additional Required Permits from the FDA, or parallel state or local authorities, or foreign counterparts of the FDA, or parallel state or local authorities, with respect to any Product which has previously been disclosed to the Administrative Agent, the Borrower shall give written notice to the Administrative Agent of such new or additional Required Permits, along with a copy thereof;</w:t>
      </w:r>
    </w:p>
    <w:p>
      <w:pPr>
        <w:spacing w:after="0" w:line="177" w:lineRule="exact"/>
        <w:rPr>
          <w:rFonts w:ascii="Arial" w:cs="Arial" w:eastAsia="Arial" w:hAnsi="Arial"/>
          <w:sz w:val="17"/>
          <w:szCs w:val="17"/>
          <w:color w:val="auto"/>
        </w:rPr>
      </w:pPr>
    </w:p>
    <w:p>
      <w:pPr>
        <w:ind w:left="1300" w:right="80" w:firstLine="653"/>
        <w:spacing w:after="0" w:line="277" w:lineRule="auto"/>
        <w:tabs>
          <w:tab w:leader="none" w:pos="2627" w:val="left"/>
        </w:tabs>
        <w:numPr>
          <w:ilvl w:val="2"/>
          <w:numId w:val="98"/>
        </w:numPr>
        <w:rPr>
          <w:rFonts w:ascii="Arial" w:cs="Arial" w:eastAsia="Arial" w:hAnsi="Arial"/>
          <w:sz w:val="18"/>
          <w:szCs w:val="18"/>
          <w:color w:val="auto"/>
        </w:rPr>
      </w:pPr>
      <w:r>
        <w:rPr>
          <w:rFonts w:ascii="Arial" w:cs="Arial" w:eastAsia="Arial" w:hAnsi="Arial"/>
          <w:sz w:val="18"/>
          <w:szCs w:val="18"/>
          <w:color w:val="auto"/>
        </w:rPr>
        <w:t>each Product is not adulterated or misbranded within the meaning of the FDCA, except where a failure of a Product so to comply could not reasonably be expected to have a Material Adverse Effect;</w:t>
      </w:r>
    </w:p>
    <w:p>
      <w:pPr>
        <w:spacing w:after="0" w:line="170" w:lineRule="exact"/>
        <w:rPr>
          <w:rFonts w:ascii="Arial" w:cs="Arial" w:eastAsia="Arial" w:hAnsi="Arial"/>
          <w:sz w:val="18"/>
          <w:szCs w:val="18"/>
          <w:color w:val="auto"/>
        </w:rPr>
      </w:pPr>
    </w:p>
    <w:p>
      <w:pPr>
        <w:ind w:left="1300" w:right="140" w:firstLine="653"/>
        <w:spacing w:after="0" w:line="264" w:lineRule="auto"/>
        <w:tabs>
          <w:tab w:leader="none" w:pos="2637" w:val="left"/>
        </w:tabs>
        <w:numPr>
          <w:ilvl w:val="2"/>
          <w:numId w:val="98"/>
        </w:numPr>
        <w:rPr>
          <w:rFonts w:ascii="Arial" w:cs="Arial" w:eastAsia="Arial" w:hAnsi="Arial"/>
          <w:sz w:val="18"/>
          <w:szCs w:val="18"/>
          <w:color w:val="auto"/>
        </w:rPr>
      </w:pPr>
      <w:r>
        <w:rPr>
          <w:rFonts w:ascii="Arial" w:cs="Arial" w:eastAsia="Arial" w:hAnsi="Arial"/>
          <w:sz w:val="18"/>
          <w:szCs w:val="18"/>
          <w:color w:val="auto"/>
        </w:rPr>
        <w:t>each Product is not an article prohibited from use or introduction into interstate commerce under the provisions of Sections 404, 505 or 512 of the FDCA, except where such introduction of a prohibited Product could not reasonably be expected to have a Material Adverse Effect;</w:t>
      </w:r>
    </w:p>
    <w:p>
      <w:pPr>
        <w:spacing w:after="0" w:line="181" w:lineRule="exact"/>
        <w:rPr>
          <w:rFonts w:ascii="Arial" w:cs="Arial" w:eastAsia="Arial" w:hAnsi="Arial"/>
          <w:sz w:val="18"/>
          <w:szCs w:val="18"/>
          <w:color w:val="auto"/>
        </w:rPr>
      </w:pPr>
    </w:p>
    <w:p>
      <w:pPr>
        <w:ind w:left="1300" w:right="60" w:firstLine="653"/>
        <w:spacing w:after="0" w:line="264" w:lineRule="auto"/>
        <w:tabs>
          <w:tab w:leader="none" w:pos="2613" w:val="left"/>
        </w:tabs>
        <w:numPr>
          <w:ilvl w:val="2"/>
          <w:numId w:val="98"/>
        </w:numPr>
        <w:rPr>
          <w:rFonts w:ascii="Arial" w:cs="Arial" w:eastAsia="Arial" w:hAnsi="Arial"/>
          <w:sz w:val="18"/>
          <w:szCs w:val="18"/>
          <w:color w:val="auto"/>
        </w:rPr>
      </w:pPr>
      <w:r>
        <w:rPr>
          <w:rFonts w:ascii="Arial" w:cs="Arial" w:eastAsia="Arial" w:hAnsi="Arial"/>
          <w:sz w:val="18"/>
          <w:szCs w:val="18"/>
          <w:color w:val="auto"/>
        </w:rPr>
        <w:t>each Product has been and shall be used, manufactured, imported, possessed, owned, warehoused, marketed, promoted, sold, labeled, furnished, distributed and marketed in accordance with all applicable Permits and Laws, except where a failure to do so could not reasonably be expected to have a Material Adverse Effect;</w:t>
      </w:r>
    </w:p>
    <w:p>
      <w:pPr>
        <w:spacing w:after="0" w:line="181" w:lineRule="exact"/>
        <w:rPr>
          <w:rFonts w:ascii="Arial" w:cs="Arial" w:eastAsia="Arial" w:hAnsi="Arial"/>
          <w:sz w:val="18"/>
          <w:szCs w:val="18"/>
          <w:color w:val="auto"/>
        </w:rPr>
      </w:pPr>
    </w:p>
    <w:p>
      <w:pPr>
        <w:ind w:left="1300" w:right="120" w:firstLine="653"/>
        <w:spacing w:after="0" w:line="277" w:lineRule="auto"/>
        <w:tabs>
          <w:tab w:leader="none" w:pos="2604" w:val="left"/>
        </w:tabs>
        <w:numPr>
          <w:ilvl w:val="2"/>
          <w:numId w:val="98"/>
        </w:numPr>
        <w:rPr>
          <w:rFonts w:ascii="Arial" w:cs="Arial" w:eastAsia="Arial" w:hAnsi="Arial"/>
          <w:sz w:val="18"/>
          <w:szCs w:val="18"/>
          <w:color w:val="auto"/>
        </w:rPr>
      </w:pPr>
      <w:r>
        <w:rPr>
          <w:rFonts w:ascii="Arial" w:cs="Arial" w:eastAsia="Arial" w:hAnsi="Arial"/>
          <w:sz w:val="18"/>
          <w:szCs w:val="18"/>
          <w:color w:val="auto"/>
        </w:rPr>
        <w:t>each Product has been and shall be manufactured in accordance with customary manufacturing practices, except where a failure to do so could not reasonably be expected to have a Material Adverse Effect;</w:t>
      </w:r>
    </w:p>
    <w:p>
      <w:pPr>
        <w:spacing w:after="0" w:line="170" w:lineRule="exact"/>
        <w:rPr>
          <w:rFonts w:ascii="Arial" w:cs="Arial" w:eastAsia="Arial" w:hAnsi="Arial"/>
          <w:sz w:val="18"/>
          <w:szCs w:val="18"/>
          <w:color w:val="auto"/>
        </w:rPr>
      </w:pPr>
    </w:p>
    <w:p>
      <w:pPr>
        <w:ind w:left="1300" w:right="160" w:firstLine="653"/>
        <w:spacing w:after="0" w:line="285" w:lineRule="auto"/>
        <w:tabs>
          <w:tab w:leader="none" w:pos="2613" w:val="left"/>
        </w:tabs>
        <w:numPr>
          <w:ilvl w:val="2"/>
          <w:numId w:val="98"/>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w:t>
      </w:r>
      <w:r>
        <w:rPr>
          <w:rFonts w:ascii="Arial" w:cs="Arial" w:eastAsia="Arial" w:hAnsi="Arial"/>
          <w:sz w:val="16"/>
          <w:szCs w:val="16"/>
          <w:u w:val="single" w:color="auto"/>
          <w:color w:val="auto"/>
        </w:rPr>
        <w:t>Section 6.23(a)(i)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with respect to any Product being tested or manufactured by the Borrower and its Subsidiaries, the Borrower and its Subsidiaries have received, and such Product shall be the subject of, all Required Permits needed in connection with the testing or manufacture of such Product as such testing is currently being conducted by or on behalf of the Borrower or such Subsidiary, neither the Borrower nor any Subsidiary has received any notice from any applicable Governmental Authority, specifically including the FDA, that such Governmental Authority is conducting an investigation or review of</w:t>
      </w:r>
    </w:p>
    <w:p>
      <w:pPr>
        <w:spacing w:after="0" w:line="2" w:lineRule="exact"/>
        <w:rPr>
          <w:rFonts w:ascii="Arial" w:cs="Arial" w:eastAsia="Arial" w:hAnsi="Arial"/>
          <w:sz w:val="16"/>
          <w:szCs w:val="16"/>
          <w:color w:val="auto"/>
        </w:rPr>
      </w:pPr>
    </w:p>
    <w:p>
      <w:pPr>
        <w:ind w:left="1300" w:right="220"/>
        <w:spacing w:after="0" w:line="255" w:lineRule="auto"/>
        <w:rPr>
          <w:rFonts w:ascii="Arial" w:cs="Arial" w:eastAsia="Arial" w:hAnsi="Arial"/>
          <w:sz w:val="16"/>
          <w:szCs w:val="16"/>
          <w:color w:val="auto"/>
        </w:rPr>
      </w:pPr>
      <w:r>
        <w:rPr>
          <w:rFonts w:ascii="Arial" w:cs="Arial" w:eastAsia="Arial" w:hAnsi="Arial"/>
          <w:sz w:val="18"/>
          <w:szCs w:val="18"/>
          <w:color w:val="auto"/>
        </w:rPr>
        <w:t>(A) the Borrower and its Subsidiaries’ manufacturing facilities and processes for such Product which have disclosed any material deficiencies or violations of Laws or the Required Permits related to the manufacture of such Product or (B) any such Required Permit or that any such Required Permit has been revoked or withdrawn, nor has any such Governmental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Authority issued any order or recommendation stating that the development, testing or manufacturing of such Product by the Borrower and its Subsidiaries should cease;</w:t>
      </w:r>
    </w:p>
    <w:p>
      <w:pPr>
        <w:spacing w:after="0" w:line="170" w:lineRule="exact"/>
        <w:rPr>
          <w:sz w:val="20"/>
          <w:szCs w:val="20"/>
          <w:color w:val="auto"/>
        </w:rPr>
      </w:pPr>
    </w:p>
    <w:p>
      <w:pPr>
        <w:ind w:left="1300" w:right="40" w:firstLine="653"/>
        <w:spacing w:after="0" w:line="254" w:lineRule="auto"/>
        <w:tabs>
          <w:tab w:leader="none" w:pos="262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6.23(a)(i)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with respect to any Product marketed or sold by the Borrower or any Subsidiary, the Borrower and its Subsidiaries shall have received, and such Product shall be the subject of, all Required Permits needed in connection with the provision, use, marketing and sales of such Product as currently being marketed or sold by the Borrower and its Subsidiaries, neither the Borrower nor any Subsidiary has received any notice from any applicable Governmental Authority, specifically including the FDA, that such Governmental Authority is conducting an investigation or review of any such Required Permit or approval or that any such Required Permit has been revoked or withdrawn, nor has any such Governmental Authority issued any order or recommendation stating that such marketing or sales of such Product cease or that such Product be withdrawn from the marketplace;</w:t>
      </w:r>
    </w:p>
    <w:p>
      <w:pPr>
        <w:spacing w:after="0" w:line="192" w:lineRule="exact"/>
        <w:rPr>
          <w:rFonts w:ascii="Arial" w:cs="Arial" w:eastAsia="Arial" w:hAnsi="Arial"/>
          <w:sz w:val="18"/>
          <w:szCs w:val="18"/>
          <w:color w:val="auto"/>
        </w:rPr>
      </w:pPr>
    </w:p>
    <w:p>
      <w:pPr>
        <w:ind w:left="1300" w:right="320" w:firstLine="653"/>
        <w:spacing w:after="0" w:line="259" w:lineRule="auto"/>
        <w:tabs>
          <w:tab w:leader="none" w:pos="2632" w:val="left"/>
        </w:tabs>
        <w:numPr>
          <w:ilvl w:val="0"/>
          <w:numId w:val="99"/>
        </w:numPr>
        <w:rPr>
          <w:rFonts w:ascii="Arial" w:cs="Arial" w:eastAsia="Arial" w:hAnsi="Arial"/>
          <w:sz w:val="18"/>
          <w:szCs w:val="18"/>
          <w:color w:val="auto"/>
        </w:rPr>
      </w:pPr>
      <w:r>
        <w:rPr>
          <w:rFonts w:ascii="Arial" w:cs="Arial" w:eastAsia="Arial" w:hAnsi="Arial"/>
          <w:sz w:val="18"/>
          <w:szCs w:val="18"/>
          <w:color w:val="auto"/>
        </w:rPr>
        <w:t>neither the Borrower nor any Subsidiary has experienced any significant failures in the manufacturing of any Product such that the amount of such Product successfully manufactured by the Borrower or any of its Subsidiaries in accordance with all specifications thereof and the Required Permits related thereto in any month shall decrease significantly with respect to the quantities of such Product produced in the prior month; and</w:t>
      </w:r>
    </w:p>
    <w:p>
      <w:pPr>
        <w:spacing w:after="0" w:line="186" w:lineRule="exact"/>
        <w:rPr>
          <w:rFonts w:ascii="Arial" w:cs="Arial" w:eastAsia="Arial" w:hAnsi="Arial"/>
          <w:sz w:val="18"/>
          <w:szCs w:val="18"/>
          <w:color w:val="auto"/>
        </w:rPr>
      </w:pPr>
    </w:p>
    <w:p>
      <w:pPr>
        <w:ind w:left="1300" w:right="240" w:firstLine="653"/>
        <w:spacing w:after="0" w:line="342" w:lineRule="auto"/>
        <w:tabs>
          <w:tab w:leader="none" w:pos="2613"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none of the Products is currently, and have not for the past six (6) years been, the subject of any claim or allegation, formal or informal, that any Product, or its use, is defective or has resulted in or proximately caused any injury to any Person or property.</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6"/>
          <w:szCs w:val="16"/>
          <w:u w:val="single" w:color="auto"/>
          <w:color w:val="auto"/>
        </w:rPr>
        <w:t>Labor Matters.</w:t>
      </w:r>
    </w:p>
    <w:p>
      <w:pPr>
        <w:spacing w:after="0" w:line="225"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There are no existing or threatened strikes, lockouts or other labor disputes involving the Borrower or any Subsidiary that individually or in the aggregate could reasonably be expected to have a Material Adverse Effect. Hours worked by and payment made to employees of the Borrower and its Subsidiaries are not in violation of the Fair Labor Standards Act or any other applicable law, rule or regulation dealing with such matters.</w:t>
      </w:r>
    </w:p>
    <w:p>
      <w:pPr>
        <w:sectPr>
          <w:pgSz w:w="11900" w:h="16838" w:orient="portrait"/>
          <w:cols w:equalWidth="0" w:num="1">
            <w:col w:w="11420"/>
          </w:cols>
          <w:pgMar w:left="240" w:top="125" w:right="239" w:bottom="0" w:gutter="0" w:footer="0" w:header="0"/>
        </w:sectPr>
      </w:pPr>
    </w:p>
    <w:bookmarkStart w:id="72" w:name="page73"/>
    <w:bookmarkEnd w:id="72"/>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the Funding Date and thereafter, so long as any Lender shall have any Commitment hereunder, any Loan or other Obligation hereunder shall remain unpaid or unsatisfied (other than contingent indemnification obligations for which no claim has been asserted), the Loan Parties shall and shall cause each Subsidiary to:</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u w:val="single" w:color="auto"/>
          <w:color w:val="auto"/>
        </w:rPr>
        <w:t>Financial Statements.</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 and the Required Lenders: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as soon as available, and in any event within ninety (90) days after the end of each fiscal year of the Borrower (or, if earlier, fifteen</w:t>
      </w:r>
    </w:p>
    <w:p>
      <w:pPr>
        <w:spacing w:after="0" w:line="46" w:lineRule="exact"/>
        <w:rPr>
          <w:rFonts w:ascii="Arial" w:cs="Arial" w:eastAsia="Arial" w:hAnsi="Arial"/>
          <w:sz w:val="16"/>
          <w:szCs w:val="16"/>
          <w:color w:val="auto"/>
        </w:rPr>
      </w:pPr>
    </w:p>
    <w:p>
      <w:pPr>
        <w:ind w:left="660" w:right="140" w:hanging="4"/>
        <w:spacing w:after="0" w:line="269" w:lineRule="auto"/>
        <w:tabs>
          <w:tab w:leader="none" w:pos="100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days after the date required to be filed with the SEC), a consolidated balance sheet of the Borrower and its Subsidiaries as at the end of such fiscal year, and the related consolidated statements of income or operations (including, without limitation, Consolidated Revenues), changes in stockholders’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80" w:lineRule="exact"/>
        <w:rPr>
          <w:rFonts w:ascii="Arial" w:cs="Arial" w:eastAsia="Arial" w:hAnsi="Arial"/>
          <w:sz w:val="17"/>
          <w:szCs w:val="17"/>
          <w:color w:val="auto"/>
        </w:rPr>
      </w:pPr>
    </w:p>
    <w:p>
      <w:pPr>
        <w:ind w:left="660" w:right="20" w:firstLine="645"/>
        <w:spacing w:after="0" w:line="271" w:lineRule="auto"/>
        <w:tabs>
          <w:tab w:leader="none" w:pos="196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as soon as available, and in any event within forty-five (45) days after the end of each of the first three fiscal quarters of each fiscal year of the Borrower (or, if earlier, fifteen (15) days after the date required to be filed with the SEC), a consolidated balance sheet of the Borrower and its Subsidiaries as at the end of such fiscal quarter, and the related consolidated statements of income or operations (including, without limitation, Consolidated Revenues), changes in stockholders’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audit adjustments and the absence of footnotes.</w:t>
      </w:r>
    </w:p>
    <w:p>
      <w:pPr>
        <w:spacing w:after="0" w:line="1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Notwithstanding the foregoing, (x) in the event that the Borrower delivers to the Administrative Agent an Annual Report for the Borrower on Form 10-K for any fiscal year, as filed with the SEC, within ninety (90) days after the end of such fiscal year (or, if earlier, fifteen (15) days after the date required to be filed with the SEC), such Form 10-K shall satisfy all requirements of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with respect to such fiscal year to the extent that it contains the information and report and opinion required by such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and such report and opinion does not contain any “going concern” or like qualification or exception or any qualification or exception as to the scope of audit (it being understood and agreed that the Borrower’s Annual Report on Form 10-K for the fiscal year ended December 31, 2015 delivered to the Administrative Agent and the Lenders prior to the Effective Date (the “</w:t>
      </w:r>
      <w:r>
        <w:rPr>
          <w:rFonts w:ascii="Arial" w:cs="Arial" w:eastAsia="Arial" w:hAnsi="Arial"/>
          <w:sz w:val="16"/>
          <w:szCs w:val="16"/>
          <w:u w:val="single" w:color="auto"/>
          <w:color w:val="auto"/>
        </w:rPr>
        <w:t>2015 10-K</w:t>
      </w:r>
      <w:r>
        <w:rPr>
          <w:rFonts w:ascii="Arial" w:cs="Arial" w:eastAsia="Arial" w:hAnsi="Arial"/>
          <w:sz w:val="16"/>
          <w:szCs w:val="16"/>
          <w:color w:val="auto"/>
        </w:rPr>
        <w:t xml:space="preserve">”) is in a form sufficient to satisfy the requirements of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and that any Annual Report for the Borrower on Form 10-K delivered to the Administrative Agent for any fiscal year ending after the Funding Date shall be in a form sufficient to satisfy the requirements of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so long as (i) such Annual Report on Form 10-K is in a form substantially similar to the 2015 10-K (as determined by the Administrative Agent in its reasonable discretion) and (ii) the report and opinion of an independent certified public accountant of nationally recognized standing reasonably acceptable to the Required Lenders delivered in connection therewith is prepared in accordance with generally accepted auditing standards and not subject to any “going concern” or like qualification or exception or any qualification or exception as to the scope of such audit) and (y) in the event that the Borrower delivers to the Administrative Agent a Quarterly Report for the Borrower on Form 10-Q for any fiscal quarter, as filed with the SEC, within forty-five (45) days after the end of such fiscal quarter (or, if earlier, fifteen (15) days after the date required to be filed with the SEC), such Form 10-Q shall satisfy all requirements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with respect to such fiscal quarter to the extent that it contains the information required by such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(it being understood and agreed that the Borrower’s Quarterly Report on Form 10-Q for the fiscal quarter ended September 30, 2015 delivered to the Administrative Agent and the Lenders prior to the Effective Date (the “</w:t>
      </w:r>
      <w:r>
        <w:rPr>
          <w:rFonts w:ascii="Arial" w:cs="Arial" w:eastAsia="Arial" w:hAnsi="Arial"/>
          <w:sz w:val="16"/>
          <w:szCs w:val="16"/>
          <w:u w:val="single" w:color="auto"/>
          <w:color w:val="auto"/>
        </w:rPr>
        <w:t>2015 Q3 10-Q</w:t>
      </w:r>
      <w:r>
        <w:rPr>
          <w:rFonts w:ascii="Arial" w:cs="Arial" w:eastAsia="Arial" w:hAnsi="Arial"/>
          <w:sz w:val="16"/>
          <w:szCs w:val="16"/>
          <w:color w:val="auto"/>
        </w:rPr>
        <w:t>”) is in a form sufficient to satisfy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the requirements of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that any Quarterly Report for the Borrower on Form 10-Q delivered to the Administrative Agent after the Funding Date shall be in a form sufficient to satisfy the requirements of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so long as (i) such Quarterly Report on Form 10-Q is in a form substantially similar to the 2015 Q3 10-Q (as determined by the Administrative Agent in its reasonable discretion) and (ii) such Quarterly Report on Form 10-Q is subject only to normal year-end audit adjustments and the absence of footnotes); in each case to the extent that information contained in such Form 10-K or Form 10-Q satisfies the requirements of </w:t>
      </w:r>
      <w:r>
        <w:rPr>
          <w:rFonts w:ascii="Arial" w:cs="Arial" w:eastAsia="Arial" w:hAnsi="Arial"/>
          <w:sz w:val="17"/>
          <w:szCs w:val="17"/>
          <w:u w:val="single" w:color="auto"/>
          <w:color w:val="auto"/>
        </w:rPr>
        <w:t>paragraphs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as the case may be.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u w:val="single" w:color="auto"/>
          <w:color w:val="auto"/>
        </w:rPr>
        <w:t>Certificates; Other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 and the Required Lenders:</w:t>
      </w:r>
    </w:p>
    <w:p>
      <w:pPr>
        <w:spacing w:after="0" w:line="225" w:lineRule="exact"/>
        <w:rPr>
          <w:sz w:val="20"/>
          <w:szCs w:val="20"/>
          <w:color w:val="auto"/>
        </w:rPr>
      </w:pPr>
    </w:p>
    <w:p>
      <w:pPr>
        <w:ind w:left="660" w:firstLine="645"/>
        <w:spacing w:after="0" w:line="288" w:lineRule="auto"/>
        <w:tabs>
          <w:tab w:leader="none" w:pos="195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 a duly completed Compliance Certificate signed by the chief executive officer, chief financial officer, treasurer or controller which is a Responsible Officer of the Borrower, including (A) information regarding the amount of all Dispositions, Involuntary Dispositions, Debt Issuances and Acquisitions that occurred during the period covered by such Compliance Certificate, (B) a certification as to whether the Loan Parties and their respective Subsidiaries have performed and observed each covenant and condition of the Loan Documents applicable to it during the period covered by the Compliance Certificate (or, if not, a listing of the conditions or covenants that have not been performed or observed and the nature and status of each such Default), (C) a certification of compliance with the financial covenants set forth in </w:t>
      </w:r>
      <w:r>
        <w:rPr>
          <w:rFonts w:ascii="Arial" w:cs="Arial" w:eastAsia="Arial" w:hAnsi="Arial"/>
          <w:sz w:val="16"/>
          <w:szCs w:val="16"/>
          <w:u w:val="single" w:color="auto"/>
          <w:color w:val="auto"/>
        </w:rPr>
        <w:t>Sections 8.16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8.17</w:t>
      </w:r>
      <w:r>
        <w:rPr>
          <w:rFonts w:ascii="Arial" w:cs="Arial" w:eastAsia="Arial" w:hAnsi="Arial"/>
          <w:sz w:val="16"/>
          <w:szCs w:val="16"/>
          <w:color w:val="auto"/>
        </w:rPr>
        <w:t>, including financial covenant analyses and calculation for the period covered by the Compliance Certificate, (D) a listing of (I) all applications by any Loan Party, if any, for Copyrights, Patents or Trademarks made since the date of the prior certificate (or, in the case of the first such certificate, the Effective Date), (II) all issuances of registrations or letters on existing applications by any Loan Party for Copyrights, Patents and Trademarks received since the date of the prior</w:t>
      </w:r>
    </w:p>
    <w:p>
      <w:pPr>
        <w:sectPr>
          <w:pgSz w:w="11900" w:h="16930" w:orient="portrait"/>
          <w:cols w:equalWidth="0" w:num="1">
            <w:col w:w="11420"/>
          </w:cols>
          <w:pgMar w:left="240" w:top="125" w:right="239" w:bottom="0" w:gutter="0" w:footer="0" w:header="0"/>
        </w:sectPr>
      </w:pPr>
    </w:p>
    <w:bookmarkStart w:id="73" w:name="page74"/>
    <w:bookmarkEnd w:id="73"/>
    <w:p>
      <w:pPr>
        <w:spacing w:after="0" w:line="103" w:lineRule="exact"/>
        <w:rPr>
          <w:sz w:val="20"/>
          <w:szCs w:val="20"/>
          <w:color w:val="auto"/>
        </w:rPr>
      </w:pPr>
    </w:p>
    <w:p>
      <w:pPr>
        <w:ind w:left="660" w:right="40"/>
        <w:spacing w:after="0" w:line="287" w:lineRule="auto"/>
        <w:rPr>
          <w:sz w:val="20"/>
          <w:szCs w:val="20"/>
          <w:color w:val="auto"/>
        </w:rPr>
      </w:pPr>
      <w:r>
        <w:rPr>
          <w:rFonts w:ascii="Arial" w:cs="Arial" w:eastAsia="Arial" w:hAnsi="Arial"/>
          <w:sz w:val="16"/>
          <w:szCs w:val="16"/>
          <w:color w:val="auto"/>
        </w:rPr>
        <w:t xml:space="preserve">certificate (or, in the case of the first such certificate, the Effective Date), (III) all Trademark Licenses, Copyright Licenses and Patent Licenses entered into by any Loan Party since the date of the prior certificate (or, in the case of the first such certificate, the Effective Date) and (IV) such supplements to </w:t>
      </w:r>
      <w:r>
        <w:rPr>
          <w:rFonts w:ascii="Arial" w:cs="Arial" w:eastAsia="Arial" w:hAnsi="Arial"/>
          <w:sz w:val="16"/>
          <w:szCs w:val="16"/>
          <w:u w:val="single" w:color="auto"/>
          <w:color w:val="auto"/>
        </w:rPr>
        <w:t>Schedule 6.17</w:t>
      </w:r>
      <w:r>
        <w:rPr>
          <w:rFonts w:ascii="Arial" w:cs="Arial" w:eastAsia="Arial" w:hAnsi="Arial"/>
          <w:sz w:val="16"/>
          <w:szCs w:val="16"/>
          <w:color w:val="auto"/>
        </w:rPr>
        <w:t xml:space="preserve"> as are necessary to cause such schedule to be true and complete as of the date of such certificate, (ii) attaching the insurance binder or other evidence of insurance for any insurance coverage of any Loan Party or any Subsidiary that was renewed, replaced or modified during the period covered by such financial statements, (iii) a copy of management’s discussion and analysis with respect to such financial statements, (iv) a list of all litigations, arbitrations or governmental investigations or proceedings which were instituted during the period covered by such financial statements or which, to the knowledge of the Borrower, are threatened against any Loan Party or any Subsidiary which, in any case, could reasonably be expected to result in losses and/or expenses (other than, for the avoidance of doubt, legal and court fees, costs and expenses) in excess of the Threshold Amount, together with a description setting forth the details thereof and stating what action the applicable Loan Party or Subsidiary has taken and proposes to take with respect thereto and (v) a list of any and all material changes in accounting policies or financial reporting practices by the Borrower or any Subsidiary during the period covered by such financial statements, together with a description setting forth the details thereof and stating what action the applicable Loan Party or Subsidiary has taken and proposes to take with respect thereto.</w:t>
      </w:r>
    </w:p>
    <w:p>
      <w:pPr>
        <w:spacing w:after="0" w:line="169" w:lineRule="exact"/>
        <w:rPr>
          <w:sz w:val="20"/>
          <w:szCs w:val="20"/>
          <w:color w:val="auto"/>
        </w:rPr>
      </w:pPr>
    </w:p>
    <w:p>
      <w:pPr>
        <w:ind w:left="660" w:right="140" w:firstLine="645"/>
        <w:spacing w:after="0" w:line="227" w:lineRule="auto"/>
        <w:tabs>
          <w:tab w:leader="none" w:pos="196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soon as available, but in any event no later than February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each calendar year, an annual business plan and budget of the Borrower and its Subsidiaries on a consolidated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00"/>
        <w:spacing w:after="0" w:line="264" w:lineRule="auto"/>
        <w:rPr>
          <w:sz w:val="20"/>
          <w:szCs w:val="20"/>
          <w:color w:val="auto"/>
        </w:rPr>
      </w:pPr>
      <w:r>
        <w:rPr>
          <w:rFonts w:ascii="Arial" w:cs="Arial" w:eastAsia="Arial" w:hAnsi="Arial"/>
          <w:sz w:val="18"/>
          <w:szCs w:val="18"/>
          <w:color w:val="auto"/>
        </w:rPr>
        <w:t>basis, including forecasts prepared by management of the Borrower, in form reasonably satisfactory to the Administrative Agent, of consolidated balance sheets and statements of income or operations and cash flows of the Borrower and its Subsidiaries on a quarterly basis for the then current fiscal year;</w:t>
      </w:r>
    </w:p>
    <w:p>
      <w:pPr>
        <w:spacing w:after="0" w:line="181" w:lineRule="exact"/>
        <w:rPr>
          <w:sz w:val="20"/>
          <w:szCs w:val="20"/>
          <w:color w:val="auto"/>
        </w:rPr>
      </w:pPr>
    </w:p>
    <w:p>
      <w:pPr>
        <w:ind w:left="660" w:right="20" w:firstLine="645"/>
        <w:spacing w:after="0" w:line="259" w:lineRule="auto"/>
        <w:tabs>
          <w:tab w:leader="none" w:pos="196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equityholders of any Loan Party, and copies of all annual, regular, periodic and special reports and registration statements which a Loan Party may file or be required to file with the SEC under Section 13 or 15(d) of the Securities Exchange Act of 1934, and not otherwise required to be delivered to the Administrative Agent pursuant hereto;</w:t>
      </w:r>
    </w:p>
    <w:p>
      <w:pPr>
        <w:spacing w:after="0" w:line="186" w:lineRule="exact"/>
        <w:rPr>
          <w:rFonts w:ascii="Arial" w:cs="Arial" w:eastAsia="Arial" w:hAnsi="Arial"/>
          <w:sz w:val="18"/>
          <w:szCs w:val="18"/>
          <w:color w:val="auto"/>
        </w:rPr>
      </w:pPr>
    </w:p>
    <w:p>
      <w:pPr>
        <w:ind w:left="660" w:right="220" w:firstLine="645"/>
        <w:spacing w:after="0" w:line="264" w:lineRule="auto"/>
        <w:tabs>
          <w:tab w:leader="none" w:pos="19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as soon as available, copies of any detailed audit reports or management letters or recommendations submitted to the Board of Directors (or the audit committee of the Board of Directors) of the Borrower or any Subsidiary by independent accountants in connection with the accounts or books of the Borrower or any Subsidiary, or any audit of any of them;</w:t>
      </w:r>
    </w:p>
    <w:p>
      <w:pPr>
        <w:spacing w:after="0" w:line="181" w:lineRule="exact"/>
        <w:rPr>
          <w:rFonts w:ascii="Arial" w:cs="Arial" w:eastAsia="Arial" w:hAnsi="Arial"/>
          <w:sz w:val="18"/>
          <w:szCs w:val="18"/>
          <w:color w:val="auto"/>
        </w:rPr>
      </w:pPr>
    </w:p>
    <w:p>
      <w:pPr>
        <w:ind w:left="660" w:right="60" w:firstLine="645"/>
        <w:spacing w:after="0" w:line="273" w:lineRule="auto"/>
        <w:tabs>
          <w:tab w:leader="none" w:pos="196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concurrently with delivery to the Board of Directors of the Borrower (or any committee of such Board of Directors), copies of all materials furnished to the Board of Directors of the Borrower (or any committee of such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it is understood and agreed that the Borrower may (x) withhold any information if access to such information may be (in the good faith determination of the Board of Directors of the Borrower) subject to the attorney-client privilege between the Borrower or any other Loan Party and its counsel, (y) redact or withhold any such material to exclude information that such Board of Directors deems (in its good faith determination) to be competitively sensitive or a trade secret and (z) withhold any information if the disclosure thereof is prohibited by any applicable Law;</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96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promptly, and in any event within five (5) Business Days after receipt thereof by any Loan Party or any Subsidiary thereof,</w:t>
      </w:r>
    </w:p>
    <w:p>
      <w:pPr>
        <w:spacing w:after="0" w:line="34" w:lineRule="exact"/>
        <w:rPr>
          <w:rFonts w:ascii="Arial" w:cs="Arial" w:eastAsia="Arial" w:hAnsi="Arial"/>
          <w:sz w:val="17"/>
          <w:szCs w:val="17"/>
          <w:color w:val="auto"/>
        </w:rPr>
      </w:pPr>
    </w:p>
    <w:p>
      <w:pPr>
        <w:jc w:val="both"/>
        <w:ind w:left="660" w:right="100" w:hanging="4"/>
        <w:spacing w:after="0" w:line="254" w:lineRule="auto"/>
        <w:tabs>
          <w:tab w:leader="none" w:pos="8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 and (ii) copies of any material written correspondence or any other material written communication from the FDA or any other regulatory body;</w:t>
      </w:r>
    </w:p>
    <w:p>
      <w:pPr>
        <w:spacing w:after="0" w:line="189" w:lineRule="exact"/>
        <w:rPr>
          <w:rFonts w:ascii="Arial" w:cs="Arial" w:eastAsia="Arial" w:hAnsi="Arial"/>
          <w:sz w:val="18"/>
          <w:szCs w:val="18"/>
          <w:color w:val="auto"/>
        </w:rPr>
      </w:pPr>
    </w:p>
    <w:p>
      <w:pPr>
        <w:ind w:left="660" w:right="260" w:firstLine="645"/>
        <w:spacing w:after="0" w:line="342" w:lineRule="auto"/>
        <w:tabs>
          <w:tab w:leader="none" w:pos="196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as soon as practicable, and in any event not later than the date that is five (5) Business Days after each month end, copies of the most recent monthly statements for each deposit account and other bank account or securities account of each Loan Party; and</w:t>
      </w:r>
    </w:p>
    <w:p>
      <w:pPr>
        <w:spacing w:after="0" w:line="123" w:lineRule="exact"/>
        <w:rPr>
          <w:rFonts w:ascii="Arial" w:cs="Arial" w:eastAsia="Arial" w:hAnsi="Arial"/>
          <w:sz w:val="16"/>
          <w:szCs w:val="16"/>
          <w:color w:val="auto"/>
        </w:rPr>
      </w:pPr>
    </w:p>
    <w:p>
      <w:pPr>
        <w:ind w:left="660" w:right="20" w:firstLine="645"/>
        <w:spacing w:after="0" w:line="308" w:lineRule="auto"/>
        <w:tabs>
          <w:tab w:leader="none" w:pos="197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promptly, such additional information regarding the business, financial or corporate affairs of any Loan Party or any Subsidiary, or compliance with the terms of the Loan Documents, as the Administrative Agent or any Lender may from time to time request.</w:t>
      </w:r>
    </w:p>
    <w:p>
      <w:pPr>
        <w:spacing w:after="0" w:line="14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may be delivered electronically and if so delivered, shall be deemed to have been delivered on the date (i) on which the Borrower posts such documents, or provides a link thereto on the Borrower’s website on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for delivery by a Lender, and each Lender shall be solely responsible for requesting delivery to it or maintaining its copies of such documents.</w:t>
      </w:r>
    </w:p>
    <w:p>
      <w:pPr>
        <w:spacing w:after="0" w:line="178"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The Borrower hereby acknowledges that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if requested by the Administrative Agent (x) it will in good faith identify that portion of the materials and/or information provided by, or to be provided by, or on behalf of the Borrower hereunder that does not constitute material non-public information with respect to the Borrower or its Affiliates or their respective securities (the “</w:t>
      </w:r>
      <w:r>
        <w:rPr>
          <w:rFonts w:ascii="Arial" w:cs="Arial" w:eastAsia="Arial" w:hAnsi="Arial"/>
          <w:sz w:val="16"/>
          <w:szCs w:val="16"/>
          <w:u w:val="single" w:color="auto"/>
          <w:color w:val="auto"/>
        </w:rPr>
        <w:t>Public</w:t>
      </w:r>
    </w:p>
    <w:p>
      <w:pPr>
        <w:sectPr>
          <w:pgSz w:w="11900" w:h="16941" w:orient="portrait"/>
          <w:cols w:equalWidth="0" w:num="1">
            <w:col w:w="11400"/>
          </w:cols>
          <w:pgMar w:left="240" w:top="125" w:right="259" w:bottom="0" w:gutter="0" w:footer="0" w:header="0"/>
        </w:sectPr>
      </w:pPr>
    </w:p>
    <w:bookmarkStart w:id="74" w:name="page75"/>
    <w:bookmarkEnd w:id="74"/>
    <w:p>
      <w:pPr>
        <w:spacing w:after="0" w:line="13"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Borrower Materials</w:t>
      </w:r>
      <w:r>
        <w:rPr>
          <w:rFonts w:ascii="Arial" w:cs="Arial" w:eastAsia="Arial" w:hAnsi="Arial"/>
          <w:sz w:val="18"/>
          <w:szCs w:val="18"/>
          <w:color w:val="auto"/>
        </w:rPr>
        <w:t>”) and (y) it will clearly and conspicuously mark all Public Borrower Materials “PUBLIC” which, at a minimum, shall mean that the word “PUBLIC” shall appear prominently on the first page thereof (it being understood that by marking Public Borrower Materials “PUBLIC,” the Borrower shall be deemed to have authorized the Administrative Agent, any Affiliate thereof and the Lenders to treat such Public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Public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left="660" w:right="120" w:firstLine="645"/>
        <w:spacing w:after="0" w:line="277" w:lineRule="auto"/>
        <w:tabs>
          <w:tab w:leader="none" w:pos="195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(and in any event, within three (3) Business Days after a Responsible Officer of the Borrower or any Subsidiary obtains knowledge thereof) notify the Administrative Agent and each Lender of the occurrence of any Default.</w:t>
      </w:r>
    </w:p>
    <w:p>
      <w:pPr>
        <w:spacing w:after="0" w:line="170" w:lineRule="exact"/>
        <w:rPr>
          <w:rFonts w:ascii="Arial" w:cs="Arial" w:eastAsia="Arial" w:hAnsi="Arial"/>
          <w:sz w:val="18"/>
          <w:szCs w:val="18"/>
          <w:color w:val="auto"/>
        </w:rPr>
      </w:pPr>
    </w:p>
    <w:p>
      <w:pPr>
        <w:jc w:val="both"/>
        <w:ind w:left="660" w:right="200" w:firstLine="645"/>
        <w:spacing w:after="0" w:line="264" w:lineRule="auto"/>
        <w:tabs>
          <w:tab w:leader="none" w:pos="19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a Responsible Officer of the Borrower or any Subsidiary obtains knowledge thereof) notify the Administrative Agent and each Lender of any matter that has resulted or could reasonably be expected to result in a Material Adverse Effect.</w:t>
      </w:r>
    </w:p>
    <w:p>
      <w:pPr>
        <w:spacing w:after="0" w:line="181" w:lineRule="exact"/>
        <w:rPr>
          <w:rFonts w:ascii="Arial" w:cs="Arial" w:eastAsia="Arial" w:hAnsi="Arial"/>
          <w:sz w:val="18"/>
          <w:szCs w:val="18"/>
          <w:color w:val="auto"/>
        </w:rPr>
      </w:pPr>
    </w:p>
    <w:p>
      <w:pPr>
        <w:ind w:left="660" w:right="180" w:firstLine="645"/>
        <w:spacing w:after="0" w:line="277" w:lineRule="auto"/>
        <w:tabs>
          <w:tab w:leader="none" w:pos="196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(and in any event, within five (5) Business Days after a Responsible Officer of the Borrower or any Subsidiary obtains knowledge thereof) notify the Administrative Agent and each Lender of the occurrence of any ERISA Event.</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9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(and in any event, within two (2) Business Days after a Responsible Officer of the Borrower or any Subsidiary obtains knowledge thereof) notify the Administrative Agent and each Lender of the occurrence of any default or event of default under any Permitted Senior Revolving Credit Document.</w:t>
      </w:r>
    </w:p>
    <w:p>
      <w:pPr>
        <w:spacing w:after="0" w:line="18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Each notice pursuant to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applicable Loan Party has taken and proposes to take with respect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thereto. Each notice pursuant to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6"/>
          <w:szCs w:val="16"/>
          <w:u w:val="single" w:color="auto"/>
          <w:color w:val="auto"/>
        </w:rPr>
        <w:t>Payment of Obligations.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Loan Party or such Subsidiary, (b) all lawful claims which, if unpaid, would by law become a Lien upon its property (other than Permitted Liens) and (c) all Indebtedness, as and when due and payable, but subject to any subordination provisions contained in any instrument or agreement evidencing such Indebtedness.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Preservation of Existence, Etc.</w:t>
      </w:r>
    </w:p>
    <w:p>
      <w:pPr>
        <w:spacing w:after="0" w:line="225" w:lineRule="exact"/>
        <w:rPr>
          <w:sz w:val="20"/>
          <w:szCs w:val="20"/>
          <w:color w:val="auto"/>
        </w:rPr>
      </w:pPr>
    </w:p>
    <w:p>
      <w:pPr>
        <w:ind w:left="660" w:firstLine="645"/>
        <w:spacing w:after="0" w:line="277" w:lineRule="auto"/>
        <w:tabs>
          <w:tab w:leader="none" w:pos="195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645"/>
        <w:spacing w:after="0" w:line="277" w:lineRule="auto"/>
        <w:tabs>
          <w:tab w:leader="none" w:pos="19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Preserve, renew and maintain in full force and effect its good standing under the Laws of the jurisdiction of its organization, except to the extent the failure to do so could not reasonably be expected to have a Material Adverse Effect.</w:t>
      </w:r>
    </w:p>
    <w:p>
      <w:pPr>
        <w:spacing w:after="0" w:line="170" w:lineRule="exact"/>
        <w:rPr>
          <w:rFonts w:ascii="Arial" w:cs="Arial" w:eastAsia="Arial" w:hAnsi="Arial"/>
          <w:sz w:val="18"/>
          <w:szCs w:val="18"/>
          <w:color w:val="auto"/>
        </w:rPr>
      </w:pPr>
    </w:p>
    <w:p>
      <w:pPr>
        <w:ind w:left="660" w:firstLine="645"/>
        <w:spacing w:after="0" w:line="342" w:lineRule="auto"/>
        <w:tabs>
          <w:tab w:leader="none" w:pos="196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Take all commercially reasonable action to maintain all rights, privileges, permits, licenses and franchises necessary or desirable in the normal conduct of its business, except to the extent that the failure to do so could not reasonably be expected to have a Material Adverse Effect.</w:t>
      </w:r>
    </w:p>
    <w:p>
      <w:pPr>
        <w:spacing w:after="0" w:line="123" w:lineRule="exact"/>
        <w:rPr>
          <w:rFonts w:ascii="Arial" w:cs="Arial" w:eastAsia="Arial" w:hAnsi="Arial"/>
          <w:sz w:val="16"/>
          <w:szCs w:val="16"/>
          <w:color w:val="auto"/>
        </w:rPr>
      </w:pPr>
    </w:p>
    <w:p>
      <w:pPr>
        <w:ind w:left="660" w:right="140" w:firstLine="645"/>
        <w:spacing w:after="0" w:line="286" w:lineRule="auto"/>
        <w:tabs>
          <w:tab w:leader="none" w:pos="196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Preserve or renew all of its registered IP Rights and all IP Rights in respect of which an application for registration has been filed or recorded with the United States Copyright Office or the United States Patent and Trademark Office, in each case, the non-preservation or non-renewal of which could reasonably be expected, individually or in the aggregate, to have a Material Adverse Effect.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u w:val="single" w:color="auto"/>
          <w:color w:val="auto"/>
        </w:rPr>
        <w:t>Maintenance of Properties.</w:t>
      </w:r>
    </w:p>
    <w:p>
      <w:pPr>
        <w:spacing w:after="0" w:line="225" w:lineRule="exact"/>
        <w:rPr>
          <w:sz w:val="20"/>
          <w:szCs w:val="20"/>
          <w:color w:val="auto"/>
        </w:rPr>
      </w:pPr>
    </w:p>
    <w:p>
      <w:pPr>
        <w:ind w:left="660" w:right="540" w:firstLine="645"/>
        <w:spacing w:after="0" w:line="277" w:lineRule="auto"/>
        <w:tabs>
          <w:tab w:leader="none" w:pos="195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Maintain, preserve and protect all of its material properties and equipment necessary in the operation of its business in good working order and condition, ordinary wear and tear excepted.</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Make all necessary repairs thereto and renewals and replacements thereof, except where the failure to do so could not reasonably be expected to have a Material Adverse Effect.</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Use the standard of care typical in the industry in the operation and maintenance of its facilities.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u w:val="single" w:color="auto"/>
          <w:color w:val="auto"/>
        </w:rPr>
        <w:t>Maintenance of Insurance.</w:t>
      </w:r>
    </w:p>
    <w:p>
      <w:pPr>
        <w:spacing w:after="0" w:line="225" w:lineRule="exact"/>
        <w:rPr>
          <w:sz w:val="20"/>
          <w:szCs w:val="20"/>
          <w:color w:val="auto"/>
        </w:rPr>
      </w:pPr>
    </w:p>
    <w:p>
      <w:pPr>
        <w:ind w:left="660" w:right="80" w:firstLine="645"/>
        <w:spacing w:after="0" w:line="342" w:lineRule="auto"/>
        <w:tabs>
          <w:tab w:leader="none" w:pos="195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Maintain with financially sound and reputable insurance companies that are not Affiliates of the Borrower or any Subsidiary insurance with respect to its properties and business against loss or damage of the kinds customarily insured against by Persons engaged in the same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or similar business, of such types and in such amounts as are customarily carried under similar circumstances by such other Persons.</w:t>
      </w:r>
    </w:p>
    <w:p>
      <w:pPr>
        <w:sectPr>
          <w:pgSz w:w="11900" w:h="16851" w:orient="portrait"/>
          <w:cols w:equalWidth="0" w:num="1">
            <w:col w:w="11400"/>
          </w:cols>
          <w:pgMar w:left="240" w:top="125" w:right="259" w:bottom="0" w:gutter="0" w:footer="0" w:header="0"/>
          <w:type w:val="continuous"/>
        </w:sectPr>
      </w:pPr>
    </w:p>
    <w:bookmarkStart w:id="75" w:name="page76"/>
    <w:bookmarkEnd w:id="75"/>
    <w:p>
      <w:pPr>
        <w:spacing w:after="0" w:line="39" w:lineRule="exact"/>
        <w:rPr>
          <w:sz w:val="20"/>
          <w:szCs w:val="20"/>
          <w:color w:val="auto"/>
        </w:rPr>
      </w:pPr>
    </w:p>
    <w:p>
      <w:pPr>
        <w:ind w:left="660" w:firstLine="645"/>
        <w:spacing w:after="0" w:line="276" w:lineRule="auto"/>
        <w:tabs>
          <w:tab w:leader="none" w:pos="196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172" w:lineRule="exact"/>
        <w:rPr>
          <w:rFonts w:ascii="Arial" w:cs="Arial" w:eastAsia="Arial" w:hAnsi="Arial"/>
          <w:sz w:val="17"/>
          <w:szCs w:val="17"/>
          <w:color w:val="auto"/>
        </w:rPr>
      </w:pPr>
    </w:p>
    <w:p>
      <w:pPr>
        <w:ind w:left="660" w:right="80" w:firstLine="645"/>
        <w:spacing w:after="0" w:line="276" w:lineRule="auto"/>
        <w:tabs>
          <w:tab w:leader="none" w:pos="196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(30) days (or such lesser amount as the Administrative Agent may agree) prior written notice before any such policy or policies shall be altered or canceled.</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7.08</w:t>
      </w:r>
      <w:r>
        <w:rPr>
          <w:sz w:val="20"/>
          <w:szCs w:val="20"/>
          <w:color w:val="auto"/>
        </w:rPr>
        <w:tab/>
      </w:r>
      <w:r>
        <w:rPr>
          <w:rFonts w:ascii="Arial" w:cs="Arial" w:eastAsia="Arial" w:hAnsi="Arial"/>
          <w:sz w:val="16"/>
          <w:szCs w:val="16"/>
          <w:u w:val="single" w:color="auto"/>
          <w:color w:val="auto"/>
        </w:rPr>
        <w:t>Compliance with Laws.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7.09</w:t>
      </w:r>
      <w:r>
        <w:rPr>
          <w:sz w:val="20"/>
          <w:szCs w:val="20"/>
          <w:color w:val="auto"/>
        </w:rPr>
        <w:tab/>
      </w:r>
      <w:r>
        <w:rPr>
          <w:rFonts w:ascii="Arial" w:cs="Arial" w:eastAsia="Arial" w:hAnsi="Arial"/>
          <w:sz w:val="15"/>
          <w:szCs w:val="15"/>
          <w:u w:val="single" w:color="auto"/>
          <w:color w:val="auto"/>
        </w:rPr>
        <w:t>Books and Records.</w:t>
      </w:r>
    </w:p>
    <w:p>
      <w:pPr>
        <w:spacing w:after="0" w:line="225" w:lineRule="exact"/>
        <w:rPr>
          <w:sz w:val="20"/>
          <w:szCs w:val="20"/>
          <w:color w:val="auto"/>
        </w:rPr>
      </w:pPr>
    </w:p>
    <w:p>
      <w:pPr>
        <w:ind w:left="660" w:right="60" w:firstLine="645"/>
        <w:spacing w:after="0" w:line="342" w:lineRule="auto"/>
        <w:tabs>
          <w:tab w:leader="none" w:pos="195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spacing w:after="0" w:line="123" w:lineRule="exact"/>
        <w:rPr>
          <w:rFonts w:ascii="Arial" w:cs="Arial" w:eastAsia="Arial" w:hAnsi="Arial"/>
          <w:sz w:val="16"/>
          <w:szCs w:val="16"/>
          <w:color w:val="auto"/>
        </w:rPr>
      </w:pPr>
    </w:p>
    <w:p>
      <w:pPr>
        <w:ind w:left="660" w:firstLine="645"/>
        <w:spacing w:after="0" w:line="277" w:lineRule="auto"/>
        <w:tabs>
          <w:tab w:leader="none" w:pos="19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Inspection Rights.</w:t>
      </w:r>
    </w:p>
    <w:p>
      <w:pPr>
        <w:spacing w:after="0" w:line="225" w:lineRule="exact"/>
        <w:rPr>
          <w:sz w:val="20"/>
          <w:szCs w:val="20"/>
          <w:color w:val="auto"/>
        </w:rPr>
      </w:pPr>
    </w:p>
    <w:p>
      <w:pPr>
        <w:ind w:left="660" w:right="140" w:firstLine="645"/>
        <w:spacing w:after="0" w:line="272" w:lineRule="auto"/>
        <w:tabs>
          <w:tab w:leader="none" w:pos="195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Permit representatives and independent contractors of the Administrative Agent and each Lender, all at the expense of the Borrower: (i) to meet on a regular or other basis with any and all officers and employees of the Borrower and its Subsidiaries from time to time and upon reasonable advance notice to the Borrower or the applicable Subsidiary and during normal business hours for the purpose of consulting with, rendering advice, recommendations and assistance to, and influencing the management of the Borrower or its Subsidiaries or obtaining information regarding the Borrower’s or any of its Subsidiaries’ operations, activities and prospects and expressing its views thereon and (ii) to access the premises and inspect the books, records and properties of the Borrower and its Subsidiaries upon reasonable advance notice to the Borrower and during normal business hours;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excluding any such visits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 xml:space="preserve">inspections during the continuation of an Event of Default, only one such visit and inspection per year shall be at the Borrower’s expense (and only the Administrative Agent may exercise rights under this </w:t>
      </w:r>
      <w:r>
        <w:rPr>
          <w:rFonts w:ascii="Arial" w:cs="Arial" w:eastAsia="Arial" w:hAnsi="Arial"/>
          <w:sz w:val="18"/>
          <w:szCs w:val="18"/>
          <w:u w:val="single" w:color="auto"/>
          <w:color w:val="auto"/>
        </w:rPr>
        <w:t>Section 7.10(a)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when an Event of Default exists the Administrative Agent and the Lenders (or any of their respective representatives or independent contractors) may do any of the foregoing at the expense of the Borrower at any time during normal business hours and without advance notice.</w:t>
      </w:r>
    </w:p>
    <w:p>
      <w:pPr>
        <w:spacing w:after="0" w:line="187" w:lineRule="exact"/>
        <w:rPr>
          <w:sz w:val="20"/>
          <w:szCs w:val="20"/>
          <w:color w:val="auto"/>
        </w:rPr>
      </w:pPr>
    </w:p>
    <w:p>
      <w:pPr>
        <w:ind w:left="660" w:right="160" w:firstLine="645"/>
        <w:spacing w:after="0" w:line="264" w:lineRule="auto"/>
        <w:tabs>
          <w:tab w:leader="none" w:pos="19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Consider, in good faith, the recommendations of the Administrative Agent and the Lenders or their respective designated representatives in connection with the matters on which they are consulted as described in clause (a) above, recognizing that the ultimate discretion with respect to all such matters shall be retained by the Borrower.</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Use the proceeds of the Loans (a) to repay existing indebtedness on the Funding Date, (b) for investment in clinical development programs and the expansion of commercial activities and (c) for working capital and other general corporate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no event shall the proceeds of the Loans be used in contravention of any Law or of any Loan Document.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u w:val="single" w:color="auto"/>
          <w:color w:val="auto"/>
        </w:rPr>
        <w:t>Additional Subsidiaries.</w:t>
      </w:r>
    </w:p>
    <w:p>
      <w:pPr>
        <w:spacing w:after="0" w:line="225" w:lineRule="exact"/>
        <w:rPr>
          <w:sz w:val="20"/>
          <w:szCs w:val="20"/>
          <w:color w:val="auto"/>
        </w:rPr>
      </w:pPr>
    </w:p>
    <w:p>
      <w:pPr>
        <w:ind w:left="2600" w:hanging="647"/>
        <w:spacing w:after="0"/>
        <w:tabs>
          <w:tab w:leader="none" w:pos="2600" w:val="left"/>
        </w:tabs>
        <w:numPr>
          <w:ilvl w:val="3"/>
          <w:numId w:val="114"/>
        </w:numPr>
        <w:rPr>
          <w:rFonts w:ascii="Arial" w:cs="Arial" w:eastAsia="Arial" w:hAnsi="Arial"/>
          <w:sz w:val="18"/>
          <w:szCs w:val="18"/>
          <w:color w:val="auto"/>
        </w:rPr>
      </w:pPr>
      <w:r>
        <w:rPr>
          <w:rFonts w:ascii="Arial" w:cs="Arial" w:eastAsia="Arial" w:hAnsi="Arial"/>
          <w:sz w:val="18"/>
          <w:szCs w:val="18"/>
          <w:color w:val="auto"/>
        </w:rPr>
        <w:t>Within thirty (30) days after the acquisition or formation of any Subsidiary:</w:t>
      </w:r>
    </w:p>
    <w:p>
      <w:pPr>
        <w:spacing w:after="0" w:line="225" w:lineRule="exact"/>
        <w:rPr>
          <w:rFonts w:ascii="Arial" w:cs="Arial" w:eastAsia="Arial" w:hAnsi="Arial"/>
          <w:sz w:val="18"/>
          <w:szCs w:val="18"/>
          <w:color w:val="auto"/>
        </w:rPr>
      </w:pPr>
    </w:p>
    <w:p>
      <w:pPr>
        <w:ind w:left="1220" w:right="460" w:firstLine="652"/>
        <w:spacing w:after="0" w:line="259" w:lineRule="auto"/>
        <w:tabs>
          <w:tab w:leader="none" w:pos="2619" w:val="left"/>
        </w:tabs>
        <w:numPr>
          <w:ilvl w:val="2"/>
          <w:numId w:val="115"/>
        </w:numPr>
        <w:rPr>
          <w:rFonts w:ascii="Arial" w:cs="Arial" w:eastAsia="Arial" w:hAnsi="Arial"/>
          <w:sz w:val="18"/>
          <w:szCs w:val="18"/>
          <w:color w:val="auto"/>
        </w:rPr>
      </w:pPr>
      <w:r>
        <w:rPr>
          <w:rFonts w:ascii="Arial" w:cs="Arial" w:eastAsia="Arial" w:hAnsi="Arial"/>
          <w:sz w:val="18"/>
          <w:szCs w:val="18"/>
          <w:color w:val="auto"/>
        </w:rPr>
        <w:t>notify the Administrative Agent thereof in writing, together with the (A) jurisdiction of organization, (B) number of shares of each class of Equity Interests outstanding, (C) number and percentage of outstanding shares of each class owned (directly or indirectly) by the Borrower or any Subsidiary and (D) number and effect, if exercised, of all outstanding options, warrants, rights of conversion or purchase and all other similar rights with respect thereto; and</w:t>
      </w:r>
    </w:p>
    <w:p>
      <w:pPr>
        <w:spacing w:after="0" w:line="186" w:lineRule="exact"/>
        <w:rPr>
          <w:rFonts w:ascii="Arial" w:cs="Arial" w:eastAsia="Arial" w:hAnsi="Arial"/>
          <w:sz w:val="18"/>
          <w:szCs w:val="18"/>
          <w:color w:val="auto"/>
        </w:rPr>
      </w:pPr>
    </w:p>
    <w:p>
      <w:pPr>
        <w:ind w:left="2640" w:hanging="768"/>
        <w:spacing w:after="0"/>
        <w:tabs>
          <w:tab w:leader="none" w:pos="2640"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if such Subsidiary is a Domestic Subsidiary (other than a Foreign Subsidiary Holding Company), cause such Person to</w:t>
      </w:r>
    </w:p>
    <w:p>
      <w:pPr>
        <w:spacing w:after="0" w:line="46" w:lineRule="exact"/>
        <w:rPr>
          <w:rFonts w:ascii="Arial" w:cs="Arial" w:eastAsia="Arial" w:hAnsi="Arial"/>
          <w:sz w:val="16"/>
          <w:szCs w:val="16"/>
          <w:color w:val="auto"/>
        </w:rPr>
      </w:pPr>
    </w:p>
    <w:p>
      <w:pPr>
        <w:ind w:left="1220" w:right="60" w:firstLine="4"/>
        <w:spacing w:after="0" w:line="253" w:lineRule="auto"/>
        <w:tabs>
          <w:tab w:leader="none" w:pos="15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become a Guarantor by executing and delivering to the Administrative Agent a Joinder Agreement or such other documents as the Administrative Agent shall reasonably request for such purpose and (B) deliver to the Administrative Agent documents of the types referred to in </w:t>
      </w:r>
      <w:r>
        <w:rPr>
          <w:rFonts w:ascii="Arial" w:cs="Arial" w:eastAsia="Arial" w:hAnsi="Arial"/>
          <w:sz w:val="18"/>
          <w:szCs w:val="18"/>
          <w:u w:val="single" w:color="auto"/>
          <w:color w:val="auto"/>
        </w:rPr>
        <w:t>Sections 5.02(f)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all in form, content and scope reasonably satisfactory to the Administrative Agent.</w:t>
      </w:r>
    </w:p>
    <w:p>
      <w:pPr>
        <w:spacing w:after="0" w:line="191" w:lineRule="exact"/>
        <w:rPr>
          <w:rFonts w:ascii="Arial" w:cs="Arial" w:eastAsia="Arial" w:hAnsi="Arial"/>
          <w:sz w:val="18"/>
          <w:szCs w:val="18"/>
          <w:color w:val="auto"/>
        </w:rPr>
      </w:pPr>
    </w:p>
    <w:p>
      <w:pPr>
        <w:ind w:left="660" w:right="140" w:firstLine="645"/>
        <w:spacing w:after="0" w:line="302" w:lineRule="auto"/>
        <w:tabs>
          <w:tab w:leader="none" w:pos="196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on the Funding Date, cause each Domestic Subsidiary (other than a Foreign Subsidiary Holding Company) that was formed or acquired after the Effective Date but prior to the Funding Date to (i) become a Guarantor by executing and delivering to the Administrative Agent a Joinder Agreement or such other documents as the Administrative Agent shall reasonably request for such purpose and (ii) deliver to the Administrative Agent documents of the types referred to in </w:t>
      </w:r>
      <w:r>
        <w:rPr>
          <w:rFonts w:ascii="Arial" w:cs="Arial" w:eastAsia="Arial" w:hAnsi="Arial"/>
          <w:sz w:val="16"/>
          <w:szCs w:val="16"/>
          <w:u w:val="single" w:color="auto"/>
          <w:color w:val="auto"/>
        </w:rPr>
        <w:t>Sections 5.02(f)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and favorable opinions of counsel to such Person (which shall</w:t>
      </w:r>
    </w:p>
    <w:p>
      <w:pPr>
        <w:sectPr>
          <w:pgSz w:w="11900" w:h="16877" w:orient="portrait"/>
          <w:cols w:equalWidth="0" w:num="1">
            <w:col w:w="11420"/>
          </w:cols>
          <w:pgMar w:left="240" w:top="341" w:right="239" w:bottom="0" w:gutter="0" w:footer="0" w:header="0"/>
        </w:sectPr>
      </w:pPr>
    </w:p>
    <w:bookmarkStart w:id="76" w:name="page77"/>
    <w:bookmarkEnd w:id="76"/>
    <w:p>
      <w:pPr>
        <w:ind w:left="660" w:right="140"/>
        <w:spacing w:after="0" w:line="277" w:lineRule="auto"/>
        <w:rPr>
          <w:sz w:val="20"/>
          <w:szCs w:val="20"/>
          <w:color w:val="auto"/>
        </w:rPr>
      </w:pPr>
      <w:r>
        <w:rPr>
          <w:rFonts w:ascii="Arial" w:cs="Arial" w:eastAsia="Arial" w:hAnsi="Arial"/>
          <w:sz w:val="18"/>
          <w:szCs w:val="18"/>
          <w:color w:val="auto"/>
        </w:rPr>
        <w:t xml:space="preserve">cover, among other things, the legality, validity, binding effect and enforceability of the documentation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all in form, content and scope reasonably satisfactory to the Administrative Agent.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u w:val="single" w:color="auto"/>
          <w:color w:val="auto"/>
        </w:rPr>
        <w:t>ERISA Compliance.</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Do, and cause each of its ERISA Affiliates to do, each of the following: (a) maintain each Plan in compliance in all material respects with the applicable provisions of ERISA, the Internal Revenue Code and other federal or state law, (b) cause each Plan that is qualified under Section 401(a) of the Internal Revenue Code to maintain such qualification, and (c) make all required contributions to any Pension Plan.</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5"/>
          <w:szCs w:val="15"/>
          <w:u w:val="single" w:color="auto"/>
          <w:color w:val="auto"/>
        </w:rPr>
        <w:t>Pledged Assets.</w:t>
      </w:r>
    </w:p>
    <w:p>
      <w:pPr>
        <w:spacing w:after="0" w:line="225" w:lineRule="exact"/>
        <w:rPr>
          <w:sz w:val="20"/>
          <w:szCs w:val="20"/>
          <w:color w:val="auto"/>
        </w:rPr>
      </w:pPr>
    </w:p>
    <w:p>
      <w:pPr>
        <w:ind w:left="660" w:right="20" w:firstLine="645"/>
        <w:spacing w:after="0" w:line="287" w:lineRule="auto"/>
        <w:tabs>
          <w:tab w:leader="none" w:pos="1954"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Equity Interests</w:t>
      </w:r>
      <w:r>
        <w:rPr>
          <w:rFonts w:ascii="Arial" w:cs="Arial" w:eastAsia="Arial" w:hAnsi="Arial"/>
          <w:sz w:val="16"/>
          <w:szCs w:val="16"/>
          <w:color w:val="auto"/>
        </w:rPr>
        <w:t>. Cause (i) 100% of the issued and outstanding Equity Interests of each Domestic Subsidiary (other than a Foreign Subsidiary Holding Company) directly owned by a Loan Party and (ii) 65% (or such greater percentage that, due to a change in an applicable Law after the Effective Date, (A) could not reasonably be expected to cause the undistributed earnings of such Foreign Subsidiary or such Foreign Subsidiary Holding Company as determined for United States federal income tax purposes to be treated as a deemed dividend to such Foreign Subsidiary’s United States parent or such Foreign Subsidiary Holding Company’s United States parent and (B)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Foreign Subsidiary and each Foreign Subsidiary Holding Company, in each case, directly owned by a Loan Party, in each case, to be subject at all times to a first priority, perfected Lien in favor of the Administrative Agent, for the benefit of the Secured Parties, pursuant to the terms and conditions of the Collateral Documents, together with opinions of counsel and any filings and deliveries necessary in connection therewith to perfect the security interests therein, all in form and substance satisfactory to the Administrative Agent.</w:t>
      </w:r>
    </w:p>
    <w:p>
      <w:pPr>
        <w:spacing w:after="0" w:line="172" w:lineRule="exact"/>
        <w:rPr>
          <w:rFonts w:ascii="Arial" w:cs="Arial" w:eastAsia="Arial" w:hAnsi="Arial"/>
          <w:sz w:val="16"/>
          <w:szCs w:val="16"/>
          <w:color w:val="auto"/>
        </w:rPr>
      </w:pPr>
    </w:p>
    <w:p>
      <w:pPr>
        <w:ind w:left="660" w:right="60" w:firstLine="645"/>
        <w:spacing w:after="0" w:line="291" w:lineRule="auto"/>
        <w:tabs>
          <w:tab w:leader="none" w:pos="1964"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Other Property</w:t>
      </w:r>
      <w:r>
        <w:rPr>
          <w:rFonts w:ascii="Arial" w:cs="Arial" w:eastAsia="Arial" w:hAnsi="Arial"/>
          <w:sz w:val="16"/>
          <w:szCs w:val="16"/>
          <w:color w:val="auto"/>
        </w:rPr>
        <w:t>. Cause all property (other than Excluded Property) of each Loan Party to be subject at all times to perfected Liens, which Liens are superior in right to any other Person (subject to Permitted Liens) and, in the case of real property (whether leased or owned), title insured Liens, in each case, in favor of the Administrative Agent to secure the Obligations pursuant to the Collateral Documents or, with respect to any such property acquired subsequent to the Funding Date, such other additional security documents as the Administrative Agent shall request and, in connection with the foregoing, deliver to the Administrative Agent such other documentation as the Administrative Agent may request including filings and deliveries necessary to perfect such Liens, Organization Documents, resolutions, Real Property Security Documents and favorable opinions of counsel to such Person, all in form, content and scope reasonably satisfactory to the Administrative Agent.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u w:val="single" w:color="auto"/>
          <w:color w:val="auto"/>
        </w:rPr>
        <w:t>Compliance with Material Contracts.</w:t>
      </w:r>
    </w:p>
    <w:p>
      <w:pPr>
        <w:spacing w:after="0" w:line="225" w:lineRule="exact"/>
        <w:rPr>
          <w:sz w:val="20"/>
          <w:szCs w:val="20"/>
          <w:color w:val="auto"/>
        </w:rPr>
      </w:pPr>
    </w:p>
    <w:p>
      <w:pPr>
        <w:ind w:left="660" w:right="300" w:firstLine="648"/>
        <w:spacing w:after="0" w:line="277" w:lineRule="auto"/>
        <w:rPr>
          <w:sz w:val="20"/>
          <w:szCs w:val="20"/>
          <w:color w:val="auto"/>
        </w:rPr>
      </w:pPr>
      <w:r>
        <w:rPr>
          <w:rFonts w:ascii="Arial" w:cs="Arial" w:eastAsia="Arial" w:hAnsi="Arial"/>
          <w:sz w:val="18"/>
          <w:szCs w:val="18"/>
          <w:color w:val="auto"/>
        </w:rPr>
        <w:t>Comply in all material respects with each Material Contract of such Person, except to the extent that noncompliance therewith could not reasonably be expected, individually or in the aggregate, to have a Material Adverse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u w:val="single" w:color="auto"/>
          <w:color w:val="auto"/>
        </w:rPr>
        <w:t>Products and Required Permits.</w:t>
      </w:r>
    </w:p>
    <w:p>
      <w:pPr>
        <w:spacing w:after="0" w:line="225" w:lineRule="exact"/>
        <w:rPr>
          <w:sz w:val="20"/>
          <w:szCs w:val="20"/>
          <w:color w:val="auto"/>
        </w:rPr>
      </w:pPr>
    </w:p>
    <w:p>
      <w:pPr>
        <w:ind w:left="660" w:right="160" w:firstLine="645"/>
        <w:spacing w:after="0" w:line="264" w:lineRule="auto"/>
        <w:tabs>
          <w:tab w:leader="none" w:pos="195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7.08</w:t>
      </w:r>
      <w:r>
        <w:rPr>
          <w:rFonts w:ascii="Arial" w:cs="Arial" w:eastAsia="Arial" w:hAnsi="Arial"/>
          <w:sz w:val="18"/>
          <w:szCs w:val="18"/>
          <w:color w:val="auto"/>
        </w:rPr>
        <w:t>, in connection with the development, testing, manufacture, marketing or sale of each Product by the Borrower or any Subsidiary, the Borrower or such Subsidiary shall comply in all material respects with all Required Permits at all times issued by any Governmental Authority, specifically including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FDA, with respect to such development, testing, manufacture, marketing or sales of such Product by the Borrower or such Subsidiary.</w:t>
      </w:r>
    </w:p>
    <w:p>
      <w:pPr>
        <w:spacing w:after="0" w:line="225" w:lineRule="exact"/>
        <w:rPr>
          <w:sz w:val="20"/>
          <w:szCs w:val="20"/>
          <w:color w:val="auto"/>
        </w:rPr>
      </w:pPr>
    </w:p>
    <w:p>
      <w:pPr>
        <w:ind w:left="1960" w:hanging="655"/>
        <w:spacing w:after="0"/>
        <w:tabs>
          <w:tab w:leader="none" w:pos="19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7.16(a)</w:t>
      </w:r>
      <w:r>
        <w:rPr>
          <w:rFonts w:ascii="Arial" w:cs="Arial" w:eastAsia="Arial" w:hAnsi="Arial"/>
          <w:sz w:val="18"/>
          <w:szCs w:val="18"/>
          <w:color w:val="auto"/>
        </w:rPr>
        <w:t xml:space="preserve"> above, the Borrower shall immediately and in any event within three</w:t>
      </w:r>
    </w:p>
    <w:p>
      <w:pPr>
        <w:spacing w:after="0" w:line="23" w:lineRule="exact"/>
        <w:rPr>
          <w:rFonts w:ascii="Arial" w:cs="Arial" w:eastAsia="Arial" w:hAnsi="Arial"/>
          <w:sz w:val="18"/>
          <w:szCs w:val="18"/>
          <w:color w:val="auto"/>
        </w:rPr>
      </w:pPr>
    </w:p>
    <w:p>
      <w:pPr>
        <w:ind w:left="660" w:right="720" w:hanging="4"/>
        <w:spacing w:after="0" w:line="290" w:lineRule="auto"/>
        <w:tabs>
          <w:tab w:leader="none" w:pos="91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 xml:space="preserve">Business Days give written notice to the Administrative Agent upon the Borrower’s becoming aware that any of the representations and warranties set forth in </w:t>
      </w:r>
      <w:r>
        <w:rPr>
          <w:rFonts w:ascii="Arial" w:cs="Arial" w:eastAsia="Arial" w:hAnsi="Arial"/>
          <w:sz w:val="17"/>
          <w:szCs w:val="17"/>
          <w:u w:val="single" w:color="auto"/>
          <w:color w:val="auto"/>
        </w:rPr>
        <w:t>Section 6.23</w:t>
      </w:r>
      <w:r>
        <w:rPr>
          <w:rFonts w:ascii="Arial" w:cs="Arial" w:eastAsia="Arial" w:hAnsi="Arial"/>
          <w:sz w:val="17"/>
          <w:szCs w:val="17"/>
          <w:color w:val="auto"/>
        </w:rPr>
        <w:t xml:space="preserve"> with respect to any Product have become incorrect in any material respect.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u w:val="single" w:color="auto"/>
          <w:color w:val="auto"/>
        </w:rPr>
        <w:t>Consent of Licensors.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At least thirty (30) days prior to entering into or becoming bound by any license or agreement (other than over-the-counter software that is commercially available to the public), the failure, breach or termination of which could reasonably be expected to have a Material Adverse Effect, the Loan Parties shall (a) provide written notice to the Administrative Agent of the material terms of such license or agreement with a description of its likely impact on the Loan Parties’ business or financial condition and (b) to the extent requested by the Administrative Agent, use commercially reasonable efforts to obtain the consent of, or waiver by, any Person whose consent or waiver is necessary for (i) the applicable Loan Party’s interest in such licenses or contract rights to be deemed Collateral and for the Administrative Agent to have a security interest in it that might otherwise be restricted by the terms of the applicable license or agreement, whether now existing or entered into in the future and (ii) the Administrative Agent to have the ability in the event of a liquidation of any of the Collateral to dispose of such Collateral in accordance with the Administrative Agent’s rights and remedies under this Agreement and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the failure to obtain any such consent or waiver shall not in and of itself constitute an Event of Default.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7"/>
          <w:szCs w:val="17"/>
          <w:u w:val="single" w:color="auto"/>
          <w:color w:val="auto"/>
        </w:rPr>
        <w:t>Anti-Corruption Laws.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Conduct its business in compliance with the United States Foreign Corrupt Practices Act of 1977 and other similar anti-corruption legislation in other jurisdictions in which the Loan Parties and their Subsidiaries conduct business and/or are subject to such legislation and maintain policies and procedures designed to promote and achieve compliance with such laws.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7.19</w:t>
      </w:r>
      <w:r>
        <w:rPr>
          <w:sz w:val="20"/>
          <w:szCs w:val="20"/>
          <w:color w:val="auto"/>
        </w:rPr>
        <w:tab/>
      </w:r>
      <w:r>
        <w:rPr>
          <w:rFonts w:ascii="Arial" w:cs="Arial" w:eastAsia="Arial" w:hAnsi="Arial"/>
          <w:sz w:val="16"/>
          <w:szCs w:val="16"/>
          <w:u w:val="single" w:color="auto"/>
          <w:color w:val="auto"/>
        </w:rPr>
        <w:t>Maintenance of IP Rights.</w:t>
      </w:r>
    </w:p>
    <w:p>
      <w:pPr>
        <w:sectPr>
          <w:pgSz w:w="11900" w:h="16838" w:orient="portrait"/>
          <w:cols w:equalWidth="0" w:num="1">
            <w:col w:w="11420"/>
          </w:cols>
          <w:pgMar w:left="240" w:top="125" w:right="239" w:bottom="0" w:gutter="0" w:footer="0" w:header="0"/>
        </w:sectPr>
      </w:pPr>
    </w:p>
    <w:bookmarkStart w:id="77" w:name="page78"/>
    <w:bookmarkEnd w:id="77"/>
    <w:p>
      <w:pPr>
        <w:ind w:right="480" w:firstLine="648"/>
        <w:spacing w:after="0" w:line="277" w:lineRule="auto"/>
        <w:rPr>
          <w:sz w:val="20"/>
          <w:szCs w:val="20"/>
          <w:color w:val="auto"/>
        </w:rPr>
      </w:pPr>
      <w:r>
        <w:rPr>
          <w:rFonts w:ascii="Arial" w:cs="Arial" w:eastAsia="Arial" w:hAnsi="Arial"/>
          <w:sz w:val="18"/>
          <w:szCs w:val="18"/>
          <w:color w:val="auto"/>
        </w:rPr>
        <w:t>Renew, prosecute, enforce and maintain all IP Rights except where the failure to renew, prosecute, enforce or maintain any IP Rights could not reasonably be expected, either individually or in the aggregate, to have a Material Adverse Effect.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7.20</w:t>
      </w:r>
      <w:r>
        <w:rPr>
          <w:sz w:val="20"/>
          <w:szCs w:val="20"/>
          <w:color w:val="auto"/>
        </w:rPr>
        <w:tab/>
      </w:r>
      <w:r>
        <w:rPr>
          <w:rFonts w:ascii="Arial" w:cs="Arial" w:eastAsia="Arial" w:hAnsi="Arial"/>
          <w:sz w:val="16"/>
          <w:szCs w:val="16"/>
          <w:u w:val="single" w:color="auto"/>
          <w:color w:val="auto"/>
        </w:rPr>
        <w:t>Post-Closing Matters.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 xml:space="preserve">Not more than ninety (90) days after the Funding Date, use commercially reasonable efforts to deliver to the Administrative Agent, in each case in form and substance satisfactory to the Administrative Agent, consents with respect to and/or amendments of, each of the agreements described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7.20</w:t>
      </w:r>
      <w:r>
        <w:rPr>
          <w:rFonts w:ascii="Arial" w:cs="Arial" w:eastAsia="Arial" w:hAnsi="Arial"/>
          <w:sz w:val="18"/>
          <w:szCs w:val="18"/>
          <w:color w:val="auto"/>
        </w:rPr>
        <w:t xml:space="preserve"> which shall, among other things, consent to the Administrative Agent’s security interest in the intellectual property rights that are the subject of such agreements, confirm that any covenant not to sue granted in such agreements is assignable in accordance with the terms of such agreements, and, upon the occurrence of an Event of Default, consent to the Administrative Agent taking control of the Borrower’s assets and taking any action or remedy available to Administrative Agent as a secured creditor.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On the Funding Date and thereafter, so long as any Lender shall have any Commitment hereunder, any Loan or other Obligation (other than contingent indemnification obligations for which no claim has been asserted) hereunder shall remain unpaid or unsatisfied, no Loan Party shall, nor shall it permit any Subsidiary to, directly or indirectly:</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Liens.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other than the following:</w:t>
      </w:r>
    </w:p>
    <w:p>
      <w:pPr>
        <w:spacing w:after="0" w:line="170" w:lineRule="exact"/>
        <w:rPr>
          <w:sz w:val="20"/>
          <w:szCs w:val="20"/>
          <w:color w:val="auto"/>
        </w:rPr>
      </w:pPr>
    </w:p>
    <w:p>
      <w:pPr>
        <w:ind w:left="1940" w:hanging="635"/>
        <w:spacing w:after="0"/>
        <w:tabs>
          <w:tab w:leader="none" w:pos="19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existing on the Funding Date and listed on </w:t>
      </w:r>
      <w:r>
        <w:rPr>
          <w:rFonts w:ascii="Arial" w:cs="Arial" w:eastAsia="Arial" w:hAnsi="Arial"/>
          <w:sz w:val="18"/>
          <w:szCs w:val="18"/>
          <w:u w:val="single" w:color="auto"/>
          <w:color w:val="auto"/>
        </w:rPr>
        <w:t>Schedule 8.01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6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(other than Liens imposed under ERISA) for taxes, fees,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spacing w:after="0" w:line="181" w:lineRule="exact"/>
        <w:rPr>
          <w:rFonts w:ascii="Arial" w:cs="Arial" w:eastAsia="Arial" w:hAnsi="Arial"/>
          <w:sz w:val="18"/>
          <w:szCs w:val="18"/>
          <w:color w:val="auto"/>
        </w:rPr>
      </w:pPr>
    </w:p>
    <w:p>
      <w:pPr>
        <w:ind w:left="660" w:right="120" w:firstLine="645"/>
        <w:spacing w:after="0" w:line="302" w:lineRule="auto"/>
        <w:tabs>
          <w:tab w:leader="none" w:pos="196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statutory Liens of landlords and Liens of carriers, warehousemen, mechanics, materialmen and suppliers and other Liens imposed by law or pursuant to customary reservations or retentions of title arising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spacing w:after="0" w:line="154" w:lineRule="exact"/>
        <w:rPr>
          <w:rFonts w:ascii="Arial" w:cs="Arial" w:eastAsia="Arial" w:hAnsi="Arial"/>
          <w:sz w:val="16"/>
          <w:szCs w:val="16"/>
          <w:color w:val="auto"/>
        </w:rPr>
      </w:pPr>
    </w:p>
    <w:p>
      <w:pPr>
        <w:ind w:left="660" w:right="260" w:firstLine="645"/>
        <w:spacing w:after="0" w:line="277" w:lineRule="auto"/>
        <w:tabs>
          <w:tab w:leader="none" w:pos="196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old age pension, social security and other like obligations, other than any Lien imposed by ERISA;</w:t>
      </w:r>
    </w:p>
    <w:p>
      <w:pPr>
        <w:spacing w:after="0" w:line="170" w:lineRule="exact"/>
        <w:rPr>
          <w:rFonts w:ascii="Arial" w:cs="Arial" w:eastAsia="Arial" w:hAnsi="Arial"/>
          <w:sz w:val="18"/>
          <w:szCs w:val="18"/>
          <w:color w:val="auto"/>
        </w:rPr>
      </w:pPr>
    </w:p>
    <w:p>
      <w:pPr>
        <w:ind w:left="660" w:right="220" w:firstLine="645"/>
        <w:spacing w:after="0" w:line="308" w:lineRule="auto"/>
        <w:tabs>
          <w:tab w:leader="none" w:pos="196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46" w:lineRule="exact"/>
        <w:rPr>
          <w:rFonts w:ascii="Arial" w:cs="Arial" w:eastAsia="Arial" w:hAnsi="Arial"/>
          <w:sz w:val="17"/>
          <w:szCs w:val="17"/>
          <w:color w:val="auto"/>
        </w:rPr>
      </w:pPr>
    </w:p>
    <w:p>
      <w:pPr>
        <w:ind w:left="660" w:right="180" w:firstLine="645"/>
        <w:spacing w:after="0" w:line="264" w:lineRule="auto"/>
        <w:tabs>
          <w:tab w:leader="none" w:pos="19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1" w:lineRule="exact"/>
        <w:rPr>
          <w:rFonts w:ascii="Arial" w:cs="Arial" w:eastAsia="Arial" w:hAnsi="Arial"/>
          <w:sz w:val="18"/>
          <w:szCs w:val="18"/>
          <w:color w:val="auto"/>
        </w:rPr>
      </w:pPr>
    </w:p>
    <w:p>
      <w:pPr>
        <w:ind w:left="660" w:right="180" w:firstLine="645"/>
        <w:spacing w:after="0" w:line="277" w:lineRule="auto"/>
        <w:tabs>
          <w:tab w:leader="none" w:pos="1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(or appeal or other surety bonds relating to such judgments) not constituting an Event of Default under </w:t>
      </w:r>
      <w:r>
        <w:rPr>
          <w:rFonts w:ascii="Arial" w:cs="Arial" w:eastAsia="Arial" w:hAnsi="Arial"/>
          <w:sz w:val="18"/>
          <w:szCs w:val="18"/>
          <w:u w:val="single" w:color="auto"/>
          <w:color w:val="auto"/>
        </w:rPr>
        <w:t>Section 9.01(h)</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160" w:firstLine="645"/>
        <w:spacing w:after="0" w:line="259" w:lineRule="auto"/>
        <w:tabs>
          <w:tab w:leader="none" w:pos="197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such Liens do not at any time encumber any property other than the property financed by such Indebtedness, (ii) the Indebtedness secured thereby does not exceed the cost (negotiated on an arm’s length basis) of the property being acquired on the date of acquisition and (iii) such Liens attach to such property concurrently with or within ninety (90) days after the acquisition thereof;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firstLine="645"/>
        <w:spacing w:after="0" w:line="277" w:lineRule="auto"/>
        <w:tabs>
          <w:tab w:leader="none" w:pos="19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licenses, sublicenses, leases or subleases (other than relating to intellectual property) granted to others in the ordinary course of business not interfering in any material respect with the business of any Loan Party or any Subsidiary;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normal and customary rights of setoff upon deposits of cash in favor of banks or other depository institutions;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Liens of a collection bank arising under Section 4-210 of the Uniform Commercial Code on items in the course of collection;</w:t>
      </w:r>
    </w:p>
    <w:p>
      <w:pPr>
        <w:spacing w:after="0" w:line="236" w:lineRule="exact"/>
        <w:rPr>
          <w:rFonts w:ascii="Arial" w:cs="Arial" w:eastAsia="Arial" w:hAnsi="Arial"/>
          <w:sz w:val="17"/>
          <w:szCs w:val="17"/>
          <w:color w:val="auto"/>
        </w:rPr>
      </w:pPr>
    </w:p>
    <w:p>
      <w:pPr>
        <w:ind w:left="660" w:firstLine="645"/>
        <w:spacing w:after="0" w:line="264" w:lineRule="auto"/>
        <w:tabs>
          <w:tab w:leader="none" w:pos="1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Liens of the Revolving Credit Lender on the Revolving Credit Priority Collateral securing only the Permitted Senior Revolving Credit Indebtedness, subject to compliance with the terms and provisions of </w:t>
      </w:r>
      <w:r>
        <w:rPr>
          <w:rFonts w:ascii="Arial" w:cs="Arial" w:eastAsia="Arial" w:hAnsi="Arial"/>
          <w:sz w:val="18"/>
          <w:szCs w:val="18"/>
          <w:u w:val="single" w:color="auto"/>
          <w:color w:val="auto"/>
        </w:rPr>
        <w:t>Section 8.03(g)</w:t>
      </w:r>
      <w:r>
        <w:rPr>
          <w:rFonts w:ascii="Arial" w:cs="Arial" w:eastAsia="Arial" w:hAnsi="Arial"/>
          <w:sz w:val="18"/>
          <w:szCs w:val="18"/>
          <w:color w:val="auto"/>
        </w:rPr>
        <w:t xml:space="preserve"> and the definition of “Permitted Senior Revolving Credit Indebtedness”;</w:t>
      </w:r>
    </w:p>
    <w:p>
      <w:pPr>
        <w:sectPr>
          <w:pgSz w:w="11900" w:h="16838" w:orient="portrait"/>
          <w:cols w:equalWidth="0" w:num="1">
            <w:col w:w="11420"/>
          </w:cols>
          <w:pgMar w:left="240" w:top="125" w:right="239" w:bottom="0" w:gutter="0" w:footer="0" w:header="0"/>
        </w:sectPr>
      </w:pPr>
    </w:p>
    <w:bookmarkStart w:id="78" w:name="page79"/>
    <w:bookmarkEnd w:id="78"/>
    <w:p>
      <w:pPr>
        <w:jc w:val="both"/>
        <w:ind w:right="100" w:firstLine="645"/>
        <w:spacing w:after="0" w:line="259"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such Loan Party’s or such Subsidiary’s business, and leases, subleases, non-exclusive licenses or sublicenses of personal property (other than intellectual property) granted in the ordinary course of such Loan Party’s or such Subsidiary’s business, if the leases, subleases, licenses and sublicenses do not prohibit the Administrative Agent or the Lenders from taking a security interest therein; and</w:t>
      </w:r>
    </w:p>
    <w:p>
      <w:pPr>
        <w:spacing w:after="0" w:line="186" w:lineRule="exact"/>
        <w:rPr>
          <w:rFonts w:ascii="Arial" w:cs="Arial" w:eastAsia="Arial" w:hAnsi="Arial"/>
          <w:sz w:val="18"/>
          <w:szCs w:val="18"/>
          <w:color w:val="auto"/>
        </w:rPr>
      </w:pPr>
    </w:p>
    <w:p>
      <w:pPr>
        <w:ind w:right="160" w:firstLine="645"/>
        <w:spacing w:after="0" w:line="501"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on cash collateral of the Loan Parties and their respective Subsidiaries securing Indebtedness permitted by </w:t>
      </w:r>
      <w:r>
        <w:rPr>
          <w:rFonts w:ascii="Arial" w:cs="Arial" w:eastAsia="Arial" w:hAnsi="Arial"/>
          <w:sz w:val="18"/>
          <w:szCs w:val="18"/>
          <w:u w:val="single" w:color="auto"/>
          <w:color w:val="auto"/>
        </w:rPr>
        <w:t>Section 8.03(h)</w:t>
      </w:r>
      <w:r>
        <w:rPr>
          <w:rFonts w:ascii="Arial" w:cs="Arial" w:eastAsia="Arial" w:hAnsi="Arial"/>
          <w:sz w:val="18"/>
          <w:szCs w:val="18"/>
          <w:color w:val="auto"/>
        </w:rPr>
        <w:t xml:space="preserve">. 8.02 </w:t>
      </w:r>
      <w:r>
        <w:rPr>
          <w:rFonts w:ascii="Arial" w:cs="Arial" w:eastAsia="Arial" w:hAnsi="Arial"/>
          <w:sz w:val="18"/>
          <w:szCs w:val="18"/>
          <w:u w:val="single" w:color="auto"/>
          <w:color w:val="auto"/>
        </w:rPr>
        <w:t>Investments.</w:t>
      </w:r>
    </w:p>
    <w:p>
      <w:pPr>
        <w:spacing w:after="0"/>
        <w:rPr>
          <w:rFonts w:ascii="Arial" w:cs="Arial" w:eastAsia="Arial" w:hAnsi="Arial"/>
          <w:sz w:val="18"/>
          <w:szCs w:val="18"/>
          <w:color w:val="auto"/>
        </w:rPr>
      </w:pPr>
      <w:r>
        <w:rPr>
          <w:rFonts w:ascii="Arial" w:cs="Arial" w:eastAsia="Arial" w:hAnsi="Arial"/>
          <w:sz w:val="18"/>
          <w:szCs w:val="18"/>
          <w:color w:val="auto"/>
        </w:rPr>
        <w:t>Make any Investments, except:</w:t>
      </w:r>
    </w:p>
    <w:p>
      <w:pPr>
        <w:spacing w:after="0" w:line="225" w:lineRule="exact"/>
        <w:rPr>
          <w:sz w:val="20"/>
          <w:szCs w:val="20"/>
          <w:color w:val="auto"/>
        </w:rPr>
      </w:pPr>
    </w:p>
    <w:p>
      <w:pPr>
        <w:ind w:left="1280" w:hanging="635"/>
        <w:spacing w:after="0"/>
        <w:tabs>
          <w:tab w:leader="none" w:pos="12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held by the Borrower or any Subsidiary in the form of cash or Cash Equivalents;</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Investments existing as of the Funding Date and set forth in </w:t>
      </w:r>
      <w:r>
        <w:rPr>
          <w:rFonts w:ascii="Arial" w:cs="Arial" w:eastAsia="Arial" w:hAnsi="Arial"/>
          <w:sz w:val="18"/>
          <w:szCs w:val="18"/>
          <w:u w:val="single" w:color="auto"/>
          <w:color w:val="auto"/>
        </w:rPr>
        <w:t>Schedule 8.02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645"/>
        <w:spacing w:after="0" w:line="277" w:lineRule="auto"/>
        <w:tabs>
          <w:tab w:leader="none" w:pos="13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Investments in any Person that is a Loan Party prior to giving effect to such Investment and (ii) Investments by any Subsidiary that is not a Loan Party in any other Subsidiary that is not a Loan Party;</w:t>
      </w:r>
    </w:p>
    <w:p>
      <w:pPr>
        <w:spacing w:after="0" w:line="170" w:lineRule="exact"/>
        <w:rPr>
          <w:rFonts w:ascii="Arial" w:cs="Arial" w:eastAsia="Arial" w:hAnsi="Arial"/>
          <w:sz w:val="18"/>
          <w:szCs w:val="18"/>
          <w:color w:val="auto"/>
        </w:rPr>
      </w:pPr>
    </w:p>
    <w:p>
      <w:pPr>
        <w:ind w:right="360" w:firstLine="645"/>
        <w:spacing w:after="0" w:line="264" w:lineRule="auto"/>
        <w:tabs>
          <w:tab w:leader="none" w:pos="130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firstLine="645"/>
        <w:spacing w:after="0" w:line="259" w:lineRule="auto"/>
        <w:tabs>
          <w:tab w:leader="none" w:pos="130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Investments consisting of (i) travel advances and employee relocation loans and other employee loans and advances in the ordinary course of business and (ii) loans to employees, officers or directors relating to the purchase of Qualified Capital Stock of the Borrower pursuant to employee stock purchase plans or agreements approved by the Borrower’s Board of Directors, in an aggregate amount for all such Investments made in reliance of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not to exceed $250,000 at any one time outstanding;</w:t>
      </w:r>
    </w:p>
    <w:p>
      <w:pPr>
        <w:spacing w:after="0" w:line="18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20" w:firstLine="645"/>
        <w:spacing w:after="0" w:line="277" w:lineRule="auto"/>
        <w:tabs>
          <w:tab w:leader="none" w:pos="131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Investments consisting of obligations of the Borrower or any Subsidiary under Swap Contracts permitted under </w:t>
      </w:r>
      <w:r>
        <w:rPr>
          <w:rFonts w:ascii="Arial" w:cs="Arial" w:eastAsia="Arial" w:hAnsi="Arial"/>
          <w:sz w:val="18"/>
          <w:szCs w:val="18"/>
          <w:u w:val="single" w:color="auto"/>
          <w:color w:val="auto"/>
        </w:rPr>
        <w:t>Section 8.03(d)</w:t>
      </w:r>
      <w:r>
        <w:rPr>
          <w:rFonts w:ascii="Arial" w:cs="Arial" w:eastAsia="Arial" w:hAnsi="Arial"/>
          <w:sz w:val="18"/>
          <w:szCs w:val="18"/>
          <w:color w:val="auto"/>
        </w:rPr>
        <w:t xml:space="preserve"> that are incurred for non-speculative purposes in the ordinary course of business;</w:t>
      </w:r>
    </w:p>
    <w:p>
      <w:pPr>
        <w:spacing w:after="0" w:line="170" w:lineRule="exact"/>
        <w:rPr>
          <w:rFonts w:ascii="Arial" w:cs="Arial" w:eastAsia="Arial" w:hAnsi="Arial"/>
          <w:sz w:val="18"/>
          <w:szCs w:val="18"/>
          <w:color w:val="auto"/>
        </w:rPr>
      </w:pPr>
    </w:p>
    <w:p>
      <w:pPr>
        <w:ind w:right="260" w:firstLine="645"/>
        <w:spacing w:after="0" w:line="342" w:lineRule="auto"/>
        <w:tabs>
          <w:tab w:leader="none" w:pos="130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23" w:lineRule="exact"/>
        <w:rPr>
          <w:rFonts w:ascii="Arial" w:cs="Arial" w:eastAsia="Arial" w:hAnsi="Arial"/>
          <w:sz w:val="16"/>
          <w:szCs w:val="16"/>
          <w:color w:val="auto"/>
        </w:rPr>
      </w:pPr>
    </w:p>
    <w:p>
      <w:pPr>
        <w:ind w:right="640" w:firstLine="645"/>
        <w:spacing w:after="0" w:line="277" w:lineRule="auto"/>
        <w:tabs>
          <w:tab w:leader="none" w:pos="13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business;</w:t>
      </w:r>
    </w:p>
    <w:p>
      <w:pPr>
        <w:spacing w:after="0" w:line="170" w:lineRule="exact"/>
        <w:rPr>
          <w:rFonts w:ascii="Arial" w:cs="Arial" w:eastAsia="Arial" w:hAnsi="Arial"/>
          <w:sz w:val="18"/>
          <w:szCs w:val="18"/>
          <w:color w:val="auto"/>
        </w:rPr>
      </w:pPr>
    </w:p>
    <w:p>
      <w:pPr>
        <w:ind w:right="120" w:firstLine="645"/>
        <w:spacing w:after="0" w:line="264" w:lineRule="auto"/>
        <w:tabs>
          <w:tab w:leader="none" w:pos="13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Investments consisting of notes receivable of, or prepaid royalties and other credit extensions to, customers and suppliers who are not Affiliates of the Borrower or any Subsidiary, in each case,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this clause (j) shall not permit Investments in any Subsidiary;</w:t>
      </w:r>
    </w:p>
    <w:p>
      <w:pPr>
        <w:spacing w:after="0" w:line="181" w:lineRule="exact"/>
        <w:rPr>
          <w:rFonts w:ascii="Arial" w:cs="Arial" w:eastAsia="Arial" w:hAnsi="Arial"/>
          <w:sz w:val="18"/>
          <w:szCs w:val="18"/>
          <w:color w:val="auto"/>
        </w:rPr>
      </w:pPr>
    </w:p>
    <w:p>
      <w:pPr>
        <w:ind w:right="80" w:firstLine="645"/>
        <w:spacing w:after="0" w:line="308" w:lineRule="auto"/>
        <w:tabs>
          <w:tab w:leader="none" w:pos="130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Investments consisting of extensions of credit in the form of accounts receivable or notes receivable arising from the sale of goods or services in the ordinary course of business and prepaid royalties or prepaid services arising in the ordinary course of business;</w:t>
      </w:r>
    </w:p>
    <w:p>
      <w:pPr>
        <w:spacing w:after="0" w:line="146" w:lineRule="exact"/>
        <w:rPr>
          <w:rFonts w:ascii="Arial" w:cs="Arial" w:eastAsia="Arial" w:hAnsi="Arial"/>
          <w:sz w:val="17"/>
          <w:szCs w:val="17"/>
          <w:color w:val="auto"/>
        </w:rPr>
      </w:pPr>
    </w:p>
    <w:p>
      <w:pPr>
        <w:ind w:right="20" w:firstLine="645"/>
        <w:spacing w:after="0" w:line="277" w:lineRule="auto"/>
        <w:tabs>
          <w:tab w:leader="none" w:pos="13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business consisting of non-exclusive licensing of technology, the development of technology or the providing of technical support;</w:t>
      </w:r>
    </w:p>
    <w:p>
      <w:pPr>
        <w:spacing w:after="0" w:line="170" w:lineRule="exact"/>
        <w:rPr>
          <w:rFonts w:ascii="Arial" w:cs="Arial" w:eastAsia="Arial" w:hAnsi="Arial"/>
          <w:sz w:val="18"/>
          <w:szCs w:val="18"/>
          <w:color w:val="auto"/>
        </w:rPr>
      </w:pPr>
    </w:p>
    <w:p>
      <w:pPr>
        <w:ind w:firstLine="645"/>
        <w:spacing w:after="0" w:line="277"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held by a Person acquired or merged into a Loan Party so long as such Investments were not made in contemplation of such acquisition or merger and were in existence on the date of such acquisition or merger; and</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other Investments not permitted by any of the foregoing clauses of this </w:t>
      </w:r>
      <w:r>
        <w:rPr>
          <w:rFonts w:ascii="Arial" w:cs="Arial" w:eastAsia="Arial" w:hAnsi="Arial"/>
          <w:sz w:val="17"/>
          <w:szCs w:val="17"/>
          <w:u w:val="single" w:color="auto"/>
          <w:color w:val="auto"/>
        </w:rPr>
        <w:t>Section 8.02</w:t>
      </w:r>
      <w:r>
        <w:rPr>
          <w:rFonts w:ascii="Arial" w:cs="Arial" w:eastAsia="Arial" w:hAnsi="Arial"/>
          <w:sz w:val="17"/>
          <w:szCs w:val="17"/>
          <w:color w:val="auto"/>
        </w:rPr>
        <w:t>, in an aggregate amount not to exceed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$250,000 at any one time outstanding.</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Create, incur, assume or suffer to exist any Indebtedness, except:</w:t>
      </w:r>
    </w:p>
    <w:p>
      <w:pPr>
        <w:spacing w:after="0" w:line="225" w:lineRule="exact"/>
        <w:rPr>
          <w:sz w:val="20"/>
          <w:szCs w:val="20"/>
          <w:color w:val="auto"/>
        </w:rPr>
      </w:pPr>
    </w:p>
    <w:p>
      <w:pPr>
        <w:ind w:left="1280" w:hanging="635"/>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firstLine="645"/>
        <w:spacing w:after="0" w:line="277" w:lineRule="auto"/>
        <w:tabs>
          <w:tab w:leader="none" w:pos="130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Indebtedness of the Borrower and its Subsidiaries existing on the Funding Date and described on </w:t>
      </w:r>
      <w:r>
        <w:rPr>
          <w:rFonts w:ascii="Arial" w:cs="Arial" w:eastAsia="Arial" w:hAnsi="Arial"/>
          <w:sz w:val="18"/>
          <w:szCs w:val="18"/>
          <w:u w:val="single" w:color="auto"/>
          <w:color w:val="auto"/>
        </w:rPr>
        <w:t>Schedule 8.03</w:t>
      </w:r>
      <w:r>
        <w:rPr>
          <w:rFonts w:ascii="Arial" w:cs="Arial" w:eastAsia="Arial" w:hAnsi="Arial"/>
          <w:sz w:val="18"/>
          <w:szCs w:val="18"/>
          <w:color w:val="auto"/>
        </w:rPr>
        <w:t xml:space="preserve"> (and any Permitted Refinancing thereof);</w:t>
      </w:r>
    </w:p>
    <w:p>
      <w:pPr>
        <w:spacing w:after="0" w:line="170" w:lineRule="exact"/>
        <w:rPr>
          <w:rFonts w:ascii="Arial" w:cs="Arial" w:eastAsia="Arial" w:hAnsi="Arial"/>
          <w:sz w:val="18"/>
          <w:szCs w:val="18"/>
          <w:color w:val="auto"/>
        </w:rPr>
      </w:pPr>
    </w:p>
    <w:p>
      <w:pPr>
        <w:ind w:left="1300" w:hanging="655"/>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intercompany Indebtedness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645"/>
        <w:spacing w:after="0" w:line="297" w:lineRule="auto"/>
        <w:tabs>
          <w:tab w:leader="none" w:pos="130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obligations (contingent or otherwise) of the Borrower or any Subsidiary existing or arising under any Swap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ectPr>
          <w:pgSz w:w="11900" w:h="16838" w:orient="portrait"/>
          <w:cols w:equalWidth="0" w:num="1">
            <w:col w:w="10760"/>
          </w:cols>
          <w:pgMar w:left="900" w:top="125" w:right="239" w:bottom="0" w:gutter="0" w:footer="0" w:header="0"/>
        </w:sectPr>
      </w:pP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760"/>
          </w:cols>
          <w:pgMar w:left="900" w:top="125" w:right="239" w:bottom="0" w:gutter="0" w:footer="0" w:header="0"/>
          <w:type w:val="continuous"/>
        </w:sectPr>
      </w:pPr>
    </w:p>
    <w:bookmarkStart w:id="79" w:name="page80"/>
    <w:bookmarkEnd w:id="79"/>
    <w:p>
      <w:pPr>
        <w:ind w:left="660" w:right="100" w:firstLine="645"/>
        <w:spacing w:after="0" w:line="276" w:lineRule="auto"/>
        <w:tabs>
          <w:tab w:leader="none" w:pos="1967" w:val="left"/>
        </w:tabs>
        <w:numPr>
          <w:ilvl w:val="1"/>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purchase money Indebtedness (including obligations in respect of Capital Leases or Synthetic Leases) hereafter incurred by the Borrower or any of its Subsidiaries to finance the purchase of fixed assets, and renewals, refinancings and extensions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 the total of all such Indebtedness for all such Persons taken together shall not exceed an aggregate principal amount of $500,000 at any one time outstanding, (ii) such Indebtedness when incurred shall not exceed the purchase price of the asset(s) financed and (iii) no such Indebtedness shall be refinanced for a principal amount in excess of the principal balance outstanding thereon at the time of such refinancing;</w:t>
      </w:r>
    </w:p>
    <w:p>
      <w:pPr>
        <w:spacing w:after="0" w:line="172" w:lineRule="exact"/>
        <w:rPr>
          <w:rFonts w:ascii="Arial" w:cs="Arial" w:eastAsia="Arial" w:hAnsi="Arial"/>
          <w:sz w:val="17"/>
          <w:szCs w:val="17"/>
          <w:color w:val="auto"/>
        </w:rPr>
      </w:pPr>
    </w:p>
    <w:p>
      <w:pPr>
        <w:ind w:left="660" w:right="160" w:firstLine="645"/>
        <w:spacing w:after="0" w:line="257" w:lineRule="auto"/>
        <w:tabs>
          <w:tab w:leader="none" w:pos="196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unsecured Indebtedness in respect of netting services, overdraft protections, employee credit card programs, automatic clearinghouse arrangements and similar arrangements in each case in connection with deposit accounts and Indebtedness arising from the honoring of a bank or other financial institution of a check, draft or similar instrument drawn against insufficient funds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any such Indebtedness is extinguished within thirty (30) days and (y) the aggregate outstanding principal amount of such Indebtedness shall not at any time exceed $500,000;</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Permitted Senior Revolving Credit Indebtedness in an aggregate principal amount not to exceed the lesser of (i) $5,000,000 and</w:t>
      </w:r>
    </w:p>
    <w:p>
      <w:pPr>
        <w:spacing w:after="0" w:line="46" w:lineRule="exact"/>
        <w:rPr>
          <w:rFonts w:ascii="Arial" w:cs="Arial" w:eastAsia="Arial" w:hAnsi="Arial"/>
          <w:sz w:val="16"/>
          <w:szCs w:val="16"/>
          <w:color w:val="auto"/>
        </w:rPr>
      </w:pPr>
    </w:p>
    <w:p>
      <w:pPr>
        <w:ind w:left="660" w:hanging="4"/>
        <w:spacing w:after="0" w:line="281" w:lineRule="auto"/>
        <w:tabs>
          <w:tab w:leader="none" w:pos="92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eighty percent (80%) of eligible accounts receivable of the Borrower (as determined by the Permitted Senior Revolving Credit Documents) and the proceeds thereof, at any one time outstanding pursuant to a revolving credit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 no Default or Event of Default shall have occurred and be continuing both immediately before and immediately after the incurrence of such Indebtedness and (y) prior to the incurrence of such Indebtedness, (i) the Administrative Agent, the Loan Parties and the Revolving Credit Lender shall have entered into an intercreditor agreement reasonably satisfactory to the Administrative Agent pursuant to which (A) the Revolving Credit Lender shall be granted a first priority security interest only in the accounts receivable of the Borrower and proceeds thereof (collectively, the “</w:t>
      </w:r>
      <w:r>
        <w:rPr>
          <w:rFonts w:ascii="Arial" w:cs="Arial" w:eastAsia="Arial" w:hAnsi="Arial"/>
          <w:sz w:val="16"/>
          <w:szCs w:val="16"/>
          <w:u w:val="single" w:color="auto"/>
          <w:color w:val="auto"/>
        </w:rPr>
        <w:t>Revolving Credit Priority Collateral</w:t>
      </w:r>
      <w:r>
        <w:rPr>
          <w:rFonts w:ascii="Arial" w:cs="Arial" w:eastAsia="Arial" w:hAnsi="Arial"/>
          <w:sz w:val="16"/>
          <w:szCs w:val="16"/>
          <w:color w:val="auto"/>
        </w:rPr>
        <w:t>”), (B) the Administrative Agent, on behalf of the Secured Parties, shall be granted a second priority security interest in the Revolving Credit Priority Collateral,</w:t>
      </w:r>
    </w:p>
    <w:p>
      <w:pPr>
        <w:spacing w:after="0" w:line="4" w:lineRule="exact"/>
        <w:rPr>
          <w:rFonts w:ascii="Arial" w:cs="Arial" w:eastAsia="Arial" w:hAnsi="Arial"/>
          <w:sz w:val="16"/>
          <w:szCs w:val="16"/>
          <w:color w:val="auto"/>
        </w:rPr>
      </w:pPr>
    </w:p>
    <w:p>
      <w:pPr>
        <w:ind w:left="660"/>
        <w:spacing w:after="0" w:line="270" w:lineRule="auto"/>
        <w:rPr>
          <w:rFonts w:ascii="Arial" w:cs="Arial" w:eastAsia="Arial" w:hAnsi="Arial"/>
          <w:sz w:val="16"/>
          <w:szCs w:val="16"/>
          <w:color w:val="auto"/>
        </w:rPr>
      </w:pPr>
      <w:r>
        <w:rPr>
          <w:rFonts w:ascii="Arial" w:cs="Arial" w:eastAsia="Arial" w:hAnsi="Arial"/>
          <w:sz w:val="17"/>
          <w:szCs w:val="17"/>
          <w:color w:val="auto"/>
        </w:rPr>
        <w:t>(C) the Administrative Agent, on behalf of the Secured Parties, shall maintain its first priority security interest in all other assets of the Loan Parties (other than Excluded Property) and (D) the Revolving Credit Lender shall not be granted a security interest in any property of the Loan Parties other than the Revolving Credit Priority Collateral and (ii) the Administrative Agent and the Loan Parties shall have entered into amendments, in each case in form and substance reasonably satisfactory to the Administrative Agent, to this Agreement and such other Loan Documents as required to, among other things, include in the Loan Documents such additional representations, warranties, covenants and defaults as are included in the Permitted Senior Revolving Credit Documents (but not included in the Loan Documents at such time);</w:t>
      </w:r>
    </w:p>
    <w:p>
      <w:pPr>
        <w:spacing w:after="0" w:line="178" w:lineRule="exact"/>
        <w:rPr>
          <w:rFonts w:ascii="Arial" w:cs="Arial" w:eastAsia="Arial" w:hAnsi="Arial"/>
          <w:sz w:val="16"/>
          <w:szCs w:val="16"/>
          <w:color w:val="auto"/>
        </w:rPr>
      </w:pPr>
    </w:p>
    <w:p>
      <w:pPr>
        <w:ind w:left="660" w:right="100" w:firstLine="645"/>
        <w:spacing w:after="0" w:line="264" w:lineRule="auto"/>
        <w:tabs>
          <w:tab w:leader="none" w:pos="1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Indebtedness constituting reimbursement obligations in respect of letters of credit, bank guarantees and similar instruments issued for the account of any Loan Party or any Subsidiary, in an aggregate amount for all such Indebtedness not to exceed $500,000 at any one time outstanding;</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Qualified Subordinated Debt, subject to the limitations set forth in </w:t>
      </w:r>
      <w:r>
        <w:rPr>
          <w:rFonts w:ascii="Arial" w:cs="Arial" w:eastAsia="Arial" w:hAnsi="Arial"/>
          <w:sz w:val="18"/>
          <w:szCs w:val="18"/>
          <w:u w:val="single" w:color="auto"/>
          <w:color w:val="auto"/>
        </w:rPr>
        <w:t>Section 8.16(b)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unsecured Indebtedness incurred in connection with corporate credit cards in an aggregate principal amount not to exceed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$250,000 at any one time outstanding;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59" w:lineRule="auto"/>
        <w:tabs>
          <w:tab w:leader="none" w:pos="19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unsecured Indebtedness in respect of Earn Out Obligations, purchase price adjustment or similar obligations, in each case, in connection with Permitted Acquisitions; provided, that, the aggregate amount of all such Indebtedness under this clause (k) when taken together the aggregate other consideration paid or payable for all Permitted Acquisitions shall not exceed the maximum amount permitted under the definition of “Permitted Acquisition”; and</w:t>
      </w:r>
    </w:p>
    <w:p>
      <w:pPr>
        <w:spacing w:after="0" w:line="186" w:lineRule="exact"/>
        <w:rPr>
          <w:rFonts w:ascii="Arial" w:cs="Arial" w:eastAsia="Arial" w:hAnsi="Arial"/>
          <w:sz w:val="18"/>
          <w:szCs w:val="18"/>
          <w:color w:val="auto"/>
        </w:rPr>
      </w:pPr>
    </w:p>
    <w:p>
      <w:pPr>
        <w:ind w:left="660" w:right="100" w:firstLine="645"/>
        <w:spacing w:after="0" w:line="277" w:lineRule="auto"/>
        <w:tabs>
          <w:tab w:leader="none" w:pos="197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other unsecured Indebtedness not permitted by any of the foregoing clauses of this </w:t>
      </w:r>
      <w:r>
        <w:rPr>
          <w:rFonts w:ascii="Arial" w:cs="Arial" w:eastAsia="Arial" w:hAnsi="Arial"/>
          <w:sz w:val="18"/>
          <w:szCs w:val="18"/>
          <w:u w:val="single" w:color="auto"/>
          <w:color w:val="auto"/>
        </w:rPr>
        <w:t>Section 8.03</w:t>
      </w:r>
      <w:r>
        <w:rPr>
          <w:rFonts w:ascii="Arial" w:cs="Arial" w:eastAsia="Arial" w:hAnsi="Arial"/>
          <w:sz w:val="18"/>
          <w:szCs w:val="18"/>
          <w:color w:val="auto"/>
        </w:rPr>
        <w:t>, in an aggregate principal amount not to exceed $250,000 at any one time outstanding.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5"/>
          <w:szCs w:val="15"/>
          <w:u w:val="single" w:color="auto"/>
          <w:color w:val="auto"/>
        </w:rPr>
        <w:t>Fundamental Changes.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but subject to the terms of </w:t>
      </w:r>
      <w:r>
        <w:rPr>
          <w:rFonts w:ascii="Arial" w:cs="Arial" w:eastAsia="Arial" w:hAnsi="Arial"/>
          <w:sz w:val="17"/>
          <w:szCs w:val="17"/>
          <w:u w:val="single" w:color="auto"/>
          <w:color w:val="auto"/>
        </w:rPr>
        <w:t>Sections 7.12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7.14</w:t>
      </w:r>
      <w:r>
        <w:rPr>
          <w:rFonts w:ascii="Arial" w:cs="Arial" w:eastAsia="Arial" w:hAnsi="Arial"/>
          <w:sz w:val="17"/>
          <w:szCs w:val="17"/>
          <w:color w:val="auto"/>
        </w:rPr>
        <w:t>, (a) the Borrower may merge or consolidate with any of its Subsidiaries, provided that the Borrower shall be the continuing or surviving corporation, (b) any Loan Party (other than the Borrower) may merge or consolidate with any other Loan Party (other than the Borrower), (c) any Subsidiary that is not a Loan Party may be merged or consolidated with or into any Loan Party, provided that such Loan Party shall be the continuing or surviving corporation, (d) any Subsidiary that is not a Loan Party may be merged or consolidated with or into any other Subsidiary that is not a Loan Party and (e) any Subsidiary that is not a Loan Party may dissolve, liquidate or wind up its affairs at any time provided that such dissolution, liquidation or winding up could not reasonably be expected to have a Material Adverse Effect and all of its assets and business are transferred to a Loan Party prior to or concurrently with such dissolution, liquidation or winding up.</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Dispositions.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Make any Disposition unless (a) the consideration paid in connection therewith shall be cash or Cash Equivalents paid contemporaneous with consummation of the transaction and shall be in an amount not less than the fair market value of the property disposed of, (b) no Default or Event of Default shall have occurred and be continuing both immediately prior to and after giving effect to such Disposition, (c) such transaction does not involve the sale or other disposition of a minority equity interest in any Subsidiary and (d) the aggregate net book value of all of the assets sold or otherwise disposed of in such Disposition together with the aggregate net book value of all assets sold or otherwise disposed of by the Borrower and its Subsidiaries in all such transactions occurring during the term of this Agreement does not exceed $500,000.</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8.06</w:t>
      </w:r>
      <w:r>
        <w:rPr>
          <w:sz w:val="20"/>
          <w:szCs w:val="20"/>
          <w:color w:val="auto"/>
        </w:rPr>
        <w:tab/>
      </w:r>
      <w:r>
        <w:rPr>
          <w:rFonts w:ascii="Arial" w:cs="Arial" w:eastAsia="Arial" w:hAnsi="Arial"/>
          <w:sz w:val="15"/>
          <w:szCs w:val="15"/>
          <w:u w:val="single" w:color="auto"/>
          <w:color w:val="auto"/>
        </w:rPr>
        <w:t>Restricted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Declare or make, directly or indirectly, any Restricted Payment, except that:</w:t>
      </w:r>
    </w:p>
    <w:p>
      <w:pPr>
        <w:sectPr>
          <w:pgSz w:w="11900" w:h="16838" w:orient="portrait"/>
          <w:cols w:equalWidth="0" w:num="1">
            <w:col w:w="11420"/>
          </w:cols>
          <w:pgMar w:left="240" w:top="733" w:right="239" w:bottom="0" w:gutter="0" w:footer="0" w:header="0"/>
        </w:sectPr>
      </w:pPr>
    </w:p>
    <w:bookmarkStart w:id="80" w:name="page81"/>
    <w:bookmarkEnd w:id="80"/>
    <w:p>
      <w:pPr>
        <w:spacing w:after="0" w:line="79" w:lineRule="exact"/>
        <w:rPr>
          <w:sz w:val="20"/>
          <w:szCs w:val="20"/>
          <w:color w:val="auto"/>
        </w:rPr>
      </w:pPr>
    </w:p>
    <w:p>
      <w:pPr>
        <w:ind w:left="1940" w:hanging="635"/>
        <w:spacing w:after="0"/>
        <w:tabs>
          <w:tab w:leader="none" w:pos="19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Subsidiary may make Restricted Payments to any Loan Party;</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the Qualified Capital Stock of such Person; and</w:t>
      </w:r>
    </w:p>
    <w:p>
      <w:pPr>
        <w:spacing w:after="0" w:line="170" w:lineRule="exact"/>
        <w:rPr>
          <w:rFonts w:ascii="Arial" w:cs="Arial" w:eastAsia="Arial" w:hAnsi="Arial"/>
          <w:sz w:val="18"/>
          <w:szCs w:val="18"/>
          <w:color w:val="auto"/>
        </w:rPr>
      </w:pPr>
    </w:p>
    <w:p>
      <w:pPr>
        <w:ind w:left="660" w:firstLine="645"/>
        <w:spacing w:after="0" w:line="264" w:lineRule="auto"/>
        <w:tabs>
          <w:tab w:leader="none" w:pos="196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Borrower may (i) pay de minimis amounts of cash in lieu of fractional shares upon conversion of convertible securities or upon any stock split or consolidation and (ii) the Borrower may repurchase the Equity Interests of former officers, directors, employees or consultants pursuant to stock repurchase agreements so long as (x) no Default or Event of Default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shall exist or would result from any such repurchase and (y) the aggregate amount of all such repurchases does not exceed $250,000 in any fiscal year.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8.07</w:t>
      </w:r>
      <w:r>
        <w:rPr>
          <w:sz w:val="20"/>
          <w:szCs w:val="20"/>
          <w:color w:val="auto"/>
        </w:rPr>
        <w:tab/>
      </w:r>
      <w:r>
        <w:rPr>
          <w:rFonts w:ascii="Arial" w:cs="Arial" w:eastAsia="Arial" w:hAnsi="Arial"/>
          <w:sz w:val="16"/>
          <w:szCs w:val="16"/>
          <w:u w:val="single" w:color="auto"/>
          <w:color w:val="auto"/>
        </w:rPr>
        <w:t>Change in Nature of Business.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Borrower and its Subsidiaries on the Effective Date or any business substantially related or incidental thereto (it being understood and agreed that, for purposes of this Section, the molecular diagnostics for disease business generally shall constitute a business substantially related to the lines of business conducted by the Borrower and its Subsidiaries on the Effective Date).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8.08</w:t>
      </w:r>
      <w:r>
        <w:rPr>
          <w:sz w:val="20"/>
          <w:szCs w:val="20"/>
          <w:color w:val="auto"/>
        </w:rPr>
        <w:tab/>
      </w:r>
      <w:r>
        <w:rPr>
          <w:rFonts w:ascii="Arial" w:cs="Arial" w:eastAsia="Arial" w:hAnsi="Arial"/>
          <w:sz w:val="16"/>
          <w:szCs w:val="16"/>
          <w:u w:val="single" w:color="auto"/>
          <w:color w:val="auto"/>
        </w:rPr>
        <w:t>Transactions with Affiliates and Insiders.</w:t>
      </w:r>
    </w:p>
    <w:p>
      <w:pPr>
        <w:spacing w:after="0" w:line="225" w:lineRule="exact"/>
        <w:rPr>
          <w:sz w:val="20"/>
          <w:szCs w:val="20"/>
          <w:color w:val="auto"/>
        </w:rPr>
      </w:pPr>
    </w:p>
    <w:p>
      <w:pPr>
        <w:ind w:right="600" w:firstLine="648"/>
        <w:spacing w:after="0" w:line="291" w:lineRule="auto"/>
        <w:rPr>
          <w:sz w:val="20"/>
          <w:szCs w:val="20"/>
          <w:color w:val="auto"/>
        </w:rPr>
      </w:pPr>
      <w:r>
        <w:rPr>
          <w:rFonts w:ascii="Arial" w:cs="Arial" w:eastAsia="Arial" w:hAnsi="Arial"/>
          <w:sz w:val="16"/>
          <w:szCs w:val="16"/>
          <w:color w:val="auto"/>
        </w:rPr>
        <w:t>Enter into or permit to exist any transaction or series of transactions with any officer, director or Affiliate of such Person involving aggregate consideration in excess of $100,000, other than (a) advances of working capital to any Loan Party, (b) transfers of cash and assets to any Loan Party,</w:t>
      </w:r>
    </w:p>
    <w:p>
      <w:pPr>
        <w:ind w:right="220" w:firstLine="8"/>
        <w:spacing w:after="0" w:line="281" w:lineRule="auto"/>
        <w:tabs>
          <w:tab w:leader="none" w:pos="24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intercompany transactions expressly permitted by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8.06</w:t>
      </w:r>
      <w:r>
        <w:rPr>
          <w:rFonts w:ascii="Arial" w:cs="Arial" w:eastAsia="Arial" w:hAnsi="Arial"/>
          <w:sz w:val="16"/>
          <w:szCs w:val="16"/>
          <w:color w:val="auto"/>
        </w:rPr>
        <w:t>, (d) normal and reasonable compensation and reimbursement of expenses of officers and directors in the ordinary course of business, (e) customary compensation and indemnification of, and other employment arrangements with, directors, officers and employees of the Borrower or any Subsidiary in the ordinary course of business,</w:t>
      </w:r>
    </w:p>
    <w:p>
      <w:pPr>
        <w:spacing w:after="0" w:line="2" w:lineRule="exact"/>
        <w:rPr>
          <w:rFonts w:ascii="Arial" w:cs="Arial" w:eastAsia="Arial" w:hAnsi="Arial"/>
          <w:sz w:val="16"/>
          <w:szCs w:val="16"/>
          <w:color w:val="auto"/>
        </w:rPr>
      </w:pPr>
    </w:p>
    <w:p>
      <w:pPr>
        <w:jc w:val="both"/>
        <w:ind w:right="140" w:firstLine="8"/>
        <w:spacing w:after="0" w:line="255" w:lineRule="auto"/>
        <w:tabs>
          <w:tab w:leader="none" w:pos="22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Qualified Subordinated Debt and (g) except as otherwise specifically limited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spacing w:after="0" w:line="19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8.09</w:t>
      </w:r>
      <w:r>
        <w:rPr>
          <w:sz w:val="20"/>
          <w:szCs w:val="20"/>
          <w:color w:val="auto"/>
        </w:rPr>
        <w:tab/>
      </w:r>
      <w:r>
        <w:rPr>
          <w:rFonts w:ascii="Arial" w:cs="Arial" w:eastAsia="Arial" w:hAnsi="Arial"/>
          <w:sz w:val="16"/>
          <w:szCs w:val="16"/>
          <w:u w:val="single" w:color="auto"/>
          <w:color w:val="auto"/>
        </w:rPr>
        <w:t>Burdensome Agreements.</w:t>
      </w:r>
    </w:p>
    <w:p>
      <w:pPr>
        <w:spacing w:after="0" w:line="225" w:lineRule="exact"/>
        <w:rPr>
          <w:sz w:val="20"/>
          <w:szCs w:val="20"/>
          <w:color w:val="auto"/>
        </w:rPr>
      </w:pPr>
    </w:p>
    <w:p>
      <w:pPr>
        <w:ind w:right="680" w:firstLine="648"/>
        <w:spacing w:after="0" w:line="291" w:lineRule="auto"/>
        <w:rPr>
          <w:sz w:val="20"/>
          <w:szCs w:val="20"/>
          <w:color w:val="auto"/>
        </w:rPr>
      </w:pPr>
      <w:r>
        <w:rPr>
          <w:rFonts w:ascii="Arial" w:cs="Arial" w:eastAsia="Arial" w:hAnsi="Arial"/>
          <w:sz w:val="16"/>
          <w:szCs w:val="16"/>
          <w:color w:val="auto"/>
        </w:rPr>
        <w:t>Enter into, or permit to exist, any Contractual Obligation that (a) encumbers or restricts the ability of any such Person to (i) make Restricted Payments to any Loan Party, (ii) pay any Indebtedness or other obligations owed to any Loan Party, (iii) make loans or advances to any Loan Party,</w:t>
      </w:r>
    </w:p>
    <w:p>
      <w:pPr>
        <w:ind w:right="40" w:firstLine="8"/>
        <w:spacing w:after="0" w:line="288" w:lineRule="auto"/>
        <w:tabs>
          <w:tab w:leader="none" w:pos="30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above) for (1) this Agreement and the other Loan Documents, (2) any document or instrument governing Indebtedness incurred pursuant to </w:t>
      </w:r>
      <w:r>
        <w:rPr>
          <w:rFonts w:ascii="Arial" w:cs="Arial" w:eastAsia="Arial" w:hAnsi="Arial"/>
          <w:sz w:val="16"/>
          <w:szCs w:val="16"/>
          <w:u w:val="single" w:color="auto"/>
          <w:color w:val="auto"/>
        </w:rPr>
        <w:t>Section 8.03(e)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any such restriction contained therein relates only to the asset or assets constructed or acquired in connection therewith, (3) customary restrictions and conditions contained in any agreement relating to the sale of any property permitted under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pending the consummation of such sale or (4) any Permitted Senior Revolving Credit Documents or (b) requires the grant of any security for any obligation if such property is given as security for the Obligations.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5"/>
          <w:szCs w:val="15"/>
          <w:u w:val="single" w:color="auto"/>
          <w:color w:val="auto"/>
        </w:rPr>
        <w:t>Use of Proceeds.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Use the proceeds of any Loan,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u w:val="single" w:color="auto"/>
          <w:color w:val="auto"/>
        </w:rPr>
        <w:t>Payment of Other Indebtedness.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Make (or give any notice with respect thereto) any voluntary or optional payment or prepayment or redemption or acquisition for value of (including without limitation, by way of depositing money or securities with the trustee with respect thereto before due for the purpose of paying when due), refund, refinance or exchange of any Indebtedness of any Loan Party or any Subsidiary (other than any of the foregoing payments or transactions relating to</w:t>
      </w:r>
    </w:p>
    <w:p>
      <w:pPr>
        <w:ind w:firstLine="8"/>
        <w:spacing w:after="0" w:line="261" w:lineRule="auto"/>
        <w:tabs>
          <w:tab w:leader="none" w:pos="2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Indebtedness arising under the Loan Documents, (y) any Permitted Senior Revolving Credit Indebtedness and (z) the repayment of all Indebtedness owing under the Existing Credit Agreement on the Funding Date).</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Organization Documents; Fiscal Year; Legal Name, State of Formation and Form of Entity; Certain Amendments.</w:t>
      </w:r>
    </w:p>
    <w:p>
      <w:pPr>
        <w:spacing w:after="0" w:line="225" w:lineRule="exact"/>
        <w:rPr>
          <w:sz w:val="20"/>
          <w:szCs w:val="20"/>
          <w:color w:val="auto"/>
        </w:rPr>
      </w:pPr>
    </w:p>
    <w:p>
      <w:pPr>
        <w:ind w:left="1940" w:hanging="635"/>
        <w:spacing w:after="0"/>
        <w:tabs>
          <w:tab w:leader="none" w:pos="19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Amend, modify or change its Organization Documents in a manner adverse to the Administrative Agent or the Lenders.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Without providing ten (10) days prior written notice to the Administrative Agent, change its name, state of organization or form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organization.</w:t>
      </w:r>
    </w:p>
    <w:p>
      <w:pPr>
        <w:spacing w:after="0" w:line="210" w:lineRule="exact"/>
        <w:rPr>
          <w:rFonts w:ascii="Arial" w:cs="Arial" w:eastAsia="Arial" w:hAnsi="Arial"/>
          <w:sz w:val="16"/>
          <w:szCs w:val="16"/>
          <w:color w:val="auto"/>
        </w:rPr>
      </w:pPr>
    </w:p>
    <w:p>
      <w:pPr>
        <w:ind w:left="660" w:right="520" w:firstLine="645"/>
        <w:spacing w:after="0" w:line="264" w:lineRule="auto"/>
        <w:tabs>
          <w:tab w:leader="none" w:pos="19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Amend, modify or change any of the terms or provisions of any Permitted Senior Revolving Credit Document in a manner materially adverse to the Administrative Agent or any Secured Party or in violation of the terms and provisions of any intercreditor agreement entered into by the Administrative Agent with respect thereto.</w:t>
      </w:r>
    </w:p>
    <w:p>
      <w:pPr>
        <w:sectPr>
          <w:pgSz w:w="11900" w:h="16918" w:orient="portrait"/>
          <w:cols w:equalWidth="0" w:num="1">
            <w:col w:w="11400"/>
          </w:cols>
          <w:pgMar w:left="240" w:top="125" w:right="259" w:bottom="0" w:gutter="0" w:footer="0" w:header="0"/>
        </w:sectPr>
      </w:pPr>
    </w:p>
    <w:bookmarkStart w:id="81" w:name="page82"/>
    <w:bookmarkEnd w:id="81"/>
    <w:p>
      <w:pPr>
        <w:spacing w:after="0" w:line="94" w:lineRule="exact"/>
        <w:rPr>
          <w:sz w:val="20"/>
          <w:szCs w:val="20"/>
          <w:color w:val="auto"/>
        </w:rPr>
      </w:pPr>
    </w:p>
    <w:p>
      <w:pPr>
        <w:ind w:left="660" w:right="240" w:firstLine="645"/>
        <w:spacing w:after="0" w:line="342" w:lineRule="auto"/>
        <w:tabs>
          <w:tab w:leader="none" w:pos="196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Amend, modify or change (or permit the amendment, modification or change of) any of the terms or provisions of the Qualified Subordinated Debt Documents in violation of the terms and provisions of the applicable Qualified Subordinated Debt Subordination Agreement.</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Ownership of Subsidiaries.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Notwithstanding any other provisions of this Agreement to the contrary, (a) permit any Person (other than any Loan Party or any Wholly Owned Subsidiary) to own any Equity Interests of any Subsidiary, except to qualify directors where required by applicable law or to satisfy other requirements of applicable law with respect to the ownership of Equity Interests of Foreign Subsidiaries, (b) permit any Loan Party or any Subsidiary to issue or have outstanding any shares of Disqualified Capital Stock or (c) create, incur, assume or suffer to exist any Lien on any Equity Interests of any Subsidiary of any Loan Party, except for Permitted Liens.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5"/>
          <w:szCs w:val="15"/>
          <w:u w:val="single" w:color="auto"/>
          <w:color w:val="auto"/>
        </w:rPr>
        <w:t>Sale Leasebacks.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Enter into any Sale and Leaseback Transaction.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u w:val="single" w:color="auto"/>
          <w:color w:val="auto"/>
        </w:rPr>
        <w:t>Sanctions; Anti-Corruption Laws.</w:t>
      </w:r>
    </w:p>
    <w:p>
      <w:pPr>
        <w:spacing w:after="0" w:line="225" w:lineRule="exact"/>
        <w:rPr>
          <w:sz w:val="20"/>
          <w:szCs w:val="20"/>
          <w:color w:val="auto"/>
        </w:rPr>
      </w:pPr>
    </w:p>
    <w:p>
      <w:pPr>
        <w:ind w:left="660" w:right="40" w:firstLine="645"/>
        <w:spacing w:after="0" w:line="264" w:lineRule="auto"/>
        <w:tabs>
          <w:tab w:leader="none" w:pos="195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Directly or indirectly, use the proceeds of any Loan, or lend, contribute or otherwise make available the proceeds of any Loan to any Person, to fund any activities of or business with any Person, or in any Designated Jurisdiction, that, at the time of such funding, is the subject of Sanctions, or in any other manner that will result in a violation by any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(including any Person participating in the transaction, whether as Lender, Administrative Agent, or otherwise) of Sanctions.</w:t>
      </w:r>
    </w:p>
    <w:p>
      <w:pPr>
        <w:spacing w:after="0" w:line="225" w:lineRule="exact"/>
        <w:rPr>
          <w:sz w:val="20"/>
          <w:szCs w:val="20"/>
          <w:color w:val="auto"/>
        </w:rPr>
      </w:pPr>
    </w:p>
    <w:p>
      <w:pPr>
        <w:ind w:left="660" w:right="600" w:firstLine="645"/>
        <w:spacing w:after="0" w:line="308" w:lineRule="auto"/>
        <w:tabs>
          <w:tab w:leader="none" w:pos="196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Directly or indirectly, use the proceeds of any Loan for any purpose which would breach the United States Foreign Corrupt Practices Act of 1977, the UK Bribery Act 2010 and other similar anti-corruption legislation in other jurisdictions.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5"/>
          <w:szCs w:val="15"/>
          <w:u w:val="single" w:color="auto"/>
          <w:color w:val="auto"/>
        </w:rPr>
        <w:t>Consolidated Revenues.</w:t>
      </w:r>
    </w:p>
    <w:p>
      <w:pPr>
        <w:spacing w:after="0" w:line="225" w:lineRule="exact"/>
        <w:rPr>
          <w:sz w:val="20"/>
          <w:szCs w:val="20"/>
          <w:color w:val="auto"/>
        </w:rPr>
      </w:pPr>
    </w:p>
    <w:p>
      <w:pPr>
        <w:ind w:left="1940" w:hanging="635"/>
        <w:spacing w:after="0"/>
        <w:tabs>
          <w:tab w:leader="none" w:pos="194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Consolidated Revenues</w:t>
      </w:r>
      <w:r>
        <w:rPr>
          <w:rFonts w:ascii="Arial" w:cs="Arial" w:eastAsia="Arial" w:hAnsi="Arial"/>
          <w:sz w:val="18"/>
          <w:szCs w:val="18"/>
          <w:color w:val="auto"/>
        </w:rPr>
        <w:t>. Permit Consolidated Revenues for any four consecutive fiscal quarter period to be less than</w:t>
      </w:r>
    </w:p>
    <w:p>
      <w:pPr>
        <w:spacing w:after="0" w:line="23" w:lineRule="exact"/>
        <w:rPr>
          <w:rFonts w:ascii="Arial" w:cs="Arial" w:eastAsia="Arial" w:hAnsi="Arial"/>
          <w:sz w:val="18"/>
          <w:szCs w:val="18"/>
          <w:color w:val="auto"/>
        </w:rPr>
      </w:pPr>
    </w:p>
    <w:p>
      <w:pPr>
        <w:ind w:left="660" w:right="120" w:hanging="4"/>
        <w:spacing w:after="0" w:line="252" w:lineRule="auto"/>
        <w:tabs>
          <w:tab w:leader="none" w:pos="8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$40,000,000, for any four consecutive fiscal quarter period ending during the period from the Funding Date through and including December 30, 2016, (ii) $50,000,000, for any four consecutive fiscal quarter period ending during the period from December 31, 2016 through and including December 30, 2017, (iii) $60,000,000, for any four consecutive fiscal quarter period ending during the period from December 31, 2017 through and including December 30, 2018, (iv) $70,000,000, for any four consecutive fiscal quarter period ending during the period from December 31, 2018 through and including December 30, 2019, (v) $80,000,000, for any four consecutive fiscal quarter period ending during the period from December 31, 2019 through and including December 30, 2020, (vi) $90,000,000, for any four consecutive fiscal quarter period ending during the period from December 31, 2020 through and including December 30, 2021 and (vii) $100,000,000 for any four consecutive fiscal quarter period ending thereafter.</w:t>
      </w:r>
    </w:p>
    <w:p>
      <w:pPr>
        <w:spacing w:after="0" w:line="191" w:lineRule="exact"/>
        <w:rPr>
          <w:rFonts w:ascii="Arial" w:cs="Arial" w:eastAsia="Arial" w:hAnsi="Arial"/>
          <w:sz w:val="18"/>
          <w:szCs w:val="18"/>
          <w:color w:val="auto"/>
        </w:rPr>
      </w:pPr>
    </w:p>
    <w:p>
      <w:pPr>
        <w:ind w:left="1960" w:hanging="655"/>
        <w:spacing w:after="0"/>
        <w:tabs>
          <w:tab w:leader="none" w:pos="1960"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Cure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0" w:firstLine="653"/>
        <w:spacing w:after="0" w:line="280" w:lineRule="auto"/>
        <w:tabs>
          <w:tab w:leader="none" w:pos="2163" w:val="left"/>
        </w:tabs>
        <w:numPr>
          <w:ilvl w:val="2"/>
          <w:numId w:val="14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in the event that any Loan Party would otherwise be in default of the financial covenant set forth in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for any period, on or before the twentieth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subsequent to the due date for delivery of the financial statements for such period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(such period, the “</w:t>
      </w:r>
      <w:r>
        <w:rPr>
          <w:rFonts w:ascii="Arial" w:cs="Arial" w:eastAsia="Arial" w:hAnsi="Arial"/>
          <w:sz w:val="16"/>
          <w:szCs w:val="16"/>
          <w:u w:val="single" w:color="auto"/>
          <w:color w:val="auto"/>
        </w:rPr>
        <w:t>Cure Period</w:t>
      </w:r>
      <w:r>
        <w:rPr>
          <w:rFonts w:ascii="Arial" w:cs="Arial" w:eastAsia="Arial" w:hAnsi="Arial"/>
          <w:sz w:val="16"/>
          <w:szCs w:val="16"/>
          <w:color w:val="auto"/>
        </w:rPr>
        <w:t xml:space="preserve">”), the Borrower shall have the right to issue Qualified Capital Stock or Qualified Subordinated Debt, in each case, for cash in an aggregate amount not to exceed the amount necessary to cure the relevant failure to comply with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(such contribution, a “</w:t>
      </w:r>
      <w:r>
        <w:rPr>
          <w:rFonts w:ascii="Arial" w:cs="Arial" w:eastAsia="Arial" w:hAnsi="Arial"/>
          <w:sz w:val="16"/>
          <w:szCs w:val="16"/>
          <w:u w:val="single" w:color="auto"/>
          <w:color w:val="auto"/>
        </w:rPr>
        <w:t>Specified 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and upon the receipt by the Borrower of such Specified Equity Contribution within the Cure Period, the financial covenant set forth in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shall be recalculated giving effect to the following pro forma adjustments (collectively, the “</w:t>
      </w:r>
      <w:r>
        <w:rPr>
          <w:rFonts w:ascii="Arial" w:cs="Arial" w:eastAsia="Arial" w:hAnsi="Arial"/>
          <w:sz w:val="16"/>
          <w:szCs w:val="16"/>
          <w:u w:val="single" w:color="auto"/>
          <w:color w:val="auto"/>
        </w:rPr>
        <w:t>Cure Right</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1960" w:right="260" w:firstLine="641"/>
        <w:spacing w:after="0" w:line="259" w:lineRule="auto"/>
        <w:tabs>
          <w:tab w:leader="none" w:pos="3277" w:val="left"/>
        </w:tabs>
        <w:numPr>
          <w:ilvl w:val="3"/>
          <w:numId w:val="140"/>
        </w:numPr>
        <w:rPr>
          <w:rFonts w:ascii="Arial" w:cs="Arial" w:eastAsia="Arial" w:hAnsi="Arial"/>
          <w:sz w:val="18"/>
          <w:szCs w:val="18"/>
          <w:color w:val="auto"/>
        </w:rPr>
      </w:pPr>
      <w:r>
        <w:rPr>
          <w:rFonts w:ascii="Arial" w:cs="Arial" w:eastAsia="Arial" w:hAnsi="Arial"/>
          <w:sz w:val="18"/>
          <w:szCs w:val="18"/>
          <w:color w:val="auto"/>
        </w:rPr>
        <w:t>Consolidated Revenues shall be increased for the applicable fiscal quarter (the “</w:t>
      </w:r>
      <w:r>
        <w:rPr>
          <w:rFonts w:ascii="Arial" w:cs="Arial" w:eastAsia="Arial" w:hAnsi="Arial"/>
          <w:sz w:val="18"/>
          <w:szCs w:val="18"/>
          <w:u w:val="single" w:color="auto"/>
          <w:color w:val="auto"/>
        </w:rPr>
        <w:t>Applicable Quarter</w:t>
      </w:r>
      <w:r>
        <w:rPr>
          <w:rFonts w:ascii="Arial" w:cs="Arial" w:eastAsia="Arial" w:hAnsi="Arial"/>
          <w:sz w:val="18"/>
          <w:szCs w:val="18"/>
          <w:color w:val="auto"/>
        </w:rPr>
        <w:t xml:space="preserve">”) and any period of four consecutive fiscal quarters that includes the Applicable Quarter, solely for the purpose of measuring the financial covenant set forth in </w:t>
      </w:r>
      <w:r>
        <w:rPr>
          <w:rFonts w:ascii="Arial" w:cs="Arial" w:eastAsia="Arial" w:hAnsi="Arial"/>
          <w:sz w:val="18"/>
          <w:szCs w:val="18"/>
          <w:u w:val="single" w:color="auto"/>
          <w:color w:val="auto"/>
        </w:rPr>
        <w:t>Section 8.16(a)</w:t>
      </w:r>
      <w:r>
        <w:rPr>
          <w:rFonts w:ascii="Arial" w:cs="Arial" w:eastAsia="Arial" w:hAnsi="Arial"/>
          <w:sz w:val="18"/>
          <w:szCs w:val="18"/>
          <w:color w:val="auto"/>
        </w:rPr>
        <w:t>, and not for any other purpose under this Agreement, by an amount equal to the Specified Equity Contribution; and</w:t>
      </w:r>
    </w:p>
    <w:p>
      <w:pPr>
        <w:spacing w:after="0" w:line="186" w:lineRule="exact"/>
        <w:rPr>
          <w:rFonts w:ascii="Arial" w:cs="Arial" w:eastAsia="Arial" w:hAnsi="Arial"/>
          <w:sz w:val="18"/>
          <w:szCs w:val="18"/>
          <w:color w:val="auto"/>
        </w:rPr>
      </w:pPr>
    </w:p>
    <w:p>
      <w:pPr>
        <w:ind w:left="1960" w:right="180" w:firstLine="641"/>
        <w:spacing w:after="0" w:line="279" w:lineRule="auto"/>
        <w:tabs>
          <w:tab w:leader="none" w:pos="3267" w:val="left"/>
        </w:tabs>
        <w:numPr>
          <w:ilvl w:val="3"/>
          <w:numId w:val="140"/>
        </w:numPr>
        <w:rPr>
          <w:rFonts w:ascii="Arial" w:cs="Arial" w:eastAsia="Arial" w:hAnsi="Arial"/>
          <w:sz w:val="17"/>
          <w:szCs w:val="17"/>
          <w:color w:val="auto"/>
        </w:rPr>
      </w:pPr>
      <w:r>
        <w:rPr>
          <w:rFonts w:ascii="Arial" w:cs="Arial" w:eastAsia="Arial" w:hAnsi="Arial"/>
          <w:sz w:val="17"/>
          <w:szCs w:val="17"/>
          <w:color w:val="auto"/>
        </w:rPr>
        <w:t xml:space="preserve">If, after giving effect to the foregoing recalculation, the Loan Parties shall then be in compliance with the requirements of the financial covenant set forth in </w:t>
      </w:r>
      <w:r>
        <w:rPr>
          <w:rFonts w:ascii="Arial" w:cs="Arial" w:eastAsia="Arial" w:hAnsi="Arial"/>
          <w:sz w:val="17"/>
          <w:szCs w:val="17"/>
          <w:u w:val="single" w:color="auto"/>
          <w:color w:val="auto"/>
        </w:rPr>
        <w:t>Section 8.16(a)</w:t>
      </w:r>
      <w:r>
        <w:rPr>
          <w:rFonts w:ascii="Arial" w:cs="Arial" w:eastAsia="Arial" w:hAnsi="Arial"/>
          <w:sz w:val="17"/>
          <w:szCs w:val="17"/>
          <w:color w:val="auto"/>
        </w:rPr>
        <w:t xml:space="preserve">, the Loan Parties shall be deemed to have satisfied the requirements of the financial covenant set forth in </w:t>
      </w:r>
      <w:r>
        <w:rPr>
          <w:rFonts w:ascii="Arial" w:cs="Arial" w:eastAsia="Arial" w:hAnsi="Arial"/>
          <w:sz w:val="17"/>
          <w:szCs w:val="17"/>
          <w:u w:val="single" w:color="auto"/>
          <w:color w:val="auto"/>
        </w:rPr>
        <w:t>Section 8.16(a)</w:t>
      </w:r>
      <w:r>
        <w:rPr>
          <w:rFonts w:ascii="Arial" w:cs="Arial" w:eastAsia="Arial" w:hAnsi="Arial"/>
          <w:sz w:val="17"/>
          <w:szCs w:val="17"/>
          <w:color w:val="auto"/>
        </w:rPr>
        <w:t xml:space="preserve"> as of the relevant date of determination with the same effect as though there had been no failure to comply therewith at such date, and the applicable breach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 xml:space="preserve">default of the covenant set forth in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that had occurred shall be deemed cured for the purposes of this Agreement.</w:t>
      </w:r>
    </w:p>
    <w:p>
      <w:pPr>
        <w:spacing w:after="0" w:line="248" w:lineRule="exact"/>
        <w:rPr>
          <w:sz w:val="20"/>
          <w:szCs w:val="20"/>
          <w:color w:val="auto"/>
        </w:rPr>
      </w:pPr>
    </w:p>
    <w:p>
      <w:pPr>
        <w:ind w:left="1300" w:firstLine="653"/>
        <w:spacing w:after="0" w:line="291" w:lineRule="auto"/>
        <w:tabs>
          <w:tab w:leader="none" w:pos="262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Notwithstanding anything herein to the contrary, (A) the Loan Parties shall provide notice to the Administrative Agent of their intention to exercise the Cure Right (the “</w:t>
      </w:r>
      <w:r>
        <w:rPr>
          <w:rFonts w:ascii="Arial" w:cs="Arial" w:eastAsia="Arial" w:hAnsi="Arial"/>
          <w:sz w:val="16"/>
          <w:szCs w:val="16"/>
          <w:u w:val="single" w:color="auto"/>
          <w:color w:val="auto"/>
        </w:rPr>
        <w:t>Cure Notice</w:t>
      </w:r>
      <w:r>
        <w:rPr>
          <w:rFonts w:ascii="Arial" w:cs="Arial" w:eastAsia="Arial" w:hAnsi="Arial"/>
          <w:sz w:val="16"/>
          <w:szCs w:val="16"/>
          <w:color w:val="auto"/>
        </w:rPr>
        <w:t xml:space="preserve">”) no later than the date of delivery of the financial statements evidencing such noncompliance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(B) in each four fiscal quarter period, there shall be a period of at least two (2) fiscal quarters in respect of which no Cure Right is exercised, (C) the Specified Equity Contribution shall be no greater than the amount required for purposes of complying with the financial covenant in </w:t>
      </w:r>
      <w:r>
        <w:rPr>
          <w:rFonts w:ascii="Arial" w:cs="Arial" w:eastAsia="Arial" w:hAnsi="Arial"/>
          <w:sz w:val="16"/>
          <w:szCs w:val="16"/>
          <w:u w:val="single" w:color="auto"/>
          <w:color w:val="auto"/>
        </w:rPr>
        <w:t>Section 8.16(a)</w:t>
      </w:r>
      <w:r>
        <w:rPr>
          <w:rFonts w:ascii="Arial" w:cs="Arial" w:eastAsia="Arial" w:hAnsi="Arial"/>
          <w:sz w:val="16"/>
          <w:szCs w:val="16"/>
          <w:color w:val="auto"/>
        </w:rPr>
        <w:t>, (D) the Specified Equity Contribution received pursuant to any exercise of the Cure Right shall be disregarded for purposes of determining any available basket under any covenant in this Agreement, (E) the Cure Right may be exercised no more than three (3) times during the term of this Agreement, (F) notwithstanding anything to the contrary set forth in</w:t>
      </w:r>
    </w:p>
    <w:p>
      <w:pPr>
        <w:sectPr>
          <w:pgSz w:w="11900" w:h="16932" w:orient="portrait"/>
          <w:cols w:equalWidth="0" w:num="1">
            <w:col w:w="11420"/>
          </w:cols>
          <w:pgMar w:left="240" w:top="341" w:right="239" w:bottom="0" w:gutter="0" w:footer="0" w:header="0"/>
        </w:sectPr>
      </w:pPr>
    </w:p>
    <w:bookmarkStart w:id="82" w:name="page83"/>
    <w:bookmarkEnd w:id="82"/>
    <w:p>
      <w:pPr>
        <w:ind w:left="1300"/>
        <w:spacing w:after="0"/>
        <w:rPr>
          <w:sz w:val="20"/>
          <w:szCs w:val="20"/>
          <w:color w:val="auto"/>
        </w:rPr>
      </w:pPr>
      <w:r>
        <w:rPr>
          <w:rFonts w:ascii="Arial" w:cs="Arial" w:eastAsia="Arial" w:hAnsi="Arial"/>
          <w:sz w:val="17"/>
          <w:szCs w:val="17"/>
          <w:color w:val="auto"/>
        </w:rPr>
        <w:t>this Agreement, the aggregate outstanding amount of all Qualified Subordinated Debt shall at no time exceed $10,000,000, (G) unless</w:t>
      </w:r>
    </w:p>
    <w:p>
      <w:pPr>
        <w:spacing w:after="0" w:line="35" w:lineRule="exact"/>
        <w:rPr>
          <w:sz w:val="20"/>
          <w:szCs w:val="20"/>
          <w:color w:val="auto"/>
        </w:rPr>
      </w:pPr>
    </w:p>
    <w:p>
      <w:pPr>
        <w:ind w:left="1560" w:hanging="255"/>
        <w:spacing w:after="0"/>
        <w:tabs>
          <w:tab w:leader="none" w:pos="15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Borrower has stated in writing that it does not intend to cause a Specified Equity Contribution to be provided or (y) the Event of</w:t>
      </w:r>
    </w:p>
    <w:p>
      <w:pPr>
        <w:spacing w:after="0" w:line="20" w:lineRule="exact"/>
        <w:rPr>
          <w:rFonts w:ascii="Arial" w:cs="Arial" w:eastAsia="Arial" w:hAnsi="Arial"/>
          <w:sz w:val="17"/>
          <w:szCs w:val="17"/>
          <w:color w:val="auto"/>
        </w:rPr>
      </w:pPr>
    </w:p>
    <w:p>
      <w:pPr>
        <w:ind w:left="1300"/>
        <w:spacing w:after="0" w:line="265" w:lineRule="auto"/>
        <w:rPr>
          <w:rFonts w:ascii="Arial" w:cs="Arial" w:eastAsia="Arial" w:hAnsi="Arial"/>
          <w:sz w:val="17"/>
          <w:szCs w:val="17"/>
          <w:color w:val="auto"/>
        </w:rPr>
      </w:pPr>
      <w:r>
        <w:rPr>
          <w:rFonts w:ascii="Arial" w:cs="Arial" w:eastAsia="Arial" w:hAnsi="Arial"/>
          <w:sz w:val="16"/>
          <w:szCs w:val="16"/>
          <w:color w:val="auto"/>
        </w:rPr>
        <w:t xml:space="preserve">Default is precluded from being cured pursuant to this </w:t>
      </w:r>
      <w:r>
        <w:rPr>
          <w:rFonts w:ascii="Arial" w:cs="Arial" w:eastAsia="Arial" w:hAnsi="Arial"/>
          <w:sz w:val="16"/>
          <w:szCs w:val="16"/>
          <w:u w:val="single" w:color="auto"/>
          <w:color w:val="auto"/>
        </w:rPr>
        <w:t>Section 8.16(b)</w:t>
      </w:r>
      <w:r>
        <w:rPr>
          <w:rFonts w:ascii="Arial" w:cs="Arial" w:eastAsia="Arial" w:hAnsi="Arial"/>
          <w:sz w:val="16"/>
          <w:szCs w:val="16"/>
          <w:color w:val="auto"/>
        </w:rPr>
        <w:t xml:space="preserve"> because of </w:t>
      </w:r>
      <w:r>
        <w:rPr>
          <w:rFonts w:ascii="Arial" w:cs="Arial" w:eastAsia="Arial" w:hAnsi="Arial"/>
          <w:sz w:val="16"/>
          <w:szCs w:val="16"/>
          <w:u w:val="single" w:color="auto"/>
          <w:color w:val="auto"/>
        </w:rPr>
        <w:t>clause (b)(ii)(B)</w:t>
      </w:r>
      <w:r>
        <w:rPr>
          <w:rFonts w:ascii="Arial" w:cs="Arial" w:eastAsia="Arial" w:hAnsi="Arial"/>
          <w:sz w:val="16"/>
          <w:szCs w:val="16"/>
          <w:color w:val="auto"/>
        </w:rPr>
        <w:t xml:space="preserve">, </w:t>
      </w:r>
      <w:r>
        <w:rPr>
          <w:rFonts w:ascii="Arial" w:cs="Arial" w:eastAsia="Arial" w:hAnsi="Arial"/>
          <w:sz w:val="16"/>
          <w:szCs w:val="16"/>
          <w:u w:val="single" w:color="auto"/>
          <w:color w:val="auto"/>
        </w:rPr>
        <w:t>(b)(ii)(C)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(b)(ii)(E)</w:t>
      </w:r>
      <w:r>
        <w:rPr>
          <w:rFonts w:ascii="Arial" w:cs="Arial" w:eastAsia="Arial" w:hAnsi="Arial"/>
          <w:sz w:val="16"/>
          <w:szCs w:val="16"/>
          <w:color w:val="auto"/>
        </w:rPr>
        <w:t xml:space="preserve"> above, following receipt of the Cure Notice as provided in </w:t>
      </w:r>
      <w:r>
        <w:rPr>
          <w:rFonts w:ascii="Arial" w:cs="Arial" w:eastAsia="Arial" w:hAnsi="Arial"/>
          <w:sz w:val="16"/>
          <w:szCs w:val="16"/>
          <w:u w:val="single" w:color="auto"/>
          <w:color w:val="auto"/>
        </w:rPr>
        <w:t>clause (b)(ii)(A)</w:t>
      </w:r>
      <w:r>
        <w:rPr>
          <w:rFonts w:ascii="Arial" w:cs="Arial" w:eastAsia="Arial" w:hAnsi="Arial"/>
          <w:sz w:val="16"/>
          <w:szCs w:val="16"/>
          <w:color w:val="auto"/>
        </w:rPr>
        <w:t xml:space="preserve"> above, neither the Administrative Agent nor any Lender shall exercise any remedy under the Loan Documents or applicable Laws on the basis of an Event of Default caused solely by the failure of the Loan Parties to comply with </w:t>
      </w:r>
      <w:r>
        <w:rPr>
          <w:rFonts w:ascii="Arial" w:cs="Arial" w:eastAsia="Arial" w:hAnsi="Arial"/>
          <w:sz w:val="16"/>
          <w:szCs w:val="16"/>
          <w:u w:val="single" w:color="auto"/>
          <w:color w:val="auto"/>
        </w:rPr>
        <w:t>Section 8.16(a)</w:t>
      </w:r>
      <w:r>
        <w:rPr>
          <w:rFonts w:ascii="Arial" w:cs="Arial" w:eastAsia="Arial" w:hAnsi="Arial"/>
          <w:sz w:val="16"/>
          <w:szCs w:val="16"/>
          <w:color w:val="auto"/>
        </w:rPr>
        <w:t xml:space="preserve"> until the first (1</w:t>
      </w:r>
      <w:r>
        <w:rPr>
          <w:rFonts w:ascii="Arial" w:cs="Arial" w:eastAsia="Arial" w:hAnsi="Arial"/>
          <w:sz w:val="20"/>
          <w:szCs w:val="20"/>
          <w:color w:val="auto"/>
          <w:vertAlign w:val="superscript"/>
        </w:rPr>
        <w:t>st</w:t>
      </w:r>
      <w:r>
        <w:rPr>
          <w:rFonts w:ascii="Arial" w:cs="Arial" w:eastAsia="Arial" w:hAnsi="Arial"/>
          <w:sz w:val="16"/>
          <w:szCs w:val="16"/>
          <w:color w:val="auto"/>
        </w:rPr>
        <w:t>) Business Day immediately following the end of the Cure Period (the “</w:t>
      </w:r>
      <w:r>
        <w:rPr>
          <w:rFonts w:ascii="Arial" w:cs="Arial" w:eastAsia="Arial" w:hAnsi="Arial"/>
          <w:sz w:val="16"/>
          <w:szCs w:val="16"/>
          <w:u w:val="single" w:color="auto"/>
          <w:color w:val="auto"/>
        </w:rPr>
        <w:t>Standstill Period</w:t>
      </w:r>
      <w:r>
        <w:rPr>
          <w:rFonts w:ascii="Arial" w:cs="Arial" w:eastAsia="Arial" w:hAnsi="Arial"/>
          <w:sz w:val="16"/>
          <w:szCs w:val="16"/>
          <w:color w:val="auto"/>
        </w:rPr>
        <w:t>”) and</w:t>
      </w:r>
    </w:p>
    <w:p>
      <w:pPr>
        <w:spacing w:after="0" w:line="2" w:lineRule="exact"/>
        <w:rPr>
          <w:rFonts w:ascii="Arial" w:cs="Arial" w:eastAsia="Arial" w:hAnsi="Arial"/>
          <w:sz w:val="17"/>
          <w:szCs w:val="17"/>
          <w:color w:val="auto"/>
        </w:rPr>
      </w:pPr>
    </w:p>
    <w:p>
      <w:pPr>
        <w:ind w:left="1300" w:right="320"/>
        <w:spacing w:after="0" w:line="259" w:lineRule="auto"/>
        <w:rPr>
          <w:rFonts w:ascii="Arial" w:cs="Arial" w:eastAsia="Arial" w:hAnsi="Arial"/>
          <w:sz w:val="17"/>
          <w:szCs w:val="17"/>
          <w:color w:val="auto"/>
        </w:rPr>
      </w:pPr>
      <w:r>
        <w:rPr>
          <w:rFonts w:ascii="Arial" w:cs="Arial" w:eastAsia="Arial" w:hAnsi="Arial"/>
          <w:sz w:val="18"/>
          <w:szCs w:val="18"/>
          <w:color w:val="auto"/>
        </w:rPr>
        <w:t xml:space="preserve">(H) during the Standstill Period (unless and until the Event of Default is cured pursuant to this </w:t>
      </w:r>
      <w:r>
        <w:rPr>
          <w:rFonts w:ascii="Arial" w:cs="Arial" w:eastAsia="Arial" w:hAnsi="Arial"/>
          <w:sz w:val="18"/>
          <w:szCs w:val="18"/>
          <w:u w:val="single" w:color="auto"/>
          <w:color w:val="auto"/>
        </w:rPr>
        <w:t>Section 8.16(b)</w:t>
      </w:r>
      <w:r>
        <w:rPr>
          <w:rFonts w:ascii="Arial" w:cs="Arial" w:eastAsia="Arial" w:hAnsi="Arial"/>
          <w:sz w:val="18"/>
          <w:szCs w:val="18"/>
          <w:color w:val="auto"/>
        </w:rPr>
        <w:t>), no Lender shall have an obligation to honor any Loan Notice.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7"/>
          <w:szCs w:val="17"/>
          <w:u w:val="single" w:color="auto"/>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 Liquidity, at any time, to be less than $5,000,000.</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8.18</w:t>
      </w:r>
      <w:r>
        <w:rPr>
          <w:sz w:val="20"/>
          <w:szCs w:val="20"/>
          <w:color w:val="auto"/>
        </w:rPr>
        <w:tab/>
      </w:r>
      <w:r>
        <w:rPr>
          <w:rFonts w:ascii="Arial" w:cs="Arial" w:eastAsia="Arial" w:hAnsi="Arial"/>
          <w:sz w:val="16"/>
          <w:szCs w:val="16"/>
          <w:u w:val="single" w:color="auto"/>
          <w:color w:val="auto"/>
        </w:rPr>
        <w:t>Accounts.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Each of the Loan Parties shall not open, maintain or otherwise have any deposit or other accounts (including securities accounts) at any bank or other financial institution, or any other account where money or securities are or may be deposited or maintained with any Person, other than (i) deposit accounts that are maintained at all times with depositary institutions as to which the Administrative Agent shall have received a Qualifying Control Agreement,</w:t>
      </w:r>
    </w:p>
    <w:p>
      <w:pPr>
        <w:ind w:right="20" w:firstLine="8"/>
        <w:spacing w:after="0" w:line="252" w:lineRule="auto"/>
        <w:tabs>
          <w:tab w:leader="none" w:pos="26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securities accounts that are maintained at all times with financial institutions as to which the Administrative Agent shall have received a Qualifying Control Agreement, (iii) deposit accounts established solely as payroll and other zero balance accounts, (iv) the SVB Cash Collateral Accounts, so long as the aggregate amount of cash and Cash Equivalents held in such accounts does not exceed $1,000,000 at any one time, (v) any Government Receivables Account, so long as the aggregate cash balance in any such Government Receivables Account is swept on a daily basis to a deposit account as to which the Administrative Agent shall have received a Qualifying Account Control Agreement and (vi) other deposit accounts, so long as at any time the aggregate balance in all such accounts does not exceed $100,000.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225" w:lineRule="exact"/>
        <w:rPr>
          <w:sz w:val="20"/>
          <w:szCs w:val="20"/>
          <w:color w:val="auto"/>
        </w:rPr>
      </w:pPr>
    </w:p>
    <w:p>
      <w:pPr>
        <w:ind w:left="660" w:right="140" w:firstLine="645"/>
        <w:spacing w:after="0" w:line="259" w:lineRule="auto"/>
        <w:tabs>
          <w:tab w:leader="none" w:pos="1954"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 or any other Loan Party fails to pay (i) when and as required to be paid herein, any amount of principal of any Loan, (ii) within three (3) Business Days after the same becomes due, any interest on any Loan, or any fee or prepayment premium due hereunder or (iii) within five (5) Business Days after the same becomes due, any other amount payable hereunder or under any other Loan Document; or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Any Loan Party fails to perform or observe any term, covenant or agreement contained in any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w:t>
      </w:r>
      <w:r>
        <w:rPr>
          <w:rFonts w:ascii="Arial" w:cs="Arial" w:eastAsia="Arial" w:hAnsi="Arial"/>
          <w:sz w:val="18"/>
          <w:szCs w:val="18"/>
          <w:u w:val="single" w:color="auto"/>
          <w:color w:val="auto"/>
        </w:rPr>
        <w:t>7.12</w:t>
      </w:r>
      <w:r>
        <w:rPr>
          <w:rFonts w:ascii="Arial" w:cs="Arial" w:eastAsia="Arial" w:hAnsi="Arial"/>
          <w:sz w:val="18"/>
          <w:szCs w:val="18"/>
          <w:color w:val="auto"/>
        </w:rPr>
        <w:t xml:space="preserve">, </w:t>
      </w:r>
      <w:r>
        <w:rPr>
          <w:rFonts w:ascii="Arial" w:cs="Arial" w:eastAsia="Arial" w:hAnsi="Arial"/>
          <w:sz w:val="18"/>
          <w:szCs w:val="18"/>
          <w:u w:val="single" w:color="auto"/>
          <w:color w:val="auto"/>
        </w:rPr>
        <w:t>7.14</w:t>
      </w:r>
      <w:r>
        <w:rPr>
          <w:rFonts w:ascii="Arial" w:cs="Arial" w:eastAsia="Arial" w:hAnsi="Arial"/>
          <w:sz w:val="18"/>
          <w:szCs w:val="18"/>
          <w:color w:val="auto"/>
        </w:rPr>
        <w:t xml:space="preserve">, </w:t>
      </w:r>
      <w:r>
        <w:rPr>
          <w:rFonts w:ascii="Arial" w:cs="Arial" w:eastAsia="Arial" w:hAnsi="Arial"/>
          <w:sz w:val="18"/>
          <w:szCs w:val="18"/>
          <w:u w:val="single" w:color="auto"/>
          <w:color w:val="auto"/>
        </w:rPr>
        <w:t>7.15</w:t>
      </w:r>
      <w:r>
        <w:rPr>
          <w:rFonts w:ascii="Arial" w:cs="Arial" w:eastAsia="Arial" w:hAnsi="Arial"/>
          <w:sz w:val="18"/>
          <w:szCs w:val="18"/>
          <w:color w:val="auto"/>
        </w:rPr>
        <w:t xml:space="preserve">, </w:t>
      </w:r>
      <w:r>
        <w:rPr>
          <w:rFonts w:ascii="Arial" w:cs="Arial" w:eastAsia="Arial" w:hAnsi="Arial"/>
          <w:sz w:val="18"/>
          <w:szCs w:val="18"/>
          <w:u w:val="single" w:color="auto"/>
          <w:color w:val="auto"/>
        </w:rPr>
        <w:t>7.16</w:t>
      </w:r>
      <w:r>
        <w:rPr>
          <w:rFonts w:ascii="Arial" w:cs="Arial" w:eastAsia="Arial" w:hAnsi="Arial"/>
          <w:sz w:val="18"/>
          <w:szCs w:val="18"/>
          <w:color w:val="auto"/>
        </w:rPr>
        <w:t xml:space="preserve">, </w:t>
      </w:r>
      <w:r>
        <w:rPr>
          <w:rFonts w:ascii="Arial" w:cs="Arial" w:eastAsia="Arial" w:hAnsi="Arial"/>
          <w:sz w:val="18"/>
          <w:szCs w:val="18"/>
          <w:u w:val="single" w:color="auto"/>
          <w:color w:val="auto"/>
        </w:rPr>
        <w:t>7.17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or</w:t>
      </w:r>
    </w:p>
    <w:p>
      <w:pPr>
        <w:spacing w:after="0" w:line="211" w:lineRule="exact"/>
        <w:rPr>
          <w:sz w:val="20"/>
          <w:szCs w:val="20"/>
          <w:color w:val="auto"/>
        </w:rPr>
      </w:pPr>
    </w:p>
    <w:p>
      <w:pPr>
        <w:ind w:left="1960" w:hanging="655"/>
        <w:spacing w:after="0"/>
        <w:tabs>
          <w:tab w:leader="none" w:pos="1960"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xml:space="preserve">. Any Loan Party fails to perform or observe any other covenant or agreement (not specified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w:t>
      </w:r>
    </w:p>
    <w:p>
      <w:pPr>
        <w:spacing w:after="0" w:line="46" w:lineRule="exact"/>
        <w:rPr>
          <w:rFonts w:ascii="Arial" w:cs="Arial" w:eastAsia="Arial" w:hAnsi="Arial"/>
          <w:sz w:val="16"/>
          <w:szCs w:val="16"/>
          <w:color w:val="auto"/>
        </w:rPr>
      </w:pPr>
    </w:p>
    <w:p>
      <w:pPr>
        <w:jc w:val="both"/>
        <w:ind w:left="660" w:right="20" w:hanging="4"/>
        <w:spacing w:after="0" w:line="255" w:lineRule="auto"/>
        <w:tabs>
          <w:tab w:leader="none" w:pos="915" w:val="left"/>
        </w:tabs>
        <w:numPr>
          <w:ilvl w:val="0"/>
          <w:numId w:val="146"/>
        </w:numPr>
        <w:rPr>
          <w:rFonts w:ascii="Arial" w:cs="Arial" w:eastAsia="Arial" w:hAnsi="Arial"/>
          <w:sz w:val="18"/>
          <w:szCs w:val="18"/>
          <w:u w:val="single" w:color="auto"/>
          <w:color w:val="auto"/>
        </w:rPr>
      </w:pPr>
      <w:r>
        <w:rPr>
          <w:rFonts w:ascii="Arial" w:cs="Arial" w:eastAsia="Arial" w:hAnsi="Arial"/>
          <w:sz w:val="18"/>
          <w:szCs w:val="18"/>
          <w:color w:val="auto"/>
        </w:rPr>
        <w:t>above) contained in any Loan Document on its part to be performed or observed and such failure continues for thirty (30) days after the earlier of the date on which (i) a Responsible Officer of the Borrower becomes aware of such failure and (ii) written notice thereof shall have been given to the Borrower by the Administrative Agent or any Lender; or</w:t>
      </w:r>
    </w:p>
    <w:p>
      <w:pPr>
        <w:spacing w:after="0" w:line="190" w:lineRule="exact"/>
        <w:rPr>
          <w:rFonts w:ascii="Arial" w:cs="Arial" w:eastAsia="Arial" w:hAnsi="Arial"/>
          <w:sz w:val="18"/>
          <w:szCs w:val="18"/>
          <w:u w:val="single" w:color="auto"/>
          <w:color w:val="auto"/>
        </w:rPr>
      </w:pPr>
    </w:p>
    <w:p>
      <w:pPr>
        <w:ind w:left="660" w:right="240" w:firstLine="645"/>
        <w:spacing w:after="0" w:line="264" w:lineRule="auto"/>
        <w:tabs>
          <w:tab w:leader="none" w:pos="1964"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when made or deemed made; or</w:t>
      </w:r>
    </w:p>
    <w:p>
      <w:pPr>
        <w:spacing w:after="0" w:line="181" w:lineRule="exact"/>
        <w:rPr>
          <w:rFonts w:ascii="Arial" w:cs="Arial" w:eastAsia="Arial" w:hAnsi="Arial"/>
          <w:sz w:val="18"/>
          <w:szCs w:val="18"/>
          <w:color w:val="auto"/>
        </w:rPr>
      </w:pPr>
    </w:p>
    <w:p>
      <w:pPr>
        <w:ind w:left="660" w:firstLine="645"/>
        <w:spacing w:after="0" w:line="286" w:lineRule="auto"/>
        <w:tabs>
          <w:tab w:leader="none" w:pos="1967"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Any Loan Party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spacing w:after="0" w:line="171" w:lineRule="exact"/>
        <w:rPr>
          <w:rFonts w:ascii="Arial" w:cs="Arial" w:eastAsia="Arial" w:hAnsi="Arial"/>
          <w:sz w:val="16"/>
          <w:szCs w:val="16"/>
          <w:color w:val="auto"/>
        </w:rPr>
      </w:pPr>
    </w:p>
    <w:p>
      <w:pPr>
        <w:ind w:left="660" w:right="180" w:firstLine="645"/>
        <w:spacing w:after="0" w:line="277" w:lineRule="auto"/>
        <w:tabs>
          <w:tab w:leader="none" w:pos="1961"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Any Loan Party or any of its Subsidiaries institutes or consents to the institution of any proceeding under any Debtor Relief Law, or makes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83" w:name="page84"/>
    <w:bookmarkEnd w:id="83"/>
    <w:p>
      <w:pPr>
        <w:spacing w:after="0" w:line="26"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93" w:lineRule="exact"/>
        <w:rPr>
          <w:sz w:val="20"/>
          <w:szCs w:val="20"/>
          <w:color w:val="auto"/>
        </w:rPr>
      </w:pPr>
    </w:p>
    <w:p>
      <w:pPr>
        <w:ind w:left="660" w:right="20" w:firstLine="645"/>
        <w:spacing w:after="0" w:line="259" w:lineRule="auto"/>
        <w:tabs>
          <w:tab w:leader="none" w:pos="1977"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or any of its Subsidiaries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186" w:lineRule="exact"/>
        <w:rPr>
          <w:rFonts w:ascii="Arial" w:cs="Arial" w:eastAsia="Arial" w:hAnsi="Arial"/>
          <w:sz w:val="18"/>
          <w:szCs w:val="18"/>
          <w:color w:val="auto"/>
        </w:rPr>
      </w:pPr>
    </w:p>
    <w:p>
      <w:pPr>
        <w:ind w:left="660" w:right="20" w:firstLine="645"/>
        <w:spacing w:after="0" w:line="255" w:lineRule="auto"/>
        <w:tabs>
          <w:tab w:leader="none" w:pos="1964"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(i) one or more final judgments or orders for the payment of money in an aggregate amount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pacing w:after="0" w:line="193" w:lineRule="exact"/>
        <w:rPr>
          <w:rFonts w:ascii="Arial" w:cs="Arial" w:eastAsia="Arial" w:hAnsi="Arial"/>
          <w:sz w:val="18"/>
          <w:szCs w:val="18"/>
          <w:color w:val="auto"/>
        </w:rPr>
      </w:pPr>
    </w:p>
    <w:p>
      <w:pPr>
        <w:ind w:left="660" w:right="40" w:firstLine="645"/>
        <w:spacing w:after="0" w:line="291" w:lineRule="auto"/>
        <w:tabs>
          <w:tab w:leader="none" w:pos="1978"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 An ERISA Event occurs with respect to a Pension Plan which has resulted or could reasonably be expected to result in liability of any Loan Party under Title IV of ERISA to the Pension Plan or the PBGC in an aggregate amount in excess of the Threshold Amount or</w:t>
      </w:r>
    </w:p>
    <w:p>
      <w:pPr>
        <w:ind w:left="660" w:right="340" w:hanging="4"/>
        <w:spacing w:after="0" w:line="255" w:lineRule="auto"/>
        <w:tabs>
          <w:tab w:leader="none" w:pos="92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90" w:lineRule="exact"/>
        <w:rPr>
          <w:rFonts w:ascii="Arial" w:cs="Arial" w:eastAsia="Arial" w:hAnsi="Arial"/>
          <w:sz w:val="18"/>
          <w:szCs w:val="18"/>
          <w:color w:val="auto"/>
        </w:rPr>
      </w:pPr>
    </w:p>
    <w:p>
      <w:pPr>
        <w:jc w:val="both"/>
        <w:ind w:left="660" w:firstLine="645"/>
        <w:spacing w:after="0" w:line="259" w:lineRule="auto"/>
        <w:tabs>
          <w:tab w:leader="none" w:pos="1964"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Loan Document, at any time after its execution and delivery and for any reason other than as expressly permitted hereunder or thereunder,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ind w:left="660" w:right="20" w:firstLine="645"/>
        <w:spacing w:after="0" w:line="257" w:lineRule="auto"/>
        <w:tabs>
          <w:tab w:leader="none" w:pos="1978"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Invalidity of Subordination Provisions</w:t>
      </w:r>
      <w:r>
        <w:rPr>
          <w:rFonts w:ascii="Arial" w:cs="Arial" w:eastAsia="Arial" w:hAnsi="Arial"/>
          <w:sz w:val="18"/>
          <w:szCs w:val="18"/>
          <w:color w:val="auto"/>
        </w:rPr>
        <w:t>. Any subordination provision in any document or instrument governing Indebtedness that is purported to be subordinated to the Obligations or any subordination provision in any subordination agreement that relates to any Indebtedness that is to be subordinated to the Obligations, or any subordination provision in any guaranty by any Loan Party of any such Indebtedness, shall cease to be in full force and effect, or any Person (including the holder of any such Indebtedness) shall contest in any manner the validity, binding nature or enforceability of any such provision;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firstLine="645"/>
        <w:spacing w:after="0" w:line="277" w:lineRule="auto"/>
        <w:tabs>
          <w:tab w:leader="none" w:pos="19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Permitted Senior Revolving Credit Indebtedness</w:t>
      </w:r>
      <w:r>
        <w:rPr>
          <w:rFonts w:ascii="Arial" w:cs="Arial" w:eastAsia="Arial" w:hAnsi="Arial"/>
          <w:sz w:val="18"/>
          <w:szCs w:val="18"/>
          <w:color w:val="auto"/>
        </w:rPr>
        <w:t>. There occurs an “Event of Default” (or any comparable term) under, and as defined in, any Permitted Senior Revolving Credit Document; or</w:t>
      </w:r>
    </w:p>
    <w:p>
      <w:pPr>
        <w:spacing w:after="0" w:line="170"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Qualified Subordinated Debt</w:t>
      </w:r>
      <w:r>
        <w:rPr>
          <w:rFonts w:ascii="Arial" w:cs="Arial" w:eastAsia="Arial" w:hAnsi="Arial"/>
          <w:sz w:val="18"/>
          <w:szCs w:val="18"/>
          <w:color w:val="auto"/>
        </w:rPr>
        <w:t>. There shall occur an “Event of Default” (or any comparable term) under, and as defined in, any Qualified Subordinated Debt Document.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Remedies Upon Event of Default.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170" w:lineRule="exact"/>
        <w:rPr>
          <w:sz w:val="20"/>
          <w:szCs w:val="20"/>
          <w:color w:val="auto"/>
        </w:rPr>
      </w:pPr>
    </w:p>
    <w:p>
      <w:pPr>
        <w:ind w:left="1940" w:hanging="635"/>
        <w:spacing w:after="0"/>
        <w:tabs>
          <w:tab w:leader="none" w:pos="19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declare the commitment of each Lender to make Loans to be terminated, whereupon such commitments and obligation shall be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terminated;</w:t>
      </w:r>
    </w:p>
    <w:p>
      <w:pPr>
        <w:spacing w:after="0" w:line="210" w:lineRule="exact"/>
        <w:rPr>
          <w:rFonts w:ascii="Arial" w:cs="Arial" w:eastAsia="Arial" w:hAnsi="Arial"/>
          <w:sz w:val="16"/>
          <w:szCs w:val="16"/>
          <w:color w:val="auto"/>
        </w:rPr>
      </w:pPr>
    </w:p>
    <w:p>
      <w:pPr>
        <w:ind w:left="660" w:right="20" w:firstLine="645"/>
        <w:spacing w:after="0" w:line="264" w:lineRule="auto"/>
        <w:tabs>
          <w:tab w:leader="none" w:pos="19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exercise on behalf of itself and the Lenders all rights and remedies available to it and the Lenders under the Loan Documents;</w:t>
      </w:r>
    </w:p>
    <w:p>
      <w:pPr>
        <w:spacing w:after="0" w:line="2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upon the occurrence of an actual or deemed entry of an order for relief with respect to the Borrower under the Bankruptcy Code of the United States, the obligation of each Lender to make Loans shall automatically terminate, the unpaid principal amount of all outstanding Loans and all interest and other amounts as aforesaid shall automatically become due and payable, in each case without further act of the Administrative Agent or any Lender.</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If the Obligations are accelerated for any reason, the 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will also be due and payable as though such Obligations were voluntarily prepaid and any discount on the Loans shall be deemed earned in full and, in each case, shall constitute part of the Obligations, in view of the impracticability and extreme difficulty of ascertaining actual damages and by mutual agreement of the parties as to a reasonable calculation of each Lender’s lost profits as a result thereof. Any 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payable pursuant to the preceding sentence shall be presumed to be the liquidated damages sustained by each Lender as the result of the early termination and the Borrower agrees that it is reasonable under the circumstances currently existing. The 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shall also be payable and any discount on the Loans shall be deemed earned in full, in each case, in the event that the Obligations (and/or this Agreement) are satisfied or released by foreclosure (whether by power of judicial proceeding), deed in lieu of foreclosure or by any other means. TO THE EXTENT PERMITTED BY APPLICABLE LAW, THE BORROWER EXPRESSLY WAIVES THE PROVISIONS OF ANY PRESENT OR FUTURE STATUTE OR LAW THAT PROHIBITS OR MAY PROHIBIT THE</w:t>
      </w:r>
    </w:p>
    <w:p>
      <w:pPr>
        <w:sectPr>
          <w:pgSz w:w="11900" w:h="16865" w:orient="portrait"/>
          <w:cols w:equalWidth="0" w:num="1">
            <w:col w:w="11420"/>
          </w:cols>
          <w:pgMar w:left="240" w:top="125" w:right="239" w:bottom="0" w:gutter="0" w:footer="0" w:header="0"/>
        </w:sectPr>
      </w:pPr>
    </w:p>
    <w:bookmarkStart w:id="84" w:name="page85"/>
    <w:bookmarkEnd w:id="84"/>
    <w:p>
      <w:pPr>
        <w:ind w:right="80"/>
        <w:spacing w:after="0" w:line="255" w:lineRule="auto"/>
        <w:rPr>
          <w:sz w:val="20"/>
          <w:szCs w:val="20"/>
          <w:color w:val="auto"/>
        </w:rPr>
      </w:pPr>
      <w:r>
        <w:rPr>
          <w:rFonts w:ascii="Arial" w:cs="Arial" w:eastAsia="Arial" w:hAnsi="Arial"/>
          <w:sz w:val="18"/>
          <w:szCs w:val="18"/>
          <w:color w:val="auto"/>
        </w:rPr>
        <w:t xml:space="preserve">COLLECTION OF THE FOREGOING PREPAYMENT PREMIUM AND ANY DISCOUNT ON THE LOANS IN CONNECTION WITH ANY SUCH ACCELERATION. The Borrower expressly agrees that (i) the prepayment premium required by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and any discount on the Loans provided for herein is reasonable and is the product of an arm’s length transaction between sophisticated business people, ably represented by counsel, (ii) the prepayment premium required by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and any discount on the Loans shall be payable notwithstanding the then prevailing market rates at the time payment is made, (iii) there has been a course of conduct between the Lenders and the Borrower giving specific consideration in this transaction for such agreement to pay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and any discount on the Loans and (iv) the Borrower shall be estopped hereafter from claiming differently than as agreed to in this paragraph. The Borrower expressly acknowledges that its agreement to pay the 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and any discount on the Loans to the Lenders as herein described is a material inducement to the Lenders to make the Loans hereunder.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u w:val="single" w:color="auto"/>
          <w:color w:val="auto"/>
        </w:rPr>
        <w:t>Application of Funds.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after the Loans have automatically become immediately due and payable as set forth in the proviso to </w:t>
      </w:r>
      <w:r>
        <w:rPr>
          <w:rFonts w:ascii="Arial" w:cs="Arial" w:eastAsia="Arial" w:hAnsi="Arial"/>
          <w:sz w:val="18"/>
          <w:szCs w:val="18"/>
          <w:u w:val="single" w:color="auto"/>
          <w:color w:val="auto"/>
        </w:rPr>
        <w:t>Section 9.02</w:t>
      </w:r>
      <w:r>
        <w:rPr>
          <w:rFonts w:ascii="Arial" w:cs="Arial" w:eastAsia="Arial" w:hAnsi="Arial"/>
          <w:sz w:val="18"/>
          <w:szCs w:val="18"/>
          <w:color w:val="auto"/>
        </w:rPr>
        <w:t>), any amounts received by any Lender or the Administrative Agent on account of the Obligations shall be applied by the Administrative Agent in the following order:</w:t>
      </w:r>
    </w:p>
    <w:p>
      <w:pPr>
        <w:spacing w:after="0" w:line="181" w:lineRule="exact"/>
        <w:rPr>
          <w:sz w:val="20"/>
          <w:szCs w:val="20"/>
          <w:color w:val="auto"/>
        </w:rPr>
      </w:pPr>
    </w:p>
    <w:p>
      <w:pPr>
        <w:jc w:val="both"/>
        <w:ind w:left="660" w:right="120" w:firstLine="648"/>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81" w:lineRule="exact"/>
        <w:rPr>
          <w:sz w:val="20"/>
          <w:szCs w:val="20"/>
          <w:color w:val="auto"/>
        </w:rPr>
      </w:pPr>
    </w:p>
    <w:p>
      <w:pPr>
        <w:ind w:left="660" w:right="260" w:firstLine="648"/>
        <w:spacing w:after="0" w:line="312"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47" w:lineRule="exact"/>
        <w:rPr>
          <w:sz w:val="20"/>
          <w:szCs w:val="20"/>
          <w:color w:val="auto"/>
        </w:rPr>
      </w:pPr>
    </w:p>
    <w:p>
      <w:pPr>
        <w:ind w:left="660" w:right="240" w:firstLine="648"/>
        <w:spacing w:after="0" w:line="308"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payment of that portion of the Obligations constituting accrued and unpaid interest on and prepayment premium with respect to the Loans, ratably among the Lenders in proportion to the respective amounts described in this clause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held by them;</w:t>
      </w:r>
    </w:p>
    <w:p>
      <w:pPr>
        <w:spacing w:after="0" w:line="147" w:lineRule="exact"/>
        <w:rPr>
          <w:sz w:val="20"/>
          <w:szCs w:val="20"/>
          <w:color w:val="auto"/>
        </w:rPr>
      </w:pPr>
    </w:p>
    <w:p>
      <w:pPr>
        <w:ind w:left="660" w:right="320" w:firstLine="648"/>
        <w:spacing w:after="0" w:line="27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accrued and unpaid principal of the Loans, ratably among the Secured Parties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 Law.</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ADMINISTRATIVE AGENT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10.01</w:t>
      </w:r>
      <w:r>
        <w:rPr>
          <w:sz w:val="20"/>
          <w:szCs w:val="20"/>
          <w:color w:val="auto"/>
        </w:rPr>
        <w:tab/>
      </w:r>
      <w:r>
        <w:rPr>
          <w:rFonts w:ascii="Arial" w:cs="Arial" w:eastAsia="Arial" w:hAnsi="Arial"/>
          <w:sz w:val="16"/>
          <w:szCs w:val="16"/>
          <w:u w:val="single" w:color="auto"/>
          <w:color w:val="auto"/>
        </w:rPr>
        <w:t>Appointment and Authority.</w:t>
      </w:r>
    </w:p>
    <w:p>
      <w:pPr>
        <w:spacing w:after="0" w:line="225" w:lineRule="exact"/>
        <w:rPr>
          <w:sz w:val="20"/>
          <w:szCs w:val="20"/>
          <w:color w:val="auto"/>
        </w:rPr>
      </w:pPr>
    </w:p>
    <w:p>
      <w:pPr>
        <w:ind w:left="660" w:right="40" w:firstLine="645"/>
        <w:spacing w:after="0" w:line="272" w:lineRule="auto"/>
        <w:tabs>
          <w:tab w:leader="none" w:pos="195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Each of the Lenders hereby irrevocably appoints Visium Healthcare Partners, LP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and the Lenders,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Law. Instead such term is used as a matter of market custom, and is intended to create or reflect only an administrative relationship between contracting parties.</w:t>
      </w:r>
    </w:p>
    <w:p>
      <w:pPr>
        <w:spacing w:after="0" w:line="170" w:lineRule="exact"/>
        <w:rPr>
          <w:sz w:val="20"/>
          <w:szCs w:val="20"/>
          <w:color w:val="auto"/>
        </w:rPr>
      </w:pPr>
    </w:p>
    <w:p>
      <w:pPr>
        <w:ind w:left="660" w:firstLine="645"/>
        <w:spacing w:after="0" w:line="290" w:lineRule="auto"/>
        <w:tabs>
          <w:tab w:leader="none" w:pos="196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11.04(c)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5"/>
          <w:szCs w:val="15"/>
          <w:u w:val="single" w:color="auto"/>
          <w:color w:val="auto"/>
        </w:rPr>
        <w:t>Rights as a Lender.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w:t>
      </w:r>
    </w:p>
    <w:p>
      <w:pPr>
        <w:sectPr>
          <w:pgSz w:w="11900" w:h="16838" w:orient="portrait"/>
          <w:cols w:equalWidth="0" w:num="1">
            <w:col w:w="11400"/>
          </w:cols>
          <w:pgMar w:left="240" w:top="125" w:right="259" w:bottom="0" w:gutter="0" w:footer="0" w:header="0"/>
        </w:sectPr>
      </w:pPr>
    </w:p>
    <w:bookmarkStart w:id="85" w:name="page86"/>
    <w:bookmarkEnd w:id="85"/>
    <w:p>
      <w:pPr>
        <w:spacing w:after="0" w:line="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6"/>
          <w:szCs w:val="16"/>
          <w:u w:val="single" w:color="auto"/>
          <w:color w:val="auto"/>
        </w:rPr>
        <w:t>Exculpatory Provisions.</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47" w:lineRule="exact"/>
        <w:rPr>
          <w:sz w:val="20"/>
          <w:szCs w:val="20"/>
          <w:color w:val="auto"/>
        </w:rPr>
      </w:pPr>
    </w:p>
    <w:p>
      <w:pPr>
        <w:ind w:left="1940" w:hanging="635"/>
        <w:spacing w:after="0"/>
        <w:tabs>
          <w:tab w:leader="none" w:pos="19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36" w:lineRule="exact"/>
        <w:rPr>
          <w:rFonts w:ascii="Arial" w:cs="Arial" w:eastAsia="Arial" w:hAnsi="Arial"/>
          <w:sz w:val="17"/>
          <w:szCs w:val="17"/>
          <w:color w:val="auto"/>
        </w:rPr>
      </w:pPr>
    </w:p>
    <w:p>
      <w:pPr>
        <w:ind w:left="660" w:right="200" w:firstLine="645"/>
        <w:spacing w:after="0" w:line="272" w:lineRule="auto"/>
        <w:tabs>
          <w:tab w:leader="none" w:pos="1964"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77" w:lineRule="exact"/>
        <w:rPr>
          <w:rFonts w:ascii="Arial" w:cs="Arial" w:eastAsia="Arial" w:hAnsi="Arial"/>
          <w:sz w:val="17"/>
          <w:szCs w:val="17"/>
          <w:color w:val="auto"/>
        </w:rPr>
      </w:pPr>
    </w:p>
    <w:p>
      <w:pPr>
        <w:ind w:left="660" w:right="200" w:firstLine="645"/>
        <w:spacing w:after="0" w:line="277" w:lineRule="auto"/>
        <w:tabs>
          <w:tab w:leader="none" w:pos="196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relating to any Loan Party or any of its Affiliates that is communicated to or obtained by the Person serving as the Administrative Agent or any of its Affiliates in any capacity.</w:t>
      </w:r>
    </w:p>
    <w:p>
      <w:pPr>
        <w:spacing w:after="0" w:line="170"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spacing w:after="0" w:line="15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6"/>
          <w:szCs w:val="16"/>
          <w:u w:val="single" w:color="auto"/>
          <w:color w:val="auto"/>
        </w:rPr>
        <w:t>Reliance by Administrative Agent.</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10.05</w:t>
      </w:r>
      <w:r>
        <w:rPr>
          <w:sz w:val="20"/>
          <w:szCs w:val="20"/>
          <w:color w:val="auto"/>
        </w:rPr>
        <w:tab/>
      </w:r>
      <w:r>
        <w:rPr>
          <w:rFonts w:ascii="Arial" w:cs="Arial" w:eastAsia="Arial" w:hAnsi="Arial"/>
          <w:sz w:val="16"/>
          <w:szCs w:val="16"/>
          <w:u w:val="single" w:color="auto"/>
          <w:color w:val="auto"/>
        </w:rPr>
        <w:t>Delegation of Duties.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6"/>
          <w:szCs w:val="16"/>
          <w:u w:val="single" w:color="auto"/>
          <w:color w:val="auto"/>
        </w:rPr>
        <w:t>Resignation of Administrative Agent.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The Administrative Agent may resign as Administrative Agent at any time by giving thirty (30) days advance notice thereof to the Lenders and the Borrower and, thereafter, the retiring Administrative Agent shall be discharged from its duties and obligations hereunder. Upon any such resignation, the Required Lenders shall have the right, subject to the approval of the Borrower (so long as no Event of Default has occurred and is continuing; such approval not to be unreasonably withheld), to appoint a successor Administrative Agent. If no successor Administrative Agent shall have been so appointed by the Required Lenders, been approved (so long as no Event of Default has occurred and is continuing) by the Borrower or have accepted such appointment within thirty (30) days after the Administrative Agent’s giving of notice of resignation, then the Administrative Agent may, on behalf of the Lenders, appoint a successor Administrative Agent reasonably acceptable to the Borrower (so long as no Default or Event of Default has occurred and is continuing). Upon the acceptance of any appointment as Administrative Agent hereunder by a successor Administrative Agent, such successor Administrative Agent shall thereupon succeed to and become vested with all rights, powers, privileges and duties of the retiring Administrative Agent. After any retiring Administrative Agent’s resignation hereunder as Administrative Agent, the provisions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shall continue in effect for its benefit in respect of any actions taken or</w:t>
      </w:r>
    </w:p>
    <w:p>
      <w:pPr>
        <w:sectPr>
          <w:pgSz w:w="11900" w:h="16930" w:orient="portrait"/>
          <w:cols w:equalWidth="0" w:num="1">
            <w:col w:w="11420"/>
          </w:cols>
          <w:pgMar w:left="240" w:top="125" w:right="239" w:bottom="0" w:gutter="0" w:footer="0" w:header="0"/>
        </w:sectPr>
      </w:pPr>
    </w:p>
    <w:bookmarkStart w:id="86" w:name="page87"/>
    <w:bookmarkEnd w:id="86"/>
    <w:p>
      <w:pPr>
        <w:ind w:right="40"/>
        <w:spacing w:after="0" w:line="259" w:lineRule="auto"/>
        <w:rPr>
          <w:sz w:val="20"/>
          <w:szCs w:val="20"/>
          <w:color w:val="auto"/>
        </w:rPr>
      </w:pPr>
      <w:r>
        <w:rPr>
          <w:rFonts w:ascii="Arial" w:cs="Arial" w:eastAsia="Arial" w:hAnsi="Arial"/>
          <w:sz w:val="18"/>
          <w:szCs w:val="18"/>
          <w:color w:val="auto"/>
        </w:rPr>
        <w:t>omitted to be taken by it while it was acting as Administrative Agent. If no successor has accepted appointment as Administrative Agent by the date which is thirty (30) days following a retiring Administrative Agent’s notice of resignation, the retiring Administrative Agent’s resignation shall nevertheless thereupon become effective and the Required Lenders shall perform all of the duties of the Administrative Agent hereunder until such time, if any, as the Required Lenders appoint a successor agent as provided for above.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10.07</w:t>
      </w:r>
      <w:r>
        <w:rPr>
          <w:sz w:val="20"/>
          <w:szCs w:val="20"/>
          <w:color w:val="auto"/>
        </w:rPr>
        <w:tab/>
      </w:r>
      <w:r>
        <w:rPr>
          <w:rFonts w:ascii="Arial" w:cs="Arial" w:eastAsia="Arial" w:hAnsi="Arial"/>
          <w:sz w:val="16"/>
          <w:szCs w:val="16"/>
          <w:u w:val="single" w:color="auto"/>
          <w:color w:val="auto"/>
        </w:rPr>
        <w:t>Non-Reliance on Administrative Agent and Other Lenders.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10.08</w:t>
      </w:r>
      <w:r>
        <w:rPr>
          <w:sz w:val="20"/>
          <w:szCs w:val="20"/>
          <w:color w:val="auto"/>
        </w:rPr>
        <w:tab/>
      </w:r>
      <w:r>
        <w:rPr>
          <w:rFonts w:ascii="Arial" w:cs="Arial" w:eastAsia="Arial" w:hAnsi="Arial"/>
          <w:sz w:val="16"/>
          <w:szCs w:val="16"/>
          <w:u w:val="single" w:color="auto"/>
          <w:color w:val="auto"/>
        </w:rPr>
        <w:t>Administrative Agent May File Proofs of Claim.</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ind w:left="660" w:right="140" w:firstLine="645"/>
        <w:spacing w:after="0" w:line="257" w:lineRule="auto"/>
        <w:tabs>
          <w:tab w:leader="none" w:pos="195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 11.04</w:t>
      </w:r>
      <w:r>
        <w:rPr>
          <w:rFonts w:ascii="Arial" w:cs="Arial" w:eastAsia="Arial" w:hAnsi="Arial"/>
          <w:sz w:val="18"/>
          <w:szCs w:val="18"/>
          <w:color w:val="auto"/>
        </w:rPr>
        <w:t>) allowed in such judicial proceeding;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6"/>
          <w:szCs w:val="16"/>
          <w:u w:val="single" w:color="auto"/>
          <w:color w:val="auto"/>
        </w:rPr>
        <w:t>Sections 11.04</w:t>
      </w:r>
      <w:r>
        <w:rPr>
          <w:rFonts w:ascii="Arial" w:cs="Arial" w:eastAsia="Arial" w:hAnsi="Arial"/>
          <w:sz w:val="16"/>
          <w:szCs w:val="16"/>
          <w:color w:val="auto"/>
        </w:rPr>
        <w:t>.</w:t>
      </w:r>
    </w:p>
    <w:p>
      <w:pPr>
        <w:spacing w:after="0" w:line="154"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10.09</w:t>
      </w:r>
      <w:r>
        <w:rPr>
          <w:sz w:val="20"/>
          <w:szCs w:val="20"/>
          <w:color w:val="auto"/>
        </w:rPr>
        <w:tab/>
      </w:r>
      <w:r>
        <w:rPr>
          <w:rFonts w:ascii="Arial" w:cs="Arial" w:eastAsia="Arial" w:hAnsi="Arial"/>
          <w:sz w:val="16"/>
          <w:szCs w:val="16"/>
          <w:u w:val="single" w:color="auto"/>
          <w:color w:val="auto"/>
        </w:rPr>
        <w:t>Collateral and Guaranty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Lenders irrevocably authorize the Administrative Agent, at its option and in its discretion,</w:t>
      </w:r>
    </w:p>
    <w:p>
      <w:pPr>
        <w:spacing w:after="0" w:line="225" w:lineRule="exact"/>
        <w:rPr>
          <w:sz w:val="20"/>
          <w:szCs w:val="20"/>
          <w:color w:val="auto"/>
        </w:rPr>
      </w:pPr>
    </w:p>
    <w:p>
      <w:pPr>
        <w:ind w:left="660" w:right="60" w:firstLine="645"/>
        <w:spacing w:after="0" w:line="257" w:lineRule="auto"/>
        <w:tabs>
          <w:tab w:leader="none" w:pos="195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to release any Lien on any Collateral granted to or held by the Administrative Agent under any Loan Document (i) upon termination of all unused Commitments and payment in full of all Obligations (other than contingent indemnification obligations for which no claim has been asserted), (ii) that is sold or otherwise disposed of or to be sold or otherwise disposed of as part of or in connection with any sale or other Disposition permitted hereunder or under any other Loan Document or any Involuntary Disposition or (iii) as approved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40" w:firstLine="645"/>
        <w:spacing w:after="0" w:line="277" w:lineRule="auto"/>
        <w:tabs>
          <w:tab w:leader="none" w:pos="196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8.01(i)</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right="800" w:firstLine="645"/>
        <w:spacing w:after="0" w:line="277" w:lineRule="auto"/>
        <w:tabs>
          <w:tab w:leader="none" w:pos="196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under the Loan Documents.</w:t>
      </w:r>
    </w:p>
    <w:p>
      <w:pPr>
        <w:spacing w:after="0" w:line="17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18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6"/>
          <w:szCs w:val="16"/>
          <w:u w:val="single" w:color="auto"/>
          <w:color w:val="auto"/>
        </w:rPr>
        <w:t>Amendments, Etc.</w:t>
      </w:r>
    </w:p>
    <w:p>
      <w:pPr>
        <w:sectPr>
          <w:pgSz w:w="11900" w:h="16838" w:orient="portrait"/>
          <w:cols w:equalWidth="0" w:num="1">
            <w:col w:w="11420"/>
          </w:cols>
          <w:pgMar w:left="240" w:top="125" w:right="239" w:bottom="0" w:gutter="0" w:footer="0" w:header="0"/>
        </w:sectPr>
      </w:pPr>
    </w:p>
    <w:bookmarkStart w:id="87" w:name="page88"/>
    <w:bookmarkEnd w:id="87"/>
    <w:p>
      <w:pPr>
        <w:ind w:right="120" w:firstLine="648"/>
        <w:spacing w:after="0" w:line="259" w:lineRule="auto"/>
        <w:rPr>
          <w:sz w:val="20"/>
          <w:szCs w:val="20"/>
          <w:color w:val="auto"/>
        </w:rPr>
      </w:pPr>
      <w:r>
        <w:rPr>
          <w:rFonts w:ascii="Arial" w:cs="Arial" w:eastAsia="Arial" w:hAnsi="Arial"/>
          <w:sz w:val="18"/>
          <w:szCs w:val="18"/>
          <w:color w:val="auto"/>
        </w:rPr>
        <w:t xml:space="preserve">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187" w:lineRule="exact"/>
        <w:rPr>
          <w:sz w:val="20"/>
          <w:szCs w:val="20"/>
          <w:color w:val="auto"/>
        </w:rPr>
      </w:pPr>
    </w:p>
    <w:p>
      <w:pPr>
        <w:ind w:left="1940" w:hanging="635"/>
        <w:spacing w:after="0"/>
        <w:tabs>
          <w:tab w:leader="none" w:pos="19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such amendment, waiver or consent shall:</w:t>
      </w:r>
    </w:p>
    <w:p>
      <w:pPr>
        <w:spacing w:after="0" w:line="225" w:lineRule="exact"/>
        <w:rPr>
          <w:rFonts w:ascii="Arial" w:cs="Arial" w:eastAsia="Arial" w:hAnsi="Arial"/>
          <w:sz w:val="18"/>
          <w:szCs w:val="18"/>
          <w:color w:val="auto"/>
        </w:rPr>
      </w:pPr>
    </w:p>
    <w:p>
      <w:pPr>
        <w:ind w:left="1220" w:right="80" w:firstLine="652"/>
        <w:spacing w:after="0" w:line="259" w:lineRule="auto"/>
        <w:tabs>
          <w:tab w:leader="none" w:pos="2619"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 Lender (or reinstate any Commitment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without the written consent of such Lender whose Commitment is being extended or increased (it being understood and agreed that a waiver of any condition precedent set forth in </w:t>
      </w:r>
      <w:r>
        <w:rPr>
          <w:rFonts w:ascii="Arial" w:cs="Arial" w:eastAsia="Arial" w:hAnsi="Arial"/>
          <w:sz w:val="18"/>
          <w:szCs w:val="18"/>
          <w:u w:val="single" w:color="auto"/>
          <w:color w:val="auto"/>
        </w:rPr>
        <w:t>Sections 5.03</w:t>
      </w:r>
      <w:r>
        <w:rPr>
          <w:rFonts w:ascii="Arial" w:cs="Arial" w:eastAsia="Arial" w:hAnsi="Arial"/>
          <w:sz w:val="18"/>
          <w:szCs w:val="18"/>
          <w:color w:val="auto"/>
        </w:rPr>
        <w:t xml:space="preserve"> or of any Default or a mandatory reduction in Commitments is not considered an extension or increase in Commitments of any Lender);</w:t>
      </w:r>
    </w:p>
    <w:p>
      <w:pPr>
        <w:spacing w:after="0" w:line="186" w:lineRule="exact"/>
        <w:rPr>
          <w:rFonts w:ascii="Arial" w:cs="Arial" w:eastAsia="Arial" w:hAnsi="Arial"/>
          <w:sz w:val="18"/>
          <w:szCs w:val="18"/>
          <w:color w:val="auto"/>
        </w:rPr>
      </w:pPr>
    </w:p>
    <w:p>
      <w:pPr>
        <w:ind w:left="1220" w:right="120" w:firstLine="652"/>
        <w:spacing w:after="0" w:line="259" w:lineRule="auto"/>
        <w:tabs>
          <w:tab w:leader="none" w:pos="262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of principal (excluding mandatory prepayments), interest, prepayment premiums,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186" w:lineRule="exact"/>
        <w:rPr>
          <w:rFonts w:ascii="Arial" w:cs="Arial" w:eastAsia="Arial" w:hAnsi="Arial"/>
          <w:sz w:val="18"/>
          <w:szCs w:val="18"/>
          <w:color w:val="auto"/>
        </w:rPr>
      </w:pPr>
    </w:p>
    <w:p>
      <w:pPr>
        <w:ind w:left="1220" w:right="40" w:firstLine="652"/>
        <w:spacing w:after="0" w:line="302" w:lineRule="auto"/>
        <w:tabs>
          <w:tab w:leader="none" w:pos="2638"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reduce the principal of, the rate of interest specified herein on or the prepayment premium specified herein on any Loan, or any fees or other amounts payable hereunder or under any other Loan Document without the written consent of each Lender entitled to receive such payment of principal, interest, fees or other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only the consent of the Required Lenders shall be necessary to amend the definition of “Default Rate” or to waive any obligation of the Borrower to pay interest at the Default Rate;</w:t>
      </w:r>
    </w:p>
    <w:p>
      <w:pPr>
        <w:spacing w:after="0" w:line="154" w:lineRule="exact"/>
        <w:rPr>
          <w:rFonts w:ascii="Arial" w:cs="Arial" w:eastAsia="Arial" w:hAnsi="Arial"/>
          <w:sz w:val="16"/>
          <w:szCs w:val="16"/>
          <w:color w:val="auto"/>
        </w:rPr>
      </w:pPr>
    </w:p>
    <w:p>
      <w:pPr>
        <w:ind w:left="1220" w:right="60" w:firstLine="652"/>
        <w:spacing w:after="0" w:line="277" w:lineRule="auto"/>
        <w:tabs>
          <w:tab w:leader="none" w:pos="261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or the definition of “Required Lenders” without the written consent of each Lender directly affected thereby;</w:t>
      </w:r>
    </w:p>
    <w:p>
      <w:pPr>
        <w:spacing w:after="0" w:line="170" w:lineRule="exact"/>
        <w:rPr>
          <w:rFonts w:ascii="Arial" w:cs="Arial" w:eastAsia="Arial" w:hAnsi="Arial"/>
          <w:sz w:val="18"/>
          <w:szCs w:val="18"/>
          <w:color w:val="auto"/>
        </w:rPr>
      </w:pPr>
    </w:p>
    <w:p>
      <w:pPr>
        <w:ind w:left="1220" w:right="420" w:firstLine="652"/>
        <w:spacing w:after="0" w:line="277" w:lineRule="auto"/>
        <w:tabs>
          <w:tab w:leader="none" w:pos="260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except in connection with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release all or substantially all of the Collateral without the written consent of each Lender directly affected thereby;</w:t>
      </w:r>
    </w:p>
    <w:p>
      <w:pPr>
        <w:spacing w:after="0" w:line="170" w:lineRule="exact"/>
        <w:rPr>
          <w:rFonts w:ascii="Arial" w:cs="Arial" w:eastAsia="Arial" w:hAnsi="Arial"/>
          <w:sz w:val="18"/>
          <w:szCs w:val="18"/>
          <w:color w:val="auto"/>
        </w:rPr>
      </w:pPr>
    </w:p>
    <w:p>
      <w:pPr>
        <w:ind w:left="1220" w:right="120" w:firstLine="652"/>
        <w:spacing w:after="0" w:line="259" w:lineRule="auto"/>
        <w:tabs>
          <w:tab w:leader="none" w:pos="261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release the Borrower or, except in connection with a merger or consolidation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all or substantially all of the Guarantors without the written consent of each Lender directly affected thereby, except to the extent the release of any Guarantor is permitted pursuant to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(in which case such release may be made by the Administrative Agent acting alone);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60" w:firstLine="645"/>
        <w:spacing w:after="0" w:line="277" w:lineRule="auto"/>
        <w:tabs>
          <w:tab w:leader="none" w:pos="19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unless also signed by the Administrative Agent, no amendment, waiver or consent shall affect the rights or duties of the Administrative Agent under this Agreement or any other Loan Document;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notwithstanding anything to the contrary herein, (i)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8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u w:val="single" w:color="auto"/>
          <w:color w:val="auto"/>
        </w:rPr>
        <w:t>Notices and Other Communications; Facsimile Copies.</w:t>
      </w:r>
    </w:p>
    <w:p>
      <w:pPr>
        <w:spacing w:after="0" w:line="225" w:lineRule="exact"/>
        <w:rPr>
          <w:sz w:val="20"/>
          <w:szCs w:val="20"/>
          <w:color w:val="auto"/>
        </w:rPr>
      </w:pPr>
    </w:p>
    <w:p>
      <w:pPr>
        <w:ind w:left="660" w:right="220" w:firstLine="645"/>
        <w:spacing w:after="0" w:line="279" w:lineRule="auto"/>
        <w:tabs>
          <w:tab w:leader="none" w:pos="1954"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1220" w:right="100" w:firstLine="652"/>
        <w:spacing w:after="0" w:line="277" w:lineRule="auto"/>
        <w:tabs>
          <w:tab w:leader="none" w:pos="2619"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if to the Borrower or any other Loan Party or the Administrative Agent,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220" w:right="480" w:firstLine="652"/>
        <w:spacing w:after="0" w:line="308" w:lineRule="auto"/>
        <w:tabs>
          <w:tab w:leader="none" w:pos="2628" w:val="left"/>
        </w:tabs>
        <w:numPr>
          <w:ilvl w:val="1"/>
          <w:numId w:val="159"/>
        </w:numPr>
        <w:rPr>
          <w:rFonts w:ascii="Arial" w:cs="Arial" w:eastAsia="Arial" w:hAnsi="Arial"/>
          <w:sz w:val="17"/>
          <w:szCs w:val="17"/>
          <w:color w:val="auto"/>
        </w:rPr>
      </w:pPr>
      <w:r>
        <w:rPr>
          <w:rFonts w:ascii="Arial" w:cs="Arial" w:eastAsia="Arial" w:hAnsi="Arial"/>
          <w:sz w:val="17"/>
          <w:szCs w:val="17"/>
          <w:color w:val="auto"/>
        </w:rPr>
        <w:t xml:space="preserve">if to any other Lender, to the address, facsimile number, electronic mail address or telephone number of its Lending Office (whether specified on </w:t>
      </w:r>
      <w:r>
        <w:rPr>
          <w:rFonts w:ascii="Arial" w:cs="Arial" w:eastAsia="Arial" w:hAnsi="Arial"/>
          <w:sz w:val="17"/>
          <w:szCs w:val="17"/>
          <w:u w:val="single" w:color="auto"/>
          <w:color w:val="auto"/>
        </w:rPr>
        <w:t>Schedule 11.02</w:t>
      </w:r>
      <w:r>
        <w:rPr>
          <w:rFonts w:ascii="Arial" w:cs="Arial" w:eastAsia="Arial" w:hAnsi="Arial"/>
          <w:sz w:val="17"/>
          <w:szCs w:val="17"/>
          <w:color w:val="auto"/>
        </w:rPr>
        <w:t xml:space="preserve"> or separately specified to the Borrower and the Administrative Agent).</w:t>
      </w:r>
    </w:p>
    <w:p>
      <w:pPr>
        <w:spacing w:after="0" w:line="147" w:lineRule="exact"/>
        <w:rPr>
          <w:sz w:val="20"/>
          <w:szCs w:val="20"/>
          <w:color w:val="auto"/>
        </w:rPr>
      </w:pPr>
    </w:p>
    <w:p>
      <w:pPr>
        <w:ind w:left="660" w:right="40" w:firstLine="648"/>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88" w:lineRule="exact"/>
        <w:rPr>
          <w:sz w:val="20"/>
          <w:szCs w:val="20"/>
          <w:color w:val="auto"/>
        </w:rPr>
      </w:pPr>
    </w:p>
    <w:p>
      <w:pPr>
        <w:ind w:left="660" w:right="100" w:firstLine="645"/>
        <w:spacing w:after="0" w:line="276" w:lineRule="auto"/>
        <w:tabs>
          <w:tab w:leader="none" w:pos="1964"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the foregoing shall not apply to notices to any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has notified the Administrative Agent that it is incapable of receiving notices under such Article by electronic communication. The Administrative Agent or the Borrower may each, in its discretion, agree to accept notices and other communications to it hereunder by electronic</w:t>
      </w:r>
    </w:p>
    <w:p>
      <w:pPr>
        <w:sectPr>
          <w:pgSz w:w="11900" w:h="16838" w:orient="portrait"/>
          <w:cols w:equalWidth="0" w:num="1">
            <w:col w:w="11420"/>
          </w:cols>
          <w:pgMar w:left="240" w:top="125"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0" w:gutter="0" w:footer="0" w:header="0"/>
          <w:type w:val="continuous"/>
        </w:sectPr>
      </w:pPr>
    </w:p>
    <w:bookmarkStart w:id="88" w:name="page89"/>
    <w:bookmarkEnd w:id="88"/>
    <w:p>
      <w:pPr>
        <w:ind w:left="660"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approval of such procedures may be limited to particular notices or communications.</w:t>
      </w:r>
    </w:p>
    <w:p>
      <w:pPr>
        <w:spacing w:after="0" w:line="170" w:lineRule="exact"/>
        <w:rPr>
          <w:sz w:val="20"/>
          <w:szCs w:val="20"/>
          <w:color w:val="auto"/>
        </w:rPr>
      </w:pPr>
    </w:p>
    <w:p>
      <w:pPr>
        <w:ind w:left="660" w:right="80" w:firstLine="648"/>
        <w:spacing w:after="0" w:line="272" w:lineRule="auto"/>
        <w:rPr>
          <w:sz w:val="20"/>
          <w:szCs w:val="20"/>
          <w:color w:val="auto"/>
        </w:rPr>
      </w:pPr>
      <w:r>
        <w:rPr>
          <w:rFonts w:ascii="Arial" w:cs="Arial" w:eastAsia="Arial" w:hAnsi="Arial"/>
          <w:sz w:val="17"/>
          <w:szCs w:val="17"/>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for both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8" w:lineRule="exact"/>
        <w:rPr>
          <w:sz w:val="20"/>
          <w:szCs w:val="20"/>
          <w:color w:val="auto"/>
        </w:rPr>
      </w:pPr>
    </w:p>
    <w:p>
      <w:pPr>
        <w:ind w:left="660" w:firstLine="645"/>
        <w:spacing w:after="0" w:line="257" w:lineRule="auto"/>
        <w:tabs>
          <w:tab w:leader="none" w:pos="196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Each of the Borrower, the Lenders and the Administrative Agent may change its address, facsimile or telephone number for notices and other communications hereunder by notice to the other parties hereto.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w:t>
      </w:r>
    </w:p>
    <w:p>
      <w:pPr>
        <w:spacing w:after="0" w:line="188" w:lineRule="exact"/>
        <w:rPr>
          <w:rFonts w:ascii="Arial" w:cs="Arial" w:eastAsia="Arial" w:hAnsi="Arial"/>
          <w:sz w:val="18"/>
          <w:szCs w:val="18"/>
          <w:color w:val="auto"/>
        </w:rPr>
      </w:pPr>
    </w:p>
    <w:p>
      <w:pPr>
        <w:ind w:left="660" w:right="160" w:firstLine="645"/>
        <w:spacing w:after="0" w:line="291" w:lineRule="auto"/>
        <w:tabs>
          <w:tab w:leader="none" w:pos="1964"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.The Administrative Agent and the Lenders shall be entitled to rely and act upon any notices (including telephonic or electronic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11.03</w:t>
      </w:r>
      <w:r>
        <w:rPr>
          <w:sz w:val="20"/>
          <w:szCs w:val="20"/>
          <w:color w:val="auto"/>
        </w:rPr>
        <w:tab/>
      </w:r>
      <w:r>
        <w:rPr>
          <w:rFonts w:ascii="Arial" w:cs="Arial" w:eastAsia="Arial" w:hAnsi="Arial"/>
          <w:sz w:val="16"/>
          <w:szCs w:val="16"/>
          <w:u w:val="single" w:color="auto"/>
          <w:color w:val="auto"/>
        </w:rPr>
        <w:t>No Waiver; Cumulative Remedies; Enforcement.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for the benefit of all the Secured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foregoing shall not prohibit (a) the Administrative Agent from exercising on its own behalf the rights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remedies that inure to its benefit (solely in its capacity as Administrative Agent) hereunder and under the other Loan Documents, (b)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(c)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u w:val="single" w:color="auto"/>
          <w:color w:val="auto"/>
        </w:rPr>
        <w:t>Expenses; Indemnity; and Damage Waiver.</w:t>
      </w:r>
    </w:p>
    <w:p>
      <w:pPr>
        <w:spacing w:after="0" w:line="225" w:lineRule="exact"/>
        <w:rPr>
          <w:sz w:val="20"/>
          <w:szCs w:val="20"/>
          <w:color w:val="auto"/>
        </w:rPr>
      </w:pPr>
    </w:p>
    <w:p>
      <w:pPr>
        <w:ind w:left="660" w:right="20" w:firstLine="645"/>
        <w:spacing w:after="0" w:line="287" w:lineRule="auto"/>
        <w:tabs>
          <w:tab w:leader="none" w:pos="1954"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The Loan Parties shall pay (i) all out-of-pocket expenses incurred by the Administrative Agent and its Affiliates (including the fees, charges and disbursements of counsel for the Administrative Agent), in connection with the preparation (subject to the second proviso in </w:t>
      </w:r>
      <w:r>
        <w:rPr>
          <w:rFonts w:ascii="Arial" w:cs="Arial" w:eastAsia="Arial" w:hAnsi="Arial"/>
          <w:sz w:val="16"/>
          <w:szCs w:val="16"/>
          <w:u w:val="single" w:color="auto"/>
          <w:color w:val="auto"/>
        </w:rPr>
        <w:t>Section 5.02(p)</w:t>
      </w:r>
      <w:r>
        <w:rPr>
          <w:rFonts w:ascii="Arial" w:cs="Arial" w:eastAsia="Arial" w:hAnsi="Arial"/>
          <w:sz w:val="16"/>
          <w:szCs w:val="16"/>
          <w:color w:val="auto"/>
        </w:rPr>
        <w:t>), negotiation, execution, delivery and administration of this Agreement and the other Loan Documents (it being understood that the Loan Parties’ reimbursement obligations with respect to the administration of this Agreement by the Administrative Agent shall (unless and until an Event of Default shall have occurred and be continuing) be capped at $10,000 per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$10,000 cap shall in no way limit the Loan Parties’ obligation to reimburse the fees, charges and disbursements of counsel to the Administrative Agent)) or any amendments, modifications or waivers of the provisions hereof or thereof (whether or not the transactions contemplated hereby or thereby shall be consummated) and (ii) all out-of-pocket expenses incurred by the Administrative Agent or any Lender (including the fees, charges and disbursements of any counsel for the Administrative Agent or any Lender), and shall pay all fees and time charges for attorneys who may be employees of the Administrative Agent or any Lender, in connection with the enforcement or protection of its rights (A) in connection with this Agreement and the other Loan Documents, including its rights under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or (B) in connection with the Loans made hereunder, including all such out-of-pocket expenses incurred during any workout, restructuring or negotiations in respect of such Loans.</w:t>
      </w:r>
    </w:p>
    <w:p>
      <w:pPr>
        <w:spacing w:after="0" w:line="168" w:lineRule="exact"/>
        <w:rPr>
          <w:rFonts w:ascii="Arial" w:cs="Arial" w:eastAsia="Arial" w:hAnsi="Arial"/>
          <w:sz w:val="16"/>
          <w:szCs w:val="16"/>
          <w:color w:val="auto"/>
        </w:rPr>
      </w:pPr>
    </w:p>
    <w:p>
      <w:pPr>
        <w:ind w:left="660" w:right="20" w:firstLine="645"/>
        <w:spacing w:after="0" w:line="291" w:lineRule="auto"/>
        <w:tabs>
          <w:tab w:leader="none" w:pos="1964"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The Loan Parties shall indemnify the Administrative Agent (and any sub-agent thereof)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w:t>
      </w:r>
    </w:p>
    <w:p>
      <w:pPr>
        <w:sectPr>
          <w:pgSz w:w="11900" w:h="16838" w:orient="portrait"/>
          <w:cols w:equalWidth="0" w:num="1">
            <w:col w:w="11400"/>
          </w:cols>
          <w:pgMar w:left="240" w:top="733" w:right="259" w:bottom="0" w:gutter="0" w:footer="0" w:header="0"/>
        </w:sectPr>
      </w:pPr>
    </w:p>
    <w:bookmarkStart w:id="89" w:name="page90"/>
    <w:bookmarkEnd w:id="89"/>
    <w:p>
      <w:pPr>
        <w:spacing w:after="0" w:line="92"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thereunder or the consummation of the transactions contemplated hereby or thereby, or, in the case of the Administrative Agent (and any sub-agent thereof) and its Related Parties only, the administration of this Agreement and the other Loan Documents, (ii) any Loan or the use or proposed use of the proceeds therefrom, (iii) any actual or alleged presence or release of Hazardous Materials on or from any property owned or operated by a Loan Party or any of its Subsidiaries, or any Environmental Liability related in any way to a Loan Party or any of its Subsidiaries, (iv) any actual or prospective claim, litigation, investigation or proceeding relating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88" w:lineRule="auto"/>
        <w:rPr>
          <w:sz w:val="20"/>
          <w:szCs w:val="20"/>
          <w:color w:val="auto"/>
        </w:rPr>
      </w:pPr>
      <w:r>
        <w:rPr>
          <w:rFonts w:ascii="Arial" w:cs="Arial" w:eastAsia="Arial" w:hAnsi="Arial"/>
          <w:sz w:val="16"/>
          <w:szCs w:val="16"/>
          <w:color w:val="auto"/>
        </w:rPr>
        <w:t>to an allegation that the use, advertisement, display, importation, manufacture, marketing, offering for sale, performance, preparation of derivative works based upon, promotion, reproduction, sale, use and/or other distribution of a Product by the Borrower, any Subsidiary or any of their respective licensees, or the conduct of the Businesses, constitutes the infringement, violation or misappropriation of the rights of any Person or</w:t>
      </w:r>
    </w:p>
    <w:p>
      <w:pPr>
        <w:ind w:left="660" w:right="20" w:hanging="4"/>
        <w:spacing w:after="0" w:line="268" w:lineRule="auto"/>
        <w:tabs>
          <w:tab w:leader="none" w:pos="9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if the Borrower or such Loan Party has obtained a final and nonappealable judgment in its favor on such claim as determined by a court of competent jurisdiction. This </w:t>
      </w:r>
      <w:r>
        <w:rPr>
          <w:rFonts w:ascii="Arial" w:cs="Arial" w:eastAsia="Arial" w:hAnsi="Arial"/>
          <w:sz w:val="17"/>
          <w:szCs w:val="17"/>
          <w:u w:val="single" w:color="auto"/>
          <w:color w:val="auto"/>
        </w:rPr>
        <w:t>Section 11.04(b)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184" w:lineRule="exact"/>
        <w:rPr>
          <w:rFonts w:ascii="Arial" w:cs="Arial" w:eastAsia="Arial" w:hAnsi="Arial"/>
          <w:sz w:val="17"/>
          <w:szCs w:val="17"/>
          <w:color w:val="auto"/>
        </w:rPr>
      </w:pPr>
    </w:p>
    <w:p>
      <w:pPr>
        <w:ind w:left="660" w:right="80" w:firstLine="645"/>
        <w:spacing w:after="0" w:line="288" w:lineRule="auto"/>
        <w:tabs>
          <w:tab w:leader="none" w:pos="1967"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Loan Parties for any reason fail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to be paid by them to the Administrative Agent (or any sub-agent thereof) or any Related Party thereof,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unreimbursed expense or indemnified loss, claim, damage, liability or related expense, as the case may be, was incurred by or asserted against the Administrative Agent (or any such sub-agent), or against any Related Party thereof acting for the Administrative Agent (or any such sub-agent)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2.10(b)</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660" w:right="100" w:firstLine="645"/>
        <w:spacing w:after="0" w:line="291" w:lineRule="auto"/>
        <w:tabs>
          <w:tab w:leader="none" w:pos="1964"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67" w:lineRule="exact"/>
        <w:rPr>
          <w:rFonts w:ascii="Arial" w:cs="Arial" w:eastAsia="Arial" w:hAnsi="Arial"/>
          <w:sz w:val="16"/>
          <w:szCs w:val="16"/>
          <w:color w:val="auto"/>
        </w:rPr>
      </w:pPr>
    </w:p>
    <w:p>
      <w:pPr>
        <w:ind w:left="1960" w:hanging="655"/>
        <w:spacing w:after="0"/>
        <w:tabs>
          <w:tab w:leader="none" w:pos="1960"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shall be payable not later than ten (10) Business Days after demand therefor.</w:t>
      </w:r>
    </w:p>
    <w:p>
      <w:pPr>
        <w:spacing w:after="0" w:line="248" w:lineRule="exact"/>
        <w:rPr>
          <w:rFonts w:ascii="Arial" w:cs="Arial" w:eastAsia="Arial" w:hAnsi="Arial"/>
          <w:sz w:val="16"/>
          <w:szCs w:val="16"/>
          <w:color w:val="auto"/>
        </w:rPr>
      </w:pPr>
    </w:p>
    <w:p>
      <w:pPr>
        <w:ind w:left="660" w:right="200" w:firstLine="645"/>
        <w:spacing w:after="0" w:line="277" w:lineRule="auto"/>
        <w:tabs>
          <w:tab w:leader="none" w:pos="1961"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the indemnity provisions of </w:t>
      </w:r>
      <w:r>
        <w:rPr>
          <w:rFonts w:ascii="Arial" w:cs="Arial" w:eastAsia="Arial" w:hAnsi="Arial"/>
          <w:sz w:val="18"/>
          <w:szCs w:val="18"/>
          <w:u w:val="single" w:color="auto"/>
          <w:color w:val="auto"/>
        </w:rPr>
        <w:t>Section 11.02(d)</w:t>
      </w:r>
      <w:r>
        <w:rPr>
          <w:rFonts w:ascii="Arial" w:cs="Arial" w:eastAsia="Arial" w:hAnsi="Arial"/>
          <w:sz w:val="18"/>
          <w:szCs w:val="18"/>
          <w:color w:val="auto"/>
        </w:rPr>
        <w:t xml:space="preserve"> shall survive the resignation of the Administrative Agent, the replacement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Lender, the termination of the Commitments and the repayment, satisfaction or discharge of all the other Obligations.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11.05</w:t>
      </w:r>
      <w:r>
        <w:rPr>
          <w:sz w:val="20"/>
          <w:szCs w:val="20"/>
          <w:color w:val="auto"/>
        </w:rPr>
        <w:tab/>
      </w:r>
      <w:r>
        <w:rPr>
          <w:rFonts w:ascii="Arial" w:cs="Arial" w:eastAsia="Arial" w:hAnsi="Arial"/>
          <w:sz w:val="15"/>
          <w:szCs w:val="15"/>
          <w:u w:val="single" w:color="auto"/>
          <w:color w:val="auto"/>
        </w:rPr>
        <w:t>Payments Set Aside.</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To the extent that any payment by or on behalf of any Loan Party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Rate from time to time in effect. The obligations of the Lenders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5"/>
          <w:szCs w:val="15"/>
          <w:u w:val="single" w:color="auto"/>
          <w:color w:val="auto"/>
        </w:rPr>
        <w:t>Successors and Assigns.</w:t>
      </w:r>
    </w:p>
    <w:p>
      <w:pPr>
        <w:spacing w:after="0" w:line="225" w:lineRule="exact"/>
        <w:rPr>
          <w:sz w:val="20"/>
          <w:szCs w:val="20"/>
          <w:color w:val="auto"/>
        </w:rPr>
      </w:pPr>
    </w:p>
    <w:p>
      <w:pPr>
        <w:ind w:left="660" w:firstLine="645"/>
        <w:spacing w:after="0" w:line="288" w:lineRule="auto"/>
        <w:tabs>
          <w:tab w:leader="none" w:pos="1954"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(iii) by way of pledge or assignment of a security interest subject to the restrictions of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and, to the extent expressly contemplated hereby, the Related Parties of each of the Administrative Agent and the Lenders) any legal or equitable right, remedy or claim under or by reason of this Agreement.</w:t>
      </w:r>
    </w:p>
    <w:p>
      <w:pPr>
        <w:sectPr>
          <w:pgSz w:w="11900" w:h="16930" w:orient="portrait"/>
          <w:cols w:equalWidth="0" w:num="1">
            <w:col w:w="11400"/>
          </w:cols>
          <w:pgMar w:left="240" w:top="125" w:right="259" w:bottom="0" w:gutter="0" w:footer="0" w:header="0"/>
        </w:sectPr>
      </w:pPr>
    </w:p>
    <w:bookmarkStart w:id="90" w:name="page91"/>
    <w:bookmarkEnd w:id="90"/>
    <w:p>
      <w:pPr>
        <w:spacing w:after="0" w:line="94" w:lineRule="exact"/>
        <w:rPr>
          <w:sz w:val="20"/>
          <w:szCs w:val="20"/>
          <w:color w:val="auto"/>
        </w:rPr>
      </w:pPr>
    </w:p>
    <w:p>
      <w:pPr>
        <w:ind w:right="40" w:firstLine="645"/>
        <w:spacing w:after="0" w:line="312" w:lineRule="auto"/>
        <w:tabs>
          <w:tab w:leader="none" w:pos="1304"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Assignments by Lenders</w:t>
      </w:r>
      <w:r>
        <w:rPr>
          <w:rFonts w:ascii="Arial" w:cs="Arial" w:eastAsia="Arial" w:hAnsi="Arial"/>
          <w:sz w:val="16"/>
          <w:szCs w:val="16"/>
          <w:color w:val="auto"/>
        </w:rPr>
        <w:t xml:space="preserve">. Any Lender may at any time assign to one or more assignees all or a portion of its rights and obligations under this Agreement and the other Loan Documents (including all or a portion of its Commitments under any Facility and the Loans at the time owing to it (in each case with respect to any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any such assignment shall be subject to the following conditions:</w:t>
      </w:r>
    </w:p>
    <w:p>
      <w:pPr>
        <w:spacing w:after="0" w:line="146" w:lineRule="exact"/>
        <w:rPr>
          <w:rFonts w:ascii="Arial" w:cs="Arial" w:eastAsia="Arial" w:hAnsi="Arial"/>
          <w:sz w:val="16"/>
          <w:szCs w:val="16"/>
          <w:color w:val="auto"/>
        </w:rPr>
      </w:pPr>
    </w:p>
    <w:p>
      <w:pPr>
        <w:ind w:left="1960" w:hanging="748"/>
        <w:spacing w:after="0"/>
        <w:tabs>
          <w:tab w:leader="none" w:pos="1960"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sz w:val="20"/>
          <w:szCs w:val="20"/>
          <w:color w:val="auto"/>
        </w:rPr>
      </w:pPr>
    </w:p>
    <w:p>
      <w:pPr>
        <w:ind w:left="1300" w:right="80" w:firstLine="641"/>
        <w:spacing w:after="0" w:line="264" w:lineRule="auto"/>
        <w:tabs>
          <w:tab w:leader="none" w:pos="261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with respect to any Facility and/or the Loans with respect to any Facility at the time owing to it or contemporaneous assignments to related Approved Funds that equal at least the amount specified in</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u w:val="single" w:color="auto"/>
          <w:color w:val="auto"/>
        </w:rPr>
        <w:t>paragraph (b)(i)(B)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in the aggregate or in the case of an assignment to a Lender, an Affiliate of a Lender or an Approved Fund, no minimum amount need be assigned; and</w:t>
      </w:r>
    </w:p>
    <w:p>
      <w:pPr>
        <w:spacing w:after="0" w:line="170" w:lineRule="exact"/>
        <w:rPr>
          <w:sz w:val="20"/>
          <w:szCs w:val="20"/>
          <w:color w:val="auto"/>
        </w:rPr>
      </w:pPr>
    </w:p>
    <w:p>
      <w:pPr>
        <w:ind w:left="1300" w:firstLine="641"/>
        <w:spacing w:after="0" w:line="272" w:lineRule="auto"/>
        <w:tabs>
          <w:tab w:leader="none" w:pos="2607" w:val="left"/>
        </w:tabs>
        <w:numPr>
          <w:ilvl w:val="3"/>
          <w:numId w:val="167"/>
        </w:numPr>
        <w:rPr>
          <w:rFonts w:ascii="Arial" w:cs="Arial" w:eastAsia="Arial" w:hAnsi="Arial"/>
          <w:sz w:val="17"/>
          <w:szCs w:val="17"/>
          <w:color w:val="auto"/>
        </w:rPr>
      </w:pPr>
      <w:r>
        <w:rPr>
          <w:rFonts w:ascii="Arial" w:cs="Arial" w:eastAsia="Arial" w:hAnsi="Arial"/>
          <w:sz w:val="17"/>
          <w:szCs w:val="17"/>
          <w:color w:val="auto"/>
        </w:rPr>
        <w:t xml:space="preserve">in any case not described in </w:t>
      </w:r>
      <w:r>
        <w:rPr>
          <w:rFonts w:ascii="Arial" w:cs="Arial" w:eastAsia="Arial" w:hAnsi="Arial"/>
          <w:sz w:val="17"/>
          <w:szCs w:val="17"/>
          <w:u w:val="single" w:color="auto"/>
          <w:color w:val="auto"/>
        </w:rPr>
        <w:t>subsection (b)(i)(A)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11.06</w:t>
      </w:r>
      <w:r>
        <w:rPr>
          <w:rFonts w:ascii="Arial" w:cs="Arial" w:eastAsia="Arial" w:hAnsi="Arial"/>
          <w:sz w:val="17"/>
          <w:szCs w:val="17"/>
          <w:color w:val="auto"/>
        </w:rPr>
        <w:t>, the aggregate amount of the applicable Commitment (which for this purpose includes Loans outstanding thereunder) or, if the applicable Commitment is not then in effect, the principal outstanding balance of the Loans with respect to such Facility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177" w:lineRule="exact"/>
        <w:rPr>
          <w:rFonts w:ascii="Arial" w:cs="Arial" w:eastAsia="Arial" w:hAnsi="Arial"/>
          <w:sz w:val="17"/>
          <w:szCs w:val="17"/>
          <w:color w:val="auto"/>
        </w:rPr>
      </w:pPr>
    </w:p>
    <w:p>
      <w:pPr>
        <w:ind w:left="560" w:right="100" w:firstLine="652"/>
        <w:spacing w:after="0" w:line="259" w:lineRule="auto"/>
        <w:tabs>
          <w:tab w:leader="none" w:pos="1968"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of the assigning Lender’s rights and obligations under this Agreement with respect to the Loans or the Commitment assigned. Each assignment of all or a portion of a Lender’s rights and obligations under this Agreement shall be accompanied by a corresponding ratable assignment of such Lender’s rights and obligations under the ROFR Side Letter;</w:t>
      </w:r>
    </w:p>
    <w:p>
      <w:pPr>
        <w:spacing w:after="0" w:line="186" w:lineRule="exact"/>
        <w:rPr>
          <w:rFonts w:ascii="Arial" w:cs="Arial" w:eastAsia="Arial" w:hAnsi="Arial"/>
          <w:sz w:val="18"/>
          <w:szCs w:val="18"/>
          <w:color w:val="auto"/>
        </w:rPr>
      </w:pPr>
    </w:p>
    <w:p>
      <w:pPr>
        <w:ind w:left="1980" w:hanging="768"/>
        <w:spacing w:after="0"/>
        <w:tabs>
          <w:tab w:leader="none" w:pos="1980"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No consent shall be required for any assignment except to the extent required by </w:t>
      </w:r>
      <w:r>
        <w:rPr>
          <w:rFonts w:ascii="Arial" w:cs="Arial" w:eastAsia="Arial" w:hAnsi="Arial"/>
          <w:sz w:val="16"/>
          <w:szCs w:val="16"/>
          <w:u w:val="single" w:color="auto"/>
          <w:color w:val="auto"/>
        </w:rPr>
        <w:t>subsection (b)(i)</w:t>
      </w:r>
    </w:p>
    <w:p>
      <w:pPr>
        <w:spacing w:after="0" w:line="46" w:lineRule="exact"/>
        <w:rPr>
          <w:rFonts w:ascii="Arial" w:cs="Arial" w:eastAsia="Arial" w:hAnsi="Arial"/>
          <w:sz w:val="16"/>
          <w:szCs w:val="16"/>
          <w:color w:val="auto"/>
        </w:rPr>
      </w:pPr>
    </w:p>
    <w:p>
      <w:pPr>
        <w:ind w:left="840" w:hanging="276"/>
        <w:spacing w:after="0"/>
        <w:tabs>
          <w:tab w:leader="none" w:pos="840" w:val="left"/>
        </w:tabs>
        <w:numPr>
          <w:ilvl w:val="0"/>
          <w:numId w:val="169"/>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and, in addition:</w:t>
      </w:r>
    </w:p>
    <w:p>
      <w:pPr>
        <w:spacing w:after="0" w:line="210" w:lineRule="exact"/>
        <w:rPr>
          <w:rFonts w:ascii="Arial" w:cs="Arial" w:eastAsia="Arial" w:hAnsi="Arial"/>
          <w:sz w:val="18"/>
          <w:szCs w:val="18"/>
          <w:u w:val="single" w:color="auto"/>
          <w:color w:val="auto"/>
        </w:rPr>
      </w:pPr>
    </w:p>
    <w:p>
      <w:pPr>
        <w:ind w:left="2600" w:hanging="659"/>
        <w:spacing w:after="0"/>
        <w:tabs>
          <w:tab w:leader="none" w:pos="2600" w:val="left"/>
        </w:tabs>
        <w:numPr>
          <w:ilvl w:val="3"/>
          <w:numId w:val="169"/>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w:t>
      </w:r>
    </w:p>
    <w:p>
      <w:pPr>
        <w:spacing w:after="0" w:line="46" w:lineRule="exact"/>
        <w:rPr>
          <w:rFonts w:ascii="Arial" w:cs="Arial" w:eastAsia="Arial" w:hAnsi="Arial"/>
          <w:sz w:val="16"/>
          <w:szCs w:val="16"/>
          <w:color w:val="auto"/>
        </w:rPr>
      </w:pPr>
    </w:p>
    <w:p>
      <w:pPr>
        <w:ind w:left="1300" w:right="180" w:hanging="7"/>
        <w:spacing w:after="0" w:line="254" w:lineRule="auto"/>
        <w:tabs>
          <w:tab w:leader="none" w:pos="1555" w:val="left"/>
        </w:tabs>
        <w:numPr>
          <w:ilvl w:val="2"/>
          <w:numId w:val="169"/>
        </w:numPr>
        <w:rPr>
          <w:rFonts w:ascii="Arial" w:cs="Arial" w:eastAsia="Arial" w:hAnsi="Arial"/>
          <w:sz w:val="18"/>
          <w:szCs w:val="18"/>
          <w:color w:val="auto"/>
        </w:rPr>
      </w:pPr>
      <w:r>
        <w:rPr>
          <w:rFonts w:ascii="Arial" w:cs="Arial" w:eastAsia="Arial" w:hAnsi="Arial"/>
          <w:sz w:val="18"/>
          <w:szCs w:val="18"/>
          <w:color w:val="auto"/>
        </w:rPr>
        <w:t xml:space="preserve">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Borrower shall be deemed to have consented to any such assignment unless it shall object thereto by written notice to the Administrative Agent within five (5) Business Days after having received notice thereof;</w:t>
      </w:r>
    </w:p>
    <w:p>
      <w:pPr>
        <w:spacing w:after="0" w:line="189" w:lineRule="exact"/>
        <w:rPr>
          <w:rFonts w:ascii="Arial" w:cs="Arial" w:eastAsia="Arial" w:hAnsi="Arial"/>
          <w:sz w:val="18"/>
          <w:szCs w:val="18"/>
          <w:color w:val="auto"/>
        </w:rPr>
      </w:pPr>
    </w:p>
    <w:p>
      <w:pPr>
        <w:ind w:left="1300" w:right="100" w:firstLine="641"/>
        <w:spacing w:after="0" w:line="279" w:lineRule="auto"/>
        <w:tabs>
          <w:tab w:leader="none" w:pos="2607" w:val="left"/>
        </w:tabs>
        <w:numPr>
          <w:ilvl w:val="3"/>
          <w:numId w:val="170"/>
        </w:numPr>
        <w:rPr>
          <w:rFonts w:ascii="Arial" w:cs="Arial" w:eastAsia="Arial" w:hAnsi="Arial"/>
          <w:sz w:val="17"/>
          <w:szCs w:val="17"/>
          <w:color w:val="auto"/>
        </w:rPr>
      </w:pPr>
      <w:r>
        <w:rPr>
          <w:rFonts w:ascii="Arial" w:cs="Arial" w:eastAsia="Arial" w:hAnsi="Arial"/>
          <w:sz w:val="17"/>
          <w:szCs w:val="17"/>
          <w:color w:val="auto"/>
        </w:rPr>
        <w:t>the consent of the Administrative Agent (such consent not to be unreasonably withheld or delayed) shall be required for assignments in respect of (i) any unfunded Commitment if such assignment is to a Person that is not a Lender with a Commitment in respect of the applicable Facility, an Affiliate of such Lender or an Approved Fund with respect to such Lender or (ii) any Loan to a Person that is not a Lender, an Affiliate of a Lender or an Approved Fund;</w:t>
      </w:r>
    </w:p>
    <w:p>
      <w:pPr>
        <w:spacing w:after="0" w:line="171" w:lineRule="exact"/>
        <w:rPr>
          <w:rFonts w:ascii="Arial" w:cs="Arial" w:eastAsia="Arial" w:hAnsi="Arial"/>
          <w:sz w:val="17"/>
          <w:szCs w:val="17"/>
          <w:color w:val="auto"/>
        </w:rPr>
      </w:pPr>
    </w:p>
    <w:p>
      <w:pPr>
        <w:ind w:left="560" w:right="40" w:firstLine="652"/>
        <w:spacing w:after="0" w:line="264" w:lineRule="auto"/>
        <w:tabs>
          <w:tab w:leader="none" w:pos="1954"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The parties to each assignment shall execute and deliver to the Administrative Agent an Assignment and Assumption. The assignee, if it is not a Lender, shall deliver to the Administrative Agent such information, including notice information, as the Administrative Agent shall reasonably require.</w:t>
      </w:r>
    </w:p>
    <w:p>
      <w:pPr>
        <w:spacing w:after="0" w:line="181" w:lineRule="exact"/>
        <w:rPr>
          <w:rFonts w:ascii="Arial" w:cs="Arial" w:eastAsia="Arial" w:hAnsi="Arial"/>
          <w:sz w:val="18"/>
          <w:szCs w:val="18"/>
          <w:color w:val="auto"/>
        </w:rPr>
      </w:pPr>
    </w:p>
    <w:p>
      <w:pPr>
        <w:ind w:left="560" w:right="300" w:firstLine="652"/>
        <w:spacing w:after="0" w:line="286" w:lineRule="auto"/>
        <w:tabs>
          <w:tab w:leader="none" w:pos="1945"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No Assignment to Certain Persons</w:t>
      </w:r>
      <w:r>
        <w:rPr>
          <w:rFonts w:ascii="Arial" w:cs="Arial" w:eastAsia="Arial" w:hAnsi="Arial"/>
          <w:sz w:val="17"/>
          <w:szCs w:val="17"/>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or (C) to a natural Person.</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 w:right="40" w:firstLine="652"/>
        <w:spacing w:after="0" w:line="284" w:lineRule="auto"/>
        <w:tabs>
          <w:tab w:leader="none" w:pos="1954"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w:t>
      </w:r>
    </w:p>
    <w:p>
      <w:pPr>
        <w:spacing w:after="0" w:line="4" w:lineRule="exact"/>
        <w:rPr>
          <w:rFonts w:ascii="Arial" w:cs="Arial" w:eastAsia="Arial" w:hAnsi="Arial"/>
          <w:sz w:val="16"/>
          <w:szCs w:val="16"/>
          <w:color w:val="auto"/>
        </w:rPr>
      </w:pPr>
    </w:p>
    <w:p>
      <w:pPr>
        <w:ind w:left="560" w:right="140" w:firstLine="4"/>
        <w:spacing w:after="0" w:line="292" w:lineRule="auto"/>
        <w:tabs>
          <w:tab w:leader="none" w:pos="81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Subject to acceptance and recording thereof by the Administrative Agent pursuant to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xml:space="preserve"> with respect to facts and circumstances occurring prior to the effective date of such assignment. Upon request, the Borrower (at its expense) shall execute and deliver a Note</w:t>
      </w:r>
    </w:p>
    <w:p>
      <w:pPr>
        <w:sectPr>
          <w:pgSz w:w="11900" w:h="16932" w:orient="portrait"/>
          <w:cols w:equalWidth="0" w:num="1">
            <w:col w:w="10760"/>
          </w:cols>
          <w:pgMar w:left="900" w:top="341" w:right="239" w:bottom="0" w:gutter="0" w:footer="0" w:header="0"/>
        </w:sectPr>
      </w:pPr>
    </w:p>
    <w:bookmarkStart w:id="91" w:name="page92"/>
    <w:bookmarkEnd w:id="91"/>
    <w:p>
      <w:pPr>
        <w:spacing w:after="0" w:line="105" w:lineRule="exact"/>
        <w:rPr>
          <w:sz w:val="20"/>
          <w:szCs w:val="20"/>
          <w:color w:val="auto"/>
        </w:rPr>
      </w:pPr>
    </w:p>
    <w:p>
      <w:pPr>
        <w:ind w:left="660" w:right="300"/>
        <w:spacing w:after="0" w:line="264" w:lineRule="auto"/>
        <w:rPr>
          <w:sz w:val="20"/>
          <w:szCs w:val="20"/>
          <w:color w:val="auto"/>
        </w:rPr>
      </w:pPr>
      <w:r>
        <w:rPr>
          <w:rFonts w:ascii="Arial" w:cs="Arial" w:eastAsia="Arial" w:hAnsi="Arial"/>
          <w:sz w:val="18"/>
          <w:szCs w:val="18"/>
          <w:color w:val="auto"/>
        </w:rPr>
        <w:t xml:space="preserve">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11.06</w:t>
      </w:r>
      <w:r>
        <w:rPr>
          <w:rFonts w:ascii="Arial" w:cs="Arial" w:eastAsia="Arial" w:hAnsi="Arial"/>
          <w:sz w:val="18"/>
          <w:szCs w:val="18"/>
          <w:color w:val="auto"/>
        </w:rPr>
        <w:t>.</w:t>
      </w:r>
    </w:p>
    <w:p>
      <w:pPr>
        <w:spacing w:after="0" w:line="181" w:lineRule="exact"/>
        <w:rPr>
          <w:sz w:val="20"/>
          <w:szCs w:val="20"/>
          <w:color w:val="auto"/>
        </w:rPr>
      </w:pPr>
    </w:p>
    <w:p>
      <w:pPr>
        <w:ind w:left="660" w:right="140" w:firstLine="645"/>
        <w:spacing w:after="0" w:line="270" w:lineRule="auto"/>
        <w:tabs>
          <w:tab w:leader="none" w:pos="1967"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181" w:lineRule="exact"/>
        <w:rPr>
          <w:rFonts w:ascii="Arial" w:cs="Arial" w:eastAsia="Arial" w:hAnsi="Arial"/>
          <w:sz w:val="17"/>
          <w:szCs w:val="17"/>
          <w:color w:val="auto"/>
        </w:rPr>
      </w:pPr>
    </w:p>
    <w:p>
      <w:pPr>
        <w:jc w:val="both"/>
        <w:ind w:left="660" w:right="220" w:firstLine="645"/>
        <w:spacing w:after="0" w:line="342" w:lineRule="auto"/>
        <w:tabs>
          <w:tab w:leader="none" w:pos="1964"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a Defaulting Lender or the Borrower or any of the Borrower’s Affiliates or Subsidiaries)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without regard to the existence of any participation.</w:t>
      </w:r>
    </w:p>
    <w:p>
      <w:pPr>
        <w:spacing w:after="0" w:line="193" w:lineRule="exact"/>
        <w:rPr>
          <w:sz w:val="20"/>
          <w:szCs w:val="20"/>
          <w:color w:val="auto"/>
        </w:rPr>
      </w:pPr>
    </w:p>
    <w:p>
      <w:pPr>
        <w:ind w:left="660" w:firstLine="648"/>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agreement or instrument may provide that such Lender will not, without the consent of the Participant, agree to any amendment, waiver or other modification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11.01(a)</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(subject to the requirements and limitations therein (it being understood that the documentation required under </w:t>
      </w:r>
      <w:r>
        <w:rPr>
          <w:rFonts w:ascii="Arial" w:cs="Arial" w:eastAsia="Arial" w:hAnsi="Arial"/>
          <w:sz w:val="16"/>
          <w:szCs w:val="16"/>
          <w:u w:val="single" w:color="auto"/>
          <w:color w:val="auto"/>
        </w:rPr>
        <w:t>Sections 3.01(c) and (d)</w:t>
      </w:r>
      <w:r>
        <w:rPr>
          <w:rFonts w:ascii="Arial" w:cs="Arial" w:eastAsia="Arial" w:hAnsi="Arial"/>
          <w:sz w:val="16"/>
          <w:szCs w:val="16"/>
          <w:color w:val="auto"/>
        </w:rPr>
        <w:t xml:space="preserve"> shall be delivered to the participating Lender))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To the fullest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Participant shall not be entitled to receive any greater payment under </w:t>
      </w:r>
      <w:r>
        <w:rPr>
          <w:rFonts w:ascii="Arial" w:cs="Arial" w:eastAsia="Arial" w:hAnsi="Arial"/>
          <w:sz w:val="16"/>
          <w:szCs w:val="16"/>
          <w:u w:val="single" w:color="auto"/>
          <w:color w:val="auto"/>
        </w:rPr>
        <w:t>Section 3.01</w:t>
      </w:r>
      <w:r>
        <w:rPr>
          <w:rFonts w:ascii="Arial" w:cs="Arial" w:eastAsia="Arial" w:hAnsi="Arial"/>
          <w:sz w:val="16"/>
          <w:szCs w:val="16"/>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11.13 with respect to any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or, if different, under Sections 871(h) or 881(c)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ind w:left="660" w:right="40" w:firstLine="645"/>
        <w:spacing w:after="0" w:line="259" w:lineRule="auto"/>
        <w:tabs>
          <w:tab w:leader="none" w:pos="1967"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6"/>
          <w:szCs w:val="16"/>
          <w:u w:val="single" w:color="auto"/>
          <w:color w:val="auto"/>
        </w:rPr>
        <w:t>Treatment of Certain Information; Confidentiality.</w:t>
      </w:r>
    </w:p>
    <w:p>
      <w:pPr>
        <w:spacing w:after="0" w:line="225" w:lineRule="exact"/>
        <w:rPr>
          <w:sz w:val="20"/>
          <w:szCs w:val="20"/>
          <w:color w:val="auto"/>
        </w:rPr>
      </w:pPr>
    </w:p>
    <w:p>
      <w:pPr>
        <w:ind w:right="200" w:firstLine="648"/>
        <w:spacing w:after="0" w:line="285" w:lineRule="auto"/>
        <w:rPr>
          <w:sz w:val="20"/>
          <w:szCs w:val="20"/>
          <w:color w:val="auto"/>
        </w:rPr>
      </w:pPr>
      <w:r>
        <w:rPr>
          <w:rFonts w:ascii="Arial" w:cs="Arial" w:eastAsia="Arial" w:hAnsi="Arial"/>
          <w:sz w:val="16"/>
          <w:szCs w:val="16"/>
          <w:color w:val="auto"/>
        </w:rPr>
        <w:t>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will be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w:t>
      </w:r>
    </w:p>
    <w:p>
      <w:pPr>
        <w:spacing w:after="0" w:line="2" w:lineRule="exact"/>
        <w:rPr>
          <w:sz w:val="20"/>
          <w:szCs w:val="20"/>
          <w:color w:val="auto"/>
        </w:rPr>
      </w:pPr>
    </w:p>
    <w:p>
      <w:pPr>
        <w:jc w:val="both"/>
        <w:ind w:right="720" w:firstLine="8"/>
        <w:spacing w:after="0" w:line="281" w:lineRule="auto"/>
        <w:tabs>
          <w:tab w:leader="none" w:pos="25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to any other party hereto, (e) as may be reasonably necessary in connection with the exercise of any remedies hereunder or under any other Loan Document or any action or proceeding relating to this Agreement or any other Loan Document or the enforcement of rights hereunder or thereunder,</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subject to an agreement containing provisions substantially the same as those of this Section, to (i) any assignee of or Participant in, or any prospective</w:t>
      </w:r>
    </w:p>
    <w:p>
      <w:pPr>
        <w:spacing w:after="0" w:line="32" w:lineRule="exact"/>
        <w:rPr>
          <w:rFonts w:ascii="Arial" w:cs="Arial" w:eastAsia="Arial" w:hAnsi="Arial"/>
          <w:sz w:val="16"/>
          <w:szCs w:val="16"/>
          <w:color w:val="auto"/>
        </w:rPr>
      </w:pPr>
    </w:p>
    <w:p>
      <w:pPr>
        <w:jc w:val="both"/>
        <w:ind w:right="100"/>
        <w:spacing w:after="0" w:line="281" w:lineRule="auto"/>
        <w:rPr>
          <w:rFonts w:ascii="Arial" w:cs="Arial" w:eastAsia="Arial" w:hAnsi="Arial"/>
          <w:sz w:val="16"/>
          <w:szCs w:val="16"/>
          <w:color w:val="auto"/>
        </w:rPr>
      </w:pPr>
      <w:r>
        <w:rPr>
          <w:rFonts w:ascii="Arial" w:cs="Arial" w:eastAsia="Arial" w:hAnsi="Arial"/>
          <w:sz w:val="16"/>
          <w:szCs w:val="16"/>
          <w:color w:val="auto"/>
        </w:rPr>
        <w:t>assignee of or Participant in, any of its rights and obligations under this Agreement or (ii) any actual or prospective party (or its Related Parties) to any swap, derivative or other transaction under which payments are to be made by reference to a Loan Party and its obligations, this Agreement or payments hereunder,</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on a confidential basis to (i) any rating agency in connection with rating the Borrower or its Subsidiaries or the credit facilities provided hereunder or</w:t>
      </w:r>
    </w:p>
    <w:p>
      <w:pPr>
        <w:spacing w:after="0" w:line="20" w:lineRule="exact"/>
        <w:rPr>
          <w:rFonts w:ascii="Arial" w:cs="Arial" w:eastAsia="Arial" w:hAnsi="Arial"/>
          <w:sz w:val="17"/>
          <w:szCs w:val="17"/>
          <w:color w:val="auto"/>
        </w:rPr>
      </w:pPr>
    </w:p>
    <w:p>
      <w:pPr>
        <w:ind w:right="20" w:firstLine="8"/>
        <w:spacing w:after="0" w:line="302" w:lineRule="auto"/>
        <w:tabs>
          <w:tab w:leader="none" w:pos="26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CUSIP Service Bureau or any similar agency in connection with the issuance and monitoring of CUSIP numbers or other market identifiers with respect to the credit facilities provided hereunder, (h) with the consent of the Borrower, (i) to the members of its investment committee and its limited partners (it being understood that the Persons to whom such disclosure is made will be informed of the confidential nature of such Information and instructed to keep</w:t>
      </w:r>
    </w:p>
    <w:p>
      <w:pPr>
        <w:sectPr>
          <w:pgSz w:w="11900" w:h="16944" w:orient="portrait"/>
          <w:cols w:equalWidth="0" w:num="1">
            <w:col w:w="11420"/>
          </w:cols>
          <w:pgMar w:left="240" w:top="125" w:right="239" w:bottom="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such Information confidential) or (j) to the extent such Information (x) becomes publicly available other than as a result of a breach of this Section or</w:t>
      </w:r>
    </w:p>
    <w:p>
      <w:pPr>
        <w:spacing w:after="0" w:line="35" w:lineRule="exact"/>
        <w:rPr>
          <w:sz w:val="20"/>
          <w:szCs w:val="20"/>
          <w:color w:val="auto"/>
        </w:rPr>
      </w:pPr>
    </w:p>
    <w:p>
      <w:pPr>
        <w:ind w:right="280" w:firstLine="8"/>
        <w:spacing w:after="0" w:line="261" w:lineRule="auto"/>
        <w:tabs>
          <w:tab w:leader="none" w:pos="25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becomes available to the Administrative Agent, any Lender or any of their respective Affiliates on a nonconfidential basis from a source other than the Borrower.</w:t>
      </w:r>
    </w:p>
    <w:p>
      <w:pPr>
        <w:spacing w:after="0" w:line="18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a Loan Party or any Subsidiary relating to the Loan Parties or any Subsidiary or any of their respective businesses, other than any such information that is available to the Administrative Agent or any Lender on a nonconfidential basis prior to disclosure by such Loan Party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the case of information received from a Loan Party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11.08</w:t>
      </w:r>
      <w:r>
        <w:rPr>
          <w:sz w:val="20"/>
          <w:szCs w:val="20"/>
          <w:color w:val="auto"/>
        </w:rPr>
        <w:tab/>
      </w:r>
      <w:r>
        <w:rPr>
          <w:rFonts w:ascii="Arial" w:cs="Arial" w:eastAsia="Arial" w:hAnsi="Arial"/>
          <w:sz w:val="16"/>
          <w:szCs w:val="16"/>
          <w:u w:val="single" w:color="auto"/>
          <w:color w:val="auto"/>
        </w:rPr>
        <w:t>Set-off.</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 Loan Party against any and all of the obligations of the Borrower or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Loan Party may be contingent or unmatured or are owed to a branch office or Affiliate of such Lender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the event that any Defaulting Lender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the failure to give such notice shall not affect the validity of such setoff and application.</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11.09</w:t>
      </w:r>
      <w:r>
        <w:rPr>
          <w:sz w:val="20"/>
          <w:szCs w:val="20"/>
          <w:color w:val="auto"/>
        </w:rPr>
        <w:tab/>
      </w:r>
      <w:r>
        <w:rPr>
          <w:rFonts w:ascii="Arial" w:cs="Arial" w:eastAsia="Arial" w:hAnsi="Arial"/>
          <w:sz w:val="16"/>
          <w:szCs w:val="16"/>
          <w:u w:val="single" w:color="auto"/>
          <w:color w:val="auto"/>
        </w:rPr>
        <w:t>Interest Rate Limitation.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u w:val="single" w:color="auto"/>
          <w:color w:val="auto"/>
        </w:rPr>
        <w:t>Counterparts; Integration; Effectiveness.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Survival of Representations and Warranties.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All representations and warranties made hereunder and in any other Loan Document or other document delivered pursuant hereto or thereto or in connection herewith or therewith shall survive the execution and delivery hereof and thereof and shall continue in full force and effect as long as any Loan or other Obligation hereunder shall remain unpaid or unsatisfied.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Borrowing, and shall continue in full force and effect as long as any Loan or any other Obligation hereunder shall remain unpaid or unsatisfied.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u w:val="single" w:color="auto"/>
          <w:color w:val="auto"/>
        </w:rPr>
        <w:t>Severability.</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11.12</w:t>
      </w:r>
      <w:r>
        <w:rPr>
          <w:rFonts w:ascii="Arial" w:cs="Arial" w:eastAsia="Arial" w:hAnsi="Arial"/>
          <w:sz w:val="16"/>
          <w:szCs w:val="16"/>
          <w:color w:val="auto"/>
        </w:rPr>
        <w:t>, if and to the extent that the</w:t>
      </w:r>
    </w:p>
    <w:p>
      <w:pPr>
        <w:sectPr>
          <w:pgSz w:w="11900" w:h="16838" w:orient="portrait"/>
          <w:cols w:equalWidth="0" w:num="1">
            <w:col w:w="11400"/>
          </w:cols>
          <w:pgMar w:left="240" w:top="125" w:right="259" w:bottom="0" w:gutter="0" w:footer="0" w:header="0"/>
        </w:sectPr>
      </w:pPr>
    </w:p>
    <w:bookmarkStart w:id="93" w:name="page94"/>
    <w:bookmarkEnd w:id="93"/>
    <w:p>
      <w:pPr>
        <w:ind w:right="160"/>
        <w:spacing w:after="0" w:line="277" w:lineRule="auto"/>
        <w:rPr>
          <w:sz w:val="20"/>
          <w:szCs w:val="20"/>
          <w:color w:val="auto"/>
        </w:rPr>
      </w:pPr>
      <w:r>
        <w:rPr>
          <w:rFonts w:ascii="Arial" w:cs="Arial" w:eastAsia="Arial" w:hAnsi="Arial"/>
          <w:sz w:val="18"/>
          <w:szCs w:val="18"/>
          <w:color w:val="auto"/>
        </w:rPr>
        <w:t>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6"/>
          <w:szCs w:val="16"/>
          <w:u w:val="single" w:color="auto"/>
          <w:color w:val="auto"/>
        </w:rPr>
        <w:t>Replacement of Lenders.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188" w:lineRule="exact"/>
        <w:rPr>
          <w:sz w:val="20"/>
          <w:szCs w:val="20"/>
          <w:color w:val="auto"/>
        </w:rPr>
      </w:pPr>
    </w:p>
    <w:p>
      <w:pPr>
        <w:ind w:left="820" w:right="140" w:firstLine="647"/>
        <w:spacing w:after="0" w:line="297" w:lineRule="auto"/>
        <w:tabs>
          <w:tab w:leader="none" w:pos="211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one hundred percent (100%) of (x) the outstanding principal of its Loans, accrued interest thereon and all other amounts payable to it hereunder and under the other Loan Documents (other than prepayment premium) from the assignee (to the extent of such outstanding principal and accrued interest) or the Borrower (in the case of all other amounts) and (y) the prepayment premium required by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from the Borrower, as if such assignment was a prepayment of one hundred percent (100%) of the outstanding principal amount of such assignor’s Loans on the effective date of such assignment;</w:t>
      </w:r>
    </w:p>
    <w:p>
      <w:pPr>
        <w:spacing w:after="0" w:line="158" w:lineRule="exact"/>
        <w:rPr>
          <w:rFonts w:ascii="Arial" w:cs="Arial" w:eastAsia="Arial" w:hAnsi="Arial"/>
          <w:sz w:val="16"/>
          <w:szCs w:val="16"/>
          <w:color w:val="auto"/>
        </w:rPr>
      </w:pPr>
    </w:p>
    <w:p>
      <w:pPr>
        <w:ind w:left="2120" w:hanging="653"/>
        <w:spacing w:after="0"/>
        <w:tabs>
          <w:tab w:leader="none" w:pos="21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left="820" w:firstLine="647"/>
        <w:spacing w:after="0" w:line="255" w:lineRule="auto"/>
        <w:tabs>
          <w:tab w:leader="none" w:pos="212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pursuant to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shall nevertheless be effective without the execution by such Non-Consenting Lender of an Assignment and Assumption.</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Governing Law; Jurisdiction; Etc.</w:t>
      </w:r>
    </w:p>
    <w:p>
      <w:pPr>
        <w:spacing w:after="0" w:line="225" w:lineRule="exact"/>
        <w:rPr>
          <w:sz w:val="20"/>
          <w:szCs w:val="20"/>
          <w:color w:val="auto"/>
        </w:rPr>
      </w:pPr>
    </w:p>
    <w:p>
      <w:pPr>
        <w:ind w:left="660" w:right="20" w:firstLine="645"/>
        <w:spacing w:after="0" w:line="255" w:lineRule="auto"/>
        <w:tabs>
          <w:tab w:leader="none" w:pos="195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3" w:lineRule="exact"/>
        <w:rPr>
          <w:rFonts w:ascii="Arial" w:cs="Arial" w:eastAsia="Arial" w:hAnsi="Arial"/>
          <w:sz w:val="18"/>
          <w:szCs w:val="18"/>
          <w:color w:val="auto"/>
        </w:rPr>
      </w:pPr>
    </w:p>
    <w:p>
      <w:pPr>
        <w:ind w:left="660" w:right="40" w:firstLine="645"/>
        <w:spacing w:after="0" w:line="268" w:lineRule="auto"/>
        <w:tabs>
          <w:tab w:leader="none" w:pos="1964"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OTHER FORUM OTHER THAN THE COURTS OF THE STATE OF NEW YORK AND ANY UNITED STATES DISTRICT COURT IN THE STATE OF NEW YORK, IN EACH CASE LOCATED IN NEW YORK COUNTY,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ANY OTHER LOAN PARTY OR ITS PROPERTIES IN THE COURTS OF ANY JURISDICTION.</w:t>
      </w:r>
    </w:p>
    <w:p>
      <w:pPr>
        <w:spacing w:after="0" w:line="180" w:lineRule="exact"/>
        <w:rPr>
          <w:rFonts w:ascii="Arial" w:cs="Arial" w:eastAsia="Arial" w:hAnsi="Arial"/>
          <w:sz w:val="17"/>
          <w:szCs w:val="17"/>
          <w:color w:val="auto"/>
        </w:rPr>
      </w:pPr>
    </w:p>
    <w:p>
      <w:pPr>
        <w:ind w:left="660" w:firstLine="645"/>
        <w:spacing w:after="0" w:line="273" w:lineRule="auto"/>
        <w:tabs>
          <w:tab w:leader="none" w:pos="1967"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WAIVER OF VENUE</w:t>
      </w:r>
      <w:r>
        <w:rPr>
          <w:rFonts w:ascii="Arial" w:cs="Arial" w:eastAsia="Arial" w:hAnsi="Arial"/>
          <w:sz w:val="17"/>
          <w:szCs w:val="17"/>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Arial" w:cs="Arial" w:eastAsia="Arial" w:hAnsi="Arial"/>
          <w:sz w:val="17"/>
          <w:szCs w:val="17"/>
          <w:color w:val="auto"/>
        </w:rPr>
      </w:pPr>
    </w:p>
    <w:p>
      <w:pPr>
        <w:ind w:left="660" w:right="560" w:firstLine="645"/>
        <w:spacing w:after="0" w:line="277" w:lineRule="auto"/>
        <w:tabs>
          <w:tab w:leader="none" w:pos="196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EACH PARTY HERETO IRREVOCABLY CONSENTS TO SERVICE OF PROCESS IN THE MANNER PROVIDED FOR NOTICES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ectPr>
          <w:pgSz w:w="11900" w:h="16838" w:orient="portrait"/>
          <w:cols w:equalWidth="0" w:num="1">
            <w:col w:w="11420"/>
          </w:cols>
          <w:pgMar w:left="240" w:top="125" w:right="239" w:bottom="0" w:gutter="0" w:footer="0" w:header="0"/>
        </w:sectPr>
      </w:pPr>
    </w:p>
    <w:bookmarkStart w:id="94" w:name="page95"/>
    <w:bookmarkEnd w:id="94"/>
    <w:p>
      <w:pPr>
        <w:spacing w:after="0" w:line="2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Waiver of Right to Trial by Jury.</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Arial" w:cs="Arial" w:eastAsia="Arial" w:hAnsi="Arial"/>
          <w:sz w:val="18"/>
          <w:szCs w:val="18"/>
          <w:u w:val="single" w:color="auto"/>
          <w:color w:val="auto"/>
        </w:rPr>
        <w:t>SECTION 11.15</w:t>
      </w:r>
      <w:r>
        <w:rPr>
          <w:rFonts w:ascii="Arial" w:cs="Arial" w:eastAsia="Arial" w:hAnsi="Arial"/>
          <w:sz w:val="18"/>
          <w:szCs w:val="18"/>
          <w:color w:val="auto"/>
        </w:rPr>
        <w:t>.</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u w:val="single" w:color="auto"/>
          <w:color w:val="auto"/>
        </w:rPr>
        <w:t>Electronic Execution of Assignments and Certain Other Documents.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7"/>
          <w:szCs w:val="17"/>
          <w:u w:val="single" w:color="auto"/>
          <w:color w:val="auto"/>
        </w:rPr>
        <w:t>USA PATRIOT Act.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Lender that is subject to the PATRIOT Act (as hereinafter defined) and the Administrative Agent (for itself and not on behalf of any Lender) hereby notifies the Borrower and the other Loan Parties that pursuant to the requirements of the USA PATRIOT Act (Title III of Pub. L. 107-56 (signed into law October 26, 2001)) (the “</w:t>
      </w:r>
      <w:r>
        <w:rPr>
          <w:rFonts w:ascii="Arial" w:cs="Arial" w:eastAsia="Arial" w:hAnsi="Arial"/>
          <w:sz w:val="16"/>
          <w:szCs w:val="16"/>
          <w:u w:val="single" w:color="auto"/>
          <w:color w:val="auto"/>
        </w:rPr>
        <w:t>PATRIOT Act</w:t>
      </w:r>
      <w:r>
        <w:rPr>
          <w:rFonts w:ascii="Arial" w:cs="Arial" w:eastAsia="Arial" w:hAnsi="Arial"/>
          <w:sz w:val="16"/>
          <w:szCs w:val="16"/>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and the Loan Parties agree to,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u w:val="single" w:color="auto"/>
          <w:color w:val="auto"/>
        </w:rPr>
        <w:t>No Advisory or Fiduciary Relationship.</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and the Lenders are arm’s-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length commercial transactions between the Borrower and its Affiliates, on the one hand, and the Administrative Agent, the Lenders and their respective Affiliates on the other hand, (ii) the Borrower has consulted its own legal, accounting, regulatory and tax advisors to the extent it has deemed appropriate and</w:t>
      </w:r>
    </w:p>
    <w:p>
      <w:pPr>
        <w:ind w:firstLine="8"/>
        <w:spacing w:after="0" w:line="286" w:lineRule="auto"/>
        <w:tabs>
          <w:tab w:leader="none" w:pos="31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Borrower is capable of evaluating, and understands and accepts, the terms, risks and conditions of the transactions contemplated hereby and by the other Loan Documents; (b)(i) the Administrative Agent, each Lender and each of their respective Affiliates is and has been acting solely as a principal and, except as expressly agreed in writing by the relevant parties, has not been, is not and will not be acting as an advisor, agent or fiduciary, for the Borrower or any of Affiliates or any other Person and (ii) neither the Administrative Agent, any Lender nor any of their respective Affiliates has any obligation to the Borrower or any of its Affiliates with respect to the transactions contemplated hereby except those obligations expressly set forth herein and in the other Loan Documents; and (c) the Administrative Agent, the Lenders and their respective Affiliates may be engaged in a broad range of transactions that involve interests that differ from those of the Borrower and its Affiliates, and neither the Administrative Agent nor any Lender nor any of their respective Affiliates has any obligation to disclose any of such interests to the Borrower or its Affiliates. To the fullest extent permitted by law, the Borrower hereby waives and releases, any claims that it may have against the Administrative Agent, any Lender or any of their respective Affiliates with respect to any breach or alleged breach of agency or fiduciary duty in connection with any aspect of any transaction contemplated hereby.</w:t>
      </w:r>
    </w:p>
    <w:p>
      <w:pPr>
        <w:spacing w:after="0" w:line="17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u w:val="single" w:color="auto"/>
          <w:color w:val="auto"/>
        </w:rPr>
        <w:t>Facility Termination Date.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the Facility Termination Date, all security interests granted to the Administrative Agent, the Secured Parties and/or the Lenders in the Collateral pursuant to the Collateral Documents shall automatically terminate. Upon the request of the Borrower on or after the occurrence of the Facility Termination Date, the Administrative Agent shall promptly deliver (all at the expense of the Borrower) such executed notices, terminations, releases or other documentation as the Borrower shall request to evidence the termination of the security interests granted to the Administrative Agent pursuant to the Collateral Documents.</w:t>
      </w:r>
    </w:p>
    <w:p>
      <w:pPr>
        <w:spacing w:after="0" w:line="18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u w:val="single" w:color="auto"/>
          <w:color w:val="auto"/>
        </w:rPr>
        <w:t>Funding Date.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parties hereto agree that if the Funding Date does not occur on or before May 30, 2016, this Agreement and all other Loan Documents shall be automatically terminated.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have caused this Agreement to be duly executed as of the date first above written.</w:t>
      </w:r>
    </w:p>
    <w:p>
      <w:pPr>
        <w:sectPr>
          <w:pgSz w:w="11900" w:h="16865" w:orient="portrait"/>
          <w:cols w:equalWidth="0" w:num="1">
            <w:col w:w="11380"/>
          </w:cols>
          <w:pgMar w:left="240" w:top="125" w:right="27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BORROWER: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w:t>
      </w:r>
    </w:p>
    <w:p>
      <w:pPr>
        <w:sectPr>
          <w:pgSz w:w="11900" w:h="16865" w:orient="portrait"/>
          <w:cols w:equalWidth="0" w:num="2">
            <w:col w:w="5100" w:space="720"/>
            <w:col w:w="5560"/>
          </w:cols>
          <w:pgMar w:left="240" w:top="125" w:right="279" w:bottom="0" w:gutter="0" w:footer="0" w:header="0"/>
          <w:type w:val="continuous"/>
        </w:sectPr>
      </w:pPr>
    </w:p>
    <w:bookmarkStart w:id="95" w:name="page96"/>
    <w:bookmarkEnd w:id="95"/>
    <w:p>
      <w:pPr>
        <w:ind w:left="5820"/>
        <w:spacing w:after="0"/>
        <w:rPr>
          <w:sz w:val="20"/>
          <w:szCs w:val="20"/>
          <w:color w:val="auto"/>
        </w:rPr>
      </w:pPr>
      <w:r>
        <w:rPr>
          <w:rFonts w:ascii="Arial" w:cs="Arial" w:eastAsia="Arial" w:hAnsi="Arial"/>
          <w:sz w:val="18"/>
          <w:szCs w:val="18"/>
          <w:color w:val="auto"/>
        </w:rPr>
        <w:t>By:  /s/ Bonnie Anderson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Title: President &amp; CEO</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PARTNERS,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ectPr>
          <w:pgSz w:w="11900" w:h="16838" w:orient="portrait"/>
          <w:cols w:equalWidth="0" w:num="2">
            <w:col w:w="5100" w:space="720"/>
            <w:col w:w="5600"/>
          </w:cols>
          <w:pgMar w:left="240" w:top="557" w:right="239" w:bottom="0" w:gutter="0" w:footer="0" w:header="0"/>
          <w:type w:val="continuous"/>
        </w:sect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ADVISORS, LP,</w:t>
      </w:r>
    </w:p>
    <w:p>
      <w:pPr>
        <w:spacing w:after="0" w:line="35" w:lineRule="exact"/>
        <w:rPr>
          <w:sz w:val="20"/>
          <w:szCs w:val="20"/>
          <w:color w:val="auto"/>
        </w:rPr>
      </w:pPr>
    </w:p>
    <w:p>
      <w:pPr>
        <w:sectPr>
          <w:pgSz w:w="11900" w:h="16838" w:orient="portrait"/>
          <w:cols w:equalWidth="0" w:num="2">
            <w:col w:w="6080" w:space="320"/>
            <w:col w:w="5020"/>
          </w:cols>
          <w:pgMar w:left="240" w:top="557" w:right="239" w:bottom="0" w:gutter="0" w:footer="0" w:header="0"/>
          <w:type w:val="continuous"/>
        </w:sectPr>
      </w:pPr>
    </w:p>
    <w:p>
      <w:pPr>
        <w:ind w:left="65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6580" w:type="dxa"/>
        <w:tblCellMar>
          <w:top w:w="0" w:type="dxa"/>
          <w:left w:w="0" w:type="dxa"/>
          <w:bottom w:w="0" w:type="dxa"/>
          <w:right w:w="0" w:type="dxa"/>
        </w:tblCellMar>
      </w:tblP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gridSpan w:val="3"/>
          </w:tcPr>
          <w:p>
            <w:pPr>
              <w:ind w:left="20"/>
              <w:spacing w:after="0"/>
              <w:rPr>
                <w:sz w:val="20"/>
                <w:szCs w:val="20"/>
                <w:color w:val="auto"/>
              </w:rPr>
            </w:pPr>
            <w:r>
              <w:rPr>
                <w:rFonts w:ascii="Arial" w:cs="Arial" w:eastAsia="Arial" w:hAnsi="Arial"/>
                <w:sz w:val="18"/>
                <w:szCs w:val="18"/>
                <w:color w:val="auto"/>
              </w:rPr>
              <w:t>JG ASSET II, LLC,</w:t>
            </w:r>
          </w:p>
        </w:tc>
      </w:tr>
      <w:tr>
        <w:trPr>
          <w:trHeight w:val="230"/>
        </w:trPr>
        <w:tc>
          <w:tcPr>
            <w:tcW w:w="4840" w:type="dxa"/>
            <w:vAlign w:val="bottom"/>
            <w:gridSpan w:val="5"/>
          </w:tcPr>
          <w:p>
            <w:pPr>
              <w:ind w:left="660"/>
              <w:spacing w:after="0"/>
              <w:rPr>
                <w:sz w:val="20"/>
                <w:szCs w:val="20"/>
                <w:color w:val="auto"/>
              </w:rPr>
            </w:pPr>
            <w:r>
              <w:rPr>
                <w:rFonts w:ascii="Arial" w:cs="Arial" w:eastAsia="Arial" w:hAnsi="Arial"/>
                <w:sz w:val="18"/>
                <w:szCs w:val="18"/>
                <w:color w:val="auto"/>
              </w:rPr>
              <w:t>its General Partner</w:t>
            </w:r>
          </w:p>
        </w:tc>
      </w:tr>
      <w:tr>
        <w:trPr>
          <w:trHeight w:val="432"/>
        </w:trPr>
        <w:tc>
          <w:tcPr>
            <w:tcW w:w="4840" w:type="dxa"/>
            <w:vAlign w:val="bottom"/>
            <w:gridSpan w:val="5"/>
          </w:tcPr>
          <w:p>
            <w:pPr>
              <w:ind w:left="480"/>
              <w:spacing w:after="0"/>
              <w:rPr>
                <w:sz w:val="20"/>
                <w:szCs w:val="20"/>
                <w:color w:val="auto"/>
              </w:rPr>
            </w:pPr>
            <w:r>
              <w:rPr>
                <w:rFonts w:ascii="Arial" w:cs="Arial" w:eastAsia="Arial" w:hAnsi="Arial"/>
                <w:sz w:val="18"/>
                <w:szCs w:val="18"/>
                <w:color w:val="auto"/>
              </w:rPr>
              <w:t>By:  /s/ Mark Gottlieb</w:t>
            </w:r>
          </w:p>
        </w:tc>
      </w:tr>
      <w:tr>
        <w:trPr>
          <w:trHeight w:val="210"/>
        </w:trPr>
        <w:tc>
          <w:tcPr>
            <w:tcW w:w="860" w:type="dxa"/>
            <w:vAlign w:val="bottom"/>
          </w:tcPr>
          <w:p>
            <w:pPr>
              <w:ind w:left="480"/>
              <w:spacing w:after="0"/>
              <w:rPr>
                <w:sz w:val="20"/>
                <w:szCs w:val="20"/>
                <w:color w:val="auto"/>
              </w:rPr>
            </w:pPr>
            <w:r>
              <w:rPr>
                <w:rFonts w:ascii="Arial" w:cs="Arial" w:eastAsia="Arial" w:hAnsi="Arial"/>
                <w:sz w:val="17"/>
                <w:szCs w:val="17"/>
                <w:color w:val="auto"/>
                <w:w w:val="71"/>
              </w:rPr>
              <w:t>Name:</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Mark Gottlieb</w:t>
            </w:r>
          </w:p>
        </w:tc>
      </w:tr>
      <w:tr>
        <w:trPr>
          <w:trHeight w:val="196"/>
        </w:trPr>
        <w:tc>
          <w:tcPr>
            <w:tcW w:w="1000" w:type="dxa"/>
            <w:vAlign w:val="bottom"/>
            <w:gridSpan w:val="2"/>
          </w:tcPr>
          <w:p>
            <w:pPr>
              <w:ind w:left="480"/>
              <w:spacing w:after="0" w:line="196" w:lineRule="exact"/>
              <w:rPr>
                <w:sz w:val="20"/>
                <w:szCs w:val="20"/>
                <w:color w:val="auto"/>
              </w:rPr>
            </w:pPr>
            <w:r>
              <w:rPr>
                <w:rFonts w:ascii="Arial" w:cs="Arial" w:eastAsia="Arial" w:hAnsi="Arial"/>
                <w:sz w:val="18"/>
                <w:szCs w:val="18"/>
                <w:color w:val="auto"/>
              </w:rPr>
              <w:t>Title:</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LENDERS: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PARTNERS,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200" w:lineRule="exact"/>
        <w:rPr>
          <w:sz w:val="20"/>
          <w:szCs w:val="20"/>
          <w:color w:val="auto"/>
        </w:rPr>
      </w:pPr>
    </w:p>
    <w:p>
      <w:pPr>
        <w:sectPr>
          <w:pgSz w:w="11900" w:h="16838" w:orient="portrait"/>
          <w:cols w:equalWidth="0" w:num="2">
            <w:col w:w="5100" w:space="720"/>
            <w:col w:w="5600"/>
          </w:cols>
          <w:pgMar w:left="240" w:top="557" w:right="239" w:bottom="0" w:gutter="0" w:footer="0" w:header="0"/>
          <w:type w:val="continuous"/>
        </w:sectPr>
      </w:pPr>
    </w:p>
    <w:p>
      <w:pPr>
        <w:spacing w:after="0" w:line="2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VISIUM HEALTHCARE ADVISORS, LP,</w:t>
      </w:r>
    </w:p>
    <w:p>
      <w:pPr>
        <w:spacing w:after="0" w:line="35" w:lineRule="exact"/>
        <w:rPr>
          <w:sz w:val="20"/>
          <w:szCs w:val="20"/>
          <w:color w:val="auto"/>
        </w:rPr>
      </w:pPr>
    </w:p>
    <w:p>
      <w:pPr>
        <w:sectPr>
          <w:pgSz w:w="11900" w:h="16838" w:orient="portrait"/>
          <w:cols w:equalWidth="0" w:num="2">
            <w:col w:w="6080" w:space="220"/>
            <w:col w:w="5120"/>
          </w:cols>
          <w:pgMar w:left="240" w:top="557" w:right="239" w:bottom="0" w:gutter="0" w:footer="0" w:header="0"/>
          <w:type w:val="continuous"/>
        </w:sectPr>
      </w:pPr>
    </w:p>
    <w:p>
      <w:pPr>
        <w:ind w:left="64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6480" w:type="dxa"/>
        <w:tblCellMar>
          <w:top w:w="0" w:type="dxa"/>
          <w:left w:w="0" w:type="dxa"/>
          <w:bottom w:w="0" w:type="dxa"/>
          <w:right w:w="0" w:type="dxa"/>
        </w:tblCellMar>
      </w:tblP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3860" w:type="dxa"/>
            <w:vAlign w:val="bottom"/>
            <w:gridSpan w:val="3"/>
          </w:tcPr>
          <w:p>
            <w:pPr>
              <w:ind w:left="20"/>
              <w:spacing w:after="0"/>
              <w:rPr>
                <w:sz w:val="20"/>
                <w:szCs w:val="20"/>
                <w:color w:val="auto"/>
              </w:rPr>
            </w:pPr>
            <w:r>
              <w:rPr>
                <w:rFonts w:ascii="Arial" w:cs="Arial" w:eastAsia="Arial" w:hAnsi="Arial"/>
                <w:sz w:val="18"/>
                <w:szCs w:val="18"/>
                <w:color w:val="auto"/>
              </w:rPr>
              <w:t>JG ASSET II, LLC,</w:t>
            </w:r>
          </w:p>
        </w:tc>
      </w:tr>
      <w:tr>
        <w:trPr>
          <w:trHeight w:val="230"/>
        </w:trPr>
        <w:tc>
          <w:tcPr>
            <w:tcW w:w="4940" w:type="dxa"/>
            <w:vAlign w:val="bottom"/>
            <w:gridSpan w:val="5"/>
          </w:tcPr>
          <w:p>
            <w:pPr>
              <w:ind w:left="740"/>
              <w:spacing w:after="0"/>
              <w:rPr>
                <w:sz w:val="20"/>
                <w:szCs w:val="20"/>
                <w:color w:val="auto"/>
              </w:rPr>
            </w:pPr>
            <w:r>
              <w:rPr>
                <w:rFonts w:ascii="Arial" w:cs="Arial" w:eastAsia="Arial" w:hAnsi="Arial"/>
                <w:sz w:val="18"/>
                <w:szCs w:val="18"/>
                <w:color w:val="auto"/>
              </w:rPr>
              <w:t>its General Partner</w:t>
            </w:r>
          </w:p>
        </w:tc>
      </w:tr>
      <w:tr>
        <w:trPr>
          <w:trHeight w:val="648"/>
        </w:trPr>
        <w:tc>
          <w:tcPr>
            <w:tcW w:w="4940" w:type="dxa"/>
            <w:vAlign w:val="bottom"/>
            <w:gridSpan w:val="5"/>
          </w:tcPr>
          <w:p>
            <w:pPr>
              <w:ind w:left="560"/>
              <w:spacing w:after="0"/>
              <w:rPr>
                <w:sz w:val="20"/>
                <w:szCs w:val="20"/>
                <w:color w:val="auto"/>
              </w:rPr>
            </w:pPr>
            <w:r>
              <w:rPr>
                <w:rFonts w:ascii="Arial" w:cs="Arial" w:eastAsia="Arial" w:hAnsi="Arial"/>
                <w:sz w:val="18"/>
                <w:szCs w:val="18"/>
                <w:color w:val="auto"/>
              </w:rPr>
              <w:t>By:  /s/ Mark Gottlieb</w:t>
            </w:r>
          </w:p>
        </w:tc>
      </w:tr>
      <w:tr>
        <w:trPr>
          <w:trHeight w:val="210"/>
        </w:trPr>
        <w:tc>
          <w:tcPr>
            <w:tcW w:w="940" w:type="dxa"/>
            <w:vAlign w:val="bottom"/>
          </w:tcPr>
          <w:p>
            <w:pPr>
              <w:ind w:left="560"/>
              <w:spacing w:after="0"/>
              <w:rPr>
                <w:sz w:val="20"/>
                <w:szCs w:val="20"/>
                <w:color w:val="auto"/>
              </w:rPr>
            </w:pPr>
            <w:r>
              <w:rPr>
                <w:rFonts w:ascii="Arial" w:cs="Arial" w:eastAsia="Arial" w:hAnsi="Arial"/>
                <w:sz w:val="17"/>
                <w:szCs w:val="17"/>
                <w:color w:val="auto"/>
                <w:w w:val="71"/>
              </w:rPr>
              <w:t>Name:</w:t>
            </w: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Mark Gottlieb</w:t>
            </w:r>
          </w:p>
        </w:tc>
      </w:tr>
      <w:tr>
        <w:trPr>
          <w:trHeight w:val="196"/>
        </w:trPr>
        <w:tc>
          <w:tcPr>
            <w:tcW w:w="10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Title:</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A</w:t>
            </w:r>
          </w:p>
        </w:tc>
        <w:tc>
          <w:tcPr>
            <w:tcW w:w="4980" w:type="dxa"/>
            <w:vAlign w:val="bottom"/>
            <w:gridSpan w:val="3"/>
          </w:tcPr>
          <w:p>
            <w:pPr>
              <w:spacing w:after="0"/>
              <w:rPr>
                <w:sz w:val="18"/>
                <w:szCs w:val="18"/>
                <w:color w:val="auto"/>
              </w:rPr>
            </w:pPr>
          </w:p>
        </w:tc>
      </w:tr>
      <w:tr>
        <w:trPr>
          <w:trHeight w:val="453"/>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700" w:type="dxa"/>
            <w:vAlign w:val="bottom"/>
            <w:gridSpan w:val="7"/>
          </w:tcPr>
          <w:p>
            <w:pPr>
              <w:jc w:val="center"/>
              <w:ind w:right="1180"/>
              <w:spacing w:after="0"/>
              <w:rPr>
                <w:sz w:val="20"/>
                <w:szCs w:val="20"/>
                <w:color w:val="auto"/>
              </w:rPr>
            </w:pPr>
            <w:r>
              <w:rPr>
                <w:rFonts w:ascii="Arial" w:cs="Arial" w:eastAsia="Arial" w:hAnsi="Arial"/>
                <w:sz w:val="18"/>
                <w:szCs w:val="18"/>
                <w:b w:val="1"/>
                <w:bCs w:val="1"/>
                <w:color w:val="auto"/>
              </w:rPr>
              <w:t>FORM OF LOAN NOTICE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 20</w:t>
            </w: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To:</w:t>
            </w:r>
          </w:p>
        </w:tc>
        <w:tc>
          <w:tcPr>
            <w:tcW w:w="140" w:type="dxa"/>
            <w:vAlign w:val="bottom"/>
          </w:tcPr>
          <w:p>
            <w:pPr>
              <w:spacing w:after="0"/>
              <w:rPr>
                <w:sz w:val="24"/>
                <w:szCs w:val="24"/>
                <w:color w:val="auto"/>
              </w:rPr>
            </w:pPr>
          </w:p>
        </w:tc>
        <w:tc>
          <w:tcPr>
            <w:tcW w:w="10500" w:type="dxa"/>
            <w:vAlign w:val="bottom"/>
            <w:gridSpan w:val="8"/>
          </w:tcPr>
          <w:p>
            <w:pPr>
              <w:ind w:left="40"/>
              <w:spacing w:after="0"/>
              <w:rPr>
                <w:sz w:val="20"/>
                <w:szCs w:val="20"/>
                <w:color w:val="auto"/>
              </w:rPr>
            </w:pPr>
            <w:r>
              <w:rPr>
                <w:rFonts w:ascii="Arial" w:cs="Arial" w:eastAsia="Arial" w:hAnsi="Arial"/>
                <w:sz w:val="18"/>
                <w:szCs w:val="18"/>
                <w:color w:val="auto"/>
              </w:rPr>
              <w:t>Visium Healthcare Partners, LP, as Administrative Agent</w:t>
            </w:r>
          </w:p>
        </w:tc>
      </w:tr>
      <w:tr>
        <w:trPr>
          <w:trHeight w:val="392"/>
        </w:trPr>
        <w:tc>
          <w:tcPr>
            <w:tcW w:w="520" w:type="dxa"/>
            <w:vAlign w:val="bottom"/>
          </w:tcPr>
          <w:p>
            <w:pPr>
              <w:spacing w:after="0"/>
              <w:rPr>
                <w:sz w:val="20"/>
                <w:szCs w:val="20"/>
                <w:color w:val="auto"/>
              </w:rPr>
            </w:pPr>
            <w:r>
              <w:rPr>
                <w:rFonts w:ascii="Arial" w:cs="Arial" w:eastAsia="Arial" w:hAnsi="Arial"/>
                <w:sz w:val="18"/>
                <w:szCs w:val="18"/>
                <w:color w:val="auto"/>
              </w:rPr>
              <w:t>Re:</w:t>
            </w:r>
          </w:p>
        </w:tc>
        <w:tc>
          <w:tcPr>
            <w:tcW w:w="10640" w:type="dxa"/>
            <w:vAlign w:val="bottom"/>
            <w:gridSpan w:val="9"/>
          </w:tcPr>
          <w:p>
            <w:pPr>
              <w:ind w:left="120"/>
              <w:spacing w:after="0"/>
              <w:rPr>
                <w:sz w:val="20"/>
                <w:szCs w:val="20"/>
                <w:color w:val="auto"/>
              </w:rPr>
            </w:pPr>
            <w:r>
              <w:rPr>
                <w:rFonts w:ascii="Arial" w:cs="Arial" w:eastAsia="Arial" w:hAnsi="Arial"/>
                <w:sz w:val="18"/>
                <w:szCs w:val="18"/>
                <w:color w:val="auto"/>
                <w:w w:val="96"/>
              </w:rPr>
              <w:t>Credit Agreement dated as of March 25, 2016 (as amended, modified, restated, supplemented or extended from time to time, the “Credit</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500" w:type="dxa"/>
            <w:vAlign w:val="bottom"/>
            <w:gridSpan w:val="8"/>
          </w:tcPr>
          <w:p>
            <w:pPr>
              <w:spacing w:after="0" w:line="196" w:lineRule="exact"/>
              <w:rPr>
                <w:sz w:val="20"/>
                <w:szCs w:val="20"/>
                <w:color w:val="auto"/>
              </w:rPr>
            </w:pPr>
            <w:r>
              <w:rPr>
                <w:rFonts w:ascii="Arial" w:cs="Arial" w:eastAsia="Arial" w:hAnsi="Arial"/>
                <w:sz w:val="18"/>
                <w:szCs w:val="18"/>
                <w:color w:val="auto"/>
                <w:w w:val="93"/>
              </w:rPr>
              <w:t>Agreement”) among Veracyte, Inc., a Delaware corporation (the “Borrower”), the Guarantors, the Lenders from time to time party thereto and</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r>
      <w:tr>
        <w:trPr>
          <w:trHeight w:val="222"/>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w w:val="90"/>
              </w:rPr>
              <w:t>Visium Healthcare Partners, LP, as Administrative Agent. Capitalized terms used but not otherwise defined herein have the meanings provided in</w:t>
            </w:r>
          </w:p>
        </w:tc>
      </w:tr>
      <w:tr>
        <w:trPr>
          <w:trHeight w:val="230"/>
        </w:trPr>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rPr>
              <w:t>the Credit Agreement.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a Borrowing of [Term A Loans] [Term B Loans]</w:t>
      </w:r>
      <w:r>
        <w:rPr>
          <w:rFonts w:ascii="Arial" w:cs="Arial" w:eastAsia="Arial" w:hAnsi="Arial"/>
          <w:sz w:val="23"/>
          <w:szCs w:val="23"/>
          <w:color w:val="auto"/>
          <w:vertAlign w:val="superscript"/>
        </w:rPr>
        <w:t>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1.</w:t>
            </w:r>
          </w:p>
        </w:tc>
        <w:tc>
          <w:tcPr>
            <w:tcW w:w="2500" w:type="dxa"/>
            <w:vAlign w:val="bottom"/>
          </w:tcPr>
          <w:p>
            <w:pPr>
              <w:ind w:left="280"/>
              <w:spacing w:after="0"/>
              <w:rPr>
                <w:sz w:val="20"/>
                <w:szCs w:val="20"/>
                <w:color w:val="auto"/>
              </w:rPr>
            </w:pPr>
            <w:r>
              <w:rPr>
                <w:rFonts w:ascii="Arial" w:cs="Arial" w:eastAsia="Arial" w:hAnsi="Arial"/>
                <w:sz w:val="18"/>
                <w:szCs w:val="18"/>
                <w:color w:val="auto"/>
              </w:rPr>
              <w:t>on [the Funding Date]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t>
            </w:r>
          </w:p>
        </w:tc>
        <w:tc>
          <w:tcPr>
            <w:tcW w:w="2560" w:type="dxa"/>
            <w:vAlign w:val="bottom"/>
          </w:tcPr>
          <w:p>
            <w:pPr>
              <w:jc w:val="right"/>
              <w:spacing w:after="0"/>
              <w:rPr>
                <w:sz w:val="20"/>
                <w:szCs w:val="20"/>
                <w:color w:val="auto"/>
              </w:rPr>
            </w:pPr>
            <w:r>
              <w:rPr>
                <w:rFonts w:ascii="Arial" w:cs="Arial" w:eastAsia="Arial" w:hAnsi="Arial"/>
                <w:sz w:val="18"/>
                <w:szCs w:val="18"/>
                <w:color w:val="auto"/>
              </w:rPr>
              <w:t>, 20 ] (which is a Business Day)</w:t>
            </w:r>
          </w:p>
        </w:tc>
      </w:tr>
      <w:tr>
        <w:trPr>
          <w:trHeight w:val="350"/>
        </w:trPr>
        <w:tc>
          <w:tcPr>
            <w:tcW w:w="440" w:type="dxa"/>
            <w:vAlign w:val="bottom"/>
          </w:tcPr>
          <w:p>
            <w:pPr>
              <w:jc w:val="right"/>
              <w:ind w:right="210"/>
              <w:spacing w:after="0"/>
              <w:rPr>
                <w:sz w:val="20"/>
                <w:szCs w:val="20"/>
                <w:color w:val="auto"/>
              </w:rPr>
            </w:pPr>
            <w:r>
              <w:rPr>
                <w:rFonts w:ascii="Arial" w:cs="Arial" w:eastAsia="Arial" w:hAnsi="Arial"/>
                <w:sz w:val="18"/>
                <w:szCs w:val="18"/>
                <w:color w:val="auto"/>
                <w:w w:val="79"/>
              </w:rPr>
              <w:t>2.</w:t>
            </w:r>
          </w:p>
        </w:tc>
        <w:tc>
          <w:tcPr>
            <w:tcW w:w="2500" w:type="dxa"/>
            <w:vAlign w:val="bottom"/>
          </w:tcPr>
          <w:p>
            <w:pPr>
              <w:ind w:left="280"/>
              <w:spacing w:after="0"/>
              <w:rPr>
                <w:sz w:val="20"/>
                <w:szCs w:val="20"/>
                <w:color w:val="auto"/>
              </w:rPr>
            </w:pPr>
            <w:r>
              <w:rPr>
                <w:rFonts w:ascii="Arial" w:cs="Arial" w:eastAsia="Arial" w:hAnsi="Arial"/>
                <w:sz w:val="18"/>
                <w:szCs w:val="18"/>
                <w:color w:val="auto"/>
              </w:rPr>
              <w:t>in the principal amount of $</w:t>
            </w:r>
          </w:p>
        </w:tc>
        <w:tc>
          <w:tcPr>
            <w:tcW w:w="2560" w:type="dxa"/>
            <w:vAlign w:val="bottom"/>
          </w:tcPr>
          <w:p>
            <w:pPr>
              <w:jc w:val="right"/>
              <w:ind w:right="169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557" w:right="239" w:bottom="0" w:gutter="0" w:footer="0" w:header="0"/>
          <w:type w:val="continuous"/>
        </w:sectPr>
      </w:pPr>
    </w:p>
    <w:bookmarkStart w:id="96" w:name="page97"/>
    <w:bookmarkEnd w:id="96"/>
    <w:p>
      <w:pPr>
        <w:ind w:right="820"/>
        <w:spacing w:after="0" w:line="292" w:lineRule="auto"/>
        <w:rPr>
          <w:sz w:val="20"/>
          <w:szCs w:val="20"/>
          <w:color w:val="auto"/>
        </w:rPr>
      </w:pPr>
      <w:r>
        <w:rPr>
          <w:rFonts w:ascii="Arial" w:cs="Arial" w:eastAsia="Arial" w:hAnsi="Arial"/>
          <w:sz w:val="18"/>
          <w:szCs w:val="18"/>
          <w:color w:val="auto"/>
        </w:rPr>
        <w:t xml:space="preserve">[The Borrower hereby represents and warrants that each of the conditions set forth in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w:t>
      </w:r>
      <w:r>
        <w:rPr>
          <w:rFonts w:ascii="Arial" w:cs="Arial" w:eastAsia="Arial" w:hAnsi="Arial"/>
          <w:sz w:val="18"/>
          <w:szCs w:val="18"/>
          <w:color w:val="auto"/>
        </w:rPr>
        <w:t xml:space="preserve">, </w:t>
      </w:r>
      <w:r>
        <w:rPr>
          <w:rFonts w:ascii="Arial" w:cs="Arial" w:eastAsia="Arial" w:hAnsi="Arial"/>
          <w:sz w:val="18"/>
          <w:szCs w:val="18"/>
          <w:u w:val="single" w:color="auto"/>
          <w:color w:val="auto"/>
        </w:rPr>
        <w:t>5.03(a)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5.03(e)</w:t>
      </w:r>
      <w:r>
        <w:rPr>
          <w:rFonts w:ascii="Arial" w:cs="Arial" w:eastAsia="Arial" w:hAnsi="Arial"/>
          <w:sz w:val="18"/>
          <w:szCs w:val="18"/>
          <w:color w:val="auto"/>
        </w:rPr>
        <w:t xml:space="preserve"> of the Credit Agreement has been satisfied on and as of the date of such Borrowing.]</w:t>
      </w:r>
      <w:r>
        <w:rPr>
          <w:rFonts w:ascii="Arial" w:cs="Arial" w:eastAsia="Arial" w:hAnsi="Arial"/>
          <w:sz w:val="23"/>
          <w:szCs w:val="23"/>
          <w:color w:val="auto"/>
          <w:vertAlign w:val="superscript"/>
        </w:rPr>
        <w:t>3</w:t>
      </w:r>
    </w:p>
    <w:p>
      <w:pPr>
        <w:spacing w:after="0" w:line="7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 xml:space="preserve">[The Borrower hereby represents and warrants that each of the conditions set forth in </w:t>
      </w:r>
      <w:r>
        <w:rPr>
          <w:rFonts w:ascii="Arial" w:cs="Arial" w:eastAsia="Arial" w:hAnsi="Arial"/>
          <w:sz w:val="18"/>
          <w:szCs w:val="18"/>
          <w:u w:val="single" w:color="auto"/>
          <w:color w:val="auto"/>
        </w:rPr>
        <w:t>Sections 5.03(a)</w:t>
      </w:r>
      <w:r>
        <w:rPr>
          <w:rFonts w:ascii="Arial" w:cs="Arial" w:eastAsia="Arial" w:hAnsi="Arial"/>
          <w:sz w:val="18"/>
          <w:szCs w:val="18"/>
          <w:color w:val="auto"/>
        </w:rPr>
        <w:t xml:space="preserve">, 5.03(b), </w:t>
      </w:r>
      <w:r>
        <w:rPr>
          <w:rFonts w:ascii="Arial" w:cs="Arial" w:eastAsia="Arial" w:hAnsi="Arial"/>
          <w:sz w:val="18"/>
          <w:szCs w:val="18"/>
          <w:u w:val="single" w:color="auto"/>
          <w:color w:val="auto"/>
        </w:rPr>
        <w:t>5.03(c)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5.03(e)</w:t>
      </w:r>
      <w:r>
        <w:rPr>
          <w:rFonts w:ascii="Arial" w:cs="Arial" w:eastAsia="Arial" w:hAnsi="Arial"/>
          <w:sz w:val="18"/>
          <w:szCs w:val="18"/>
          <w:color w:val="auto"/>
        </w:rPr>
        <w:t xml:space="preserve"> of the Credit Agreement has been satisfied on and as of the date of such Borrowing.]</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-243205</wp:posOffset>
            </wp:positionV>
            <wp:extent cx="3619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1950" cy="8890"/>
                    </a:xfrm>
                    <a:prstGeom prst="rect">
                      <a:avLst/>
                    </a:prstGeom>
                    <a:noFill/>
                  </pic:spPr>
                </pic:pic>
              </a:graphicData>
            </a:graphic>
          </wp:anchor>
        </w:drawing>
      </w: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ind w:left="120" w:hanging="112"/>
        <w:spacing w:after="0"/>
        <w:tabs>
          <w:tab w:leader="none" w:pos="120" w:val="left"/>
        </w:tabs>
        <w:numPr>
          <w:ilvl w:val="0"/>
          <w:numId w:val="183"/>
        </w:numPr>
        <w:rPr>
          <w:rFonts w:ascii="Arial" w:cs="Arial" w:eastAsia="Arial" w:hAnsi="Arial"/>
          <w:sz w:val="23"/>
          <w:szCs w:val="23"/>
          <w:color w:val="auto"/>
          <w:vertAlign w:val="superscript"/>
        </w:rPr>
      </w:pPr>
      <w:r>
        <w:rPr>
          <w:rFonts w:ascii="Arial" w:cs="Arial" w:eastAsia="Arial" w:hAnsi="Arial"/>
          <w:sz w:val="18"/>
          <w:szCs w:val="18"/>
          <w:color w:val="auto"/>
        </w:rPr>
        <w:t>Note: Select appropriate tranche as applicable.</w:t>
      </w:r>
    </w:p>
    <w:p>
      <w:pPr>
        <w:spacing w:after="0" w:line="1" w:lineRule="exact"/>
        <w:rPr>
          <w:rFonts w:ascii="Arial" w:cs="Arial" w:eastAsia="Arial" w:hAnsi="Arial"/>
          <w:sz w:val="23"/>
          <w:szCs w:val="23"/>
          <w:color w:val="auto"/>
          <w:vertAlign w:val="superscript"/>
        </w:rPr>
      </w:pPr>
    </w:p>
    <w:p>
      <w:pPr>
        <w:spacing w:after="0" w:line="196"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Term A Loans only.</w:t>
      </w:r>
    </w:p>
    <w:p>
      <w:pPr>
        <w:ind w:right="40"/>
        <w:spacing w:after="0" w:line="219"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Note: For use with the Borrowing of Term A Loans only. Use bracketed language below with applicable modifications for all Borrowings after the Funding Date.</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4</w:t>
      </w:r>
      <w:r>
        <w:rPr>
          <w:rFonts w:ascii="Arial" w:cs="Arial" w:eastAsia="Arial" w:hAnsi="Arial"/>
          <w:sz w:val="18"/>
          <w:szCs w:val="18"/>
          <w:color w:val="auto"/>
        </w:rPr>
        <w:t xml:space="preserve"> Note: To be included for Term B Loans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TERM A NOTE</w:t>
      </w:r>
    </w:p>
    <w:p>
      <w:pPr>
        <w:spacing w:after="0" w:line="229"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TERM A NOTE IS ISSUED WITH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FOR U.S. FEDERAL INCOME TAX PURPOSES. THE ISSUE PRICE, AMOUNT OF OID, ISSUE DATE AND YIELD TO MATURITY WITH RESPECT TO THIS TERM A NOTE MAY BE OBTAINED BY WRITING TO THE BORROWER AT THE FOLLOWING ADDRESS: 6000 SHORELINE COURT, SUITE 300, SOUTH SAN FRANCISCO, CALIFORNIA 94080, ATTENTION: SHELLY GUYER, CFO, FACSIMILE: 650-243-6301.</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VALUE RECEIVED,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or registered assigns (the “</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Credit Agreement (as hereinafter defined), the principal amount of the Term A Loans from time to time made by the Lender to the Borrower under that certain Credit Agreement dated as of March 25, 2016 (as amended, modified, restated, supplemented or extended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Borrower, the Guarantors, the Lenders from time to time party thereto and Visium Healthcare Partners, LP, as Administrative Agent. Capitalized terms used but not otherwise defined herein have the meanings provided in the Credit Agreement.</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Borrower promises to pay interest on the unpaid principal amount of the Term A Loans made by the Lender from the Funding Date until such principal amount is paid in full, at such interest rates and at such times as provided in the Credit Agreement. All payments of principal and interest (except as and to the extent set forth to the contrary in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of the Credit Agreement with respect to payments of Paid-In-Kind Interest) shall be made to the Lender in Dollars in immediately available funds at the Lending Office of the Lender or as otherwise directed by the Lender. With respect to payment of Paid-In-Kind Interest as contemplated by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of the Credit Agreement, such payments of Paid-In-Kind Interest shall be made as described in such section.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6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This Term A Note is one of the Term A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Term A Note shall become, or may be declared to be, immediately due and payable all as provided in and subject to the Credit Agreement. The Term A Loans made by the Lender shall be evidenced by one or more loan accounts or records maintained by the Lender in the ordinary course of business. The Lender may also attach schedules to this Term A Note and endorse thereon the date, amount and maturity of the Term A Loans made by the Lender and payments with respect thereto.</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Term A Note.</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Term A Note may only be transferred in accordance with the limitations and restrictions set forth in the Credit Agreement. THIS TERM A NOTE SHALL BE GOVERNED BY, AND CONSTRUED IN ACCORDANCE WITH, THE LAW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WITNESS WHEREOF, the Borrower has caused this Term A Note to be duly executed and delivered by its officer thereunto duly authorized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1400"/>
          </w:cols>
          <w:pgMar w:left="240" w:top="341" w:right="259" w:bottom="0" w:gutter="0" w:footer="0" w:header="0"/>
        </w:sectPr>
      </w:pPr>
    </w:p>
    <w:bookmarkStart w:id="97" w:name="page98"/>
    <w:bookmarkEnd w:id="97"/>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TERM B NOTE</w:t>
      </w:r>
    </w:p>
    <w:p>
      <w:pPr>
        <w:spacing w:after="0" w:line="22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TERM B NOTE IS ISSUED WITH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FOR U.S. FEDERAL INCOME TAX PURPOSES. THE ISSUE PRICE, AMOUNT OF OID, ISSUE DATE AND YIELD TO MATURITY WITH RESPECT TO THIS TERM B NOTE MAY BE OBTAINED BY WRITING TO THE BORROWER AT THE FOLLOWING ADDRESS: 6000 SHORELINE COURT, SUITE 300, SOUTH SAN FRANCISCO, CALIFORNIA 94080, ATTENTION: SHELLY GUYER, CFO, FACSIMILE: 650-243-6301.</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VALUE RECEIVED, the undersigned (the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or registered assigns (the “</w:t>
      </w:r>
      <w:r>
        <w:rPr>
          <w:rFonts w:ascii="Arial" w:cs="Arial" w:eastAsia="Arial" w:hAnsi="Arial"/>
          <w:sz w:val="17"/>
          <w:szCs w:val="17"/>
          <w:u w:val="single" w:color="auto"/>
          <w:color w:val="auto"/>
        </w:rPr>
        <w:t>Lender</w:t>
      </w:r>
      <w:r>
        <w:rPr>
          <w:rFonts w:ascii="Arial" w:cs="Arial" w:eastAsia="Arial" w:hAnsi="Arial"/>
          <w:sz w:val="17"/>
          <w:szCs w:val="17"/>
          <w:color w:val="auto"/>
        </w:rPr>
        <w:t>”), in accordance with the provisions of the Credit Agreement (as hereinafter defined), the principal amount of the Term B Loans from time to time made by the Lender to the Borrower under that certain Credit Agreement dated as of March 25, 2016 (as amended, modified, restated, supplemented or extended from time to time, the “</w:t>
      </w:r>
      <w:r>
        <w:rPr>
          <w:rFonts w:ascii="Arial" w:cs="Arial" w:eastAsia="Arial" w:hAnsi="Arial"/>
          <w:sz w:val="17"/>
          <w:szCs w:val="17"/>
          <w:u w:val="single" w:color="auto"/>
          <w:color w:val="auto"/>
        </w:rPr>
        <w:t>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the Borrower, the Guarantors, the Lenders from time to time party thereto and Visium Healthcare Partners, LP, as Administrative Agent. Capitalized terms used but not otherwise defined herein have the meanings provided in the Credit Agreement.</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Borrower promises to pay interest on the unpaid principal amount of each Term B Loan made by the Lender from the date of such Term B Loan until such principal amount is paid in full, at such interest rates and at such times as provided in the Credit Agreement. All payments of principal and interest (except as and to the extent set forth to the contrary in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of the Credit Agreement with respect to payments of Paid-In-Kind Interest) shall be made to the Lender in Dollars in immediately available funds at the Lending Office of the Lender or as otherwise directed by the Lender. With respect to payment of Paid-In-Kind Interest as contemplated by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of the Credit Agreement, such payments of Paid-In-Kind Interest shall be made as described in such section.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6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Term B Note is one of the Term B Notes referred to in the Credit Agreement, is entitled to the benefits thereof and may be prepaid in whole or in part subject to the terms and conditions provided therein. Upon the occurrence and continuation of one or more of the Events of Default specified in the Credit Agreement, all amounts then remaining unpaid on this Term B Note shall become, or may be declared to be, immediately due and payable all as provided in and subject to the Credit Agreement. The Term B Loans made by the Lender shall be evidenced by one or more loan accounts or records maintained by the Lender in the ordinary course of business. The Lender may also attach schedules to this Term B Note and endorse thereon the date, amount and maturity of the Term B Loans made by the Lender and payments with respect thereto.</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Term B Note.</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This Term B Note may only be transferred in accordance with the limitations and restrictions set forth in the Credit Agreement. THIS TERM B NOTE SHALL BE GOVERNED BY, AND CONSTRUED IN ACCORDANCE WITH, THE LAW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WITNESS WHEREOF, the Borrower has caused this Term B Note to be duly executed and delivered by its officer thereunto duly authorized as of the date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JOINDER AGREEMENT</w:t>
      </w:r>
    </w:p>
    <w:p>
      <w:pPr>
        <w:spacing w:after="0" w:line="229" w:lineRule="exact"/>
        <w:rPr>
          <w:sz w:val="20"/>
          <w:szCs w:val="20"/>
          <w:color w:val="auto"/>
        </w:rPr>
      </w:pPr>
    </w:p>
    <w:p>
      <w:pPr>
        <w:ind w:left="660"/>
        <w:spacing w:after="0"/>
        <w:tabs>
          <w:tab w:leader="none" w:pos="5740" w:val="left"/>
          <w:tab w:leader="none" w:pos="7920" w:val="left"/>
          <w:tab w:leader="none" w:pos="8640" w:val="left"/>
        </w:tabs>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20  is by and between</w:t>
      </w:r>
      <w:r>
        <w:rPr>
          <w:sz w:val="20"/>
          <w:szCs w:val="20"/>
          <w:color w:val="auto"/>
        </w:rPr>
        <w:tab/>
      </w:r>
      <w:r>
        <w:rPr>
          <w:rFonts w:ascii="Arial" w:cs="Arial" w:eastAsia="Arial" w:hAnsi="Arial"/>
          <w:sz w:val="18"/>
          <w:szCs w:val="18"/>
          <w:color w:val="auto"/>
        </w:rPr>
        <w:t>, a</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New Subsidiary</w:t>
      </w:r>
      <w:r>
        <w:rPr>
          <w:rFonts w:ascii="Arial" w:cs="Arial" w:eastAsia="Arial" w:hAnsi="Arial"/>
          <w:sz w:val="16"/>
          <w:szCs w:val="16"/>
          <w:color w:val="auto"/>
        </w:rPr>
        <w:t>”), and Visium</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Healthcare Partners, LP, in its capacity as Administrative Agent under that certain Credit Agreement dated as of March 25, 2016 (as amended, modified, restated, supplemented or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Veracyte,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the Lenders from time to time party thereto and Visium Healthcare Partners, LP, as Administrative Agent. Capitalized terms used herein and not otherwise defined herein shall have the meanings assigned to such terms in the Credit Agreement.</w:t>
      </w:r>
    </w:p>
    <w:p>
      <w:pPr>
        <w:sectPr>
          <w:pgSz w:w="11900" w:h="16838" w:orient="portrait"/>
          <w:cols w:equalWidth="0" w:num="1">
            <w:col w:w="11420"/>
          </w:cols>
          <w:pgMar w:left="240" w:top="341" w:right="239" w:bottom="0" w:gutter="0" w:footer="0" w:header="0"/>
        </w:sectPr>
      </w:pPr>
    </w:p>
    <w:bookmarkStart w:id="98" w:name="page99"/>
    <w:bookmarkEnd w:id="98"/>
    <w:p>
      <w:pPr>
        <w:ind w:left="660"/>
        <w:spacing w:after="0"/>
        <w:rPr>
          <w:sz w:val="20"/>
          <w:szCs w:val="20"/>
          <w:color w:val="auto"/>
        </w:rPr>
      </w:pPr>
      <w:r>
        <w:rPr>
          <w:rFonts w:ascii="Arial" w:cs="Arial" w:eastAsia="Arial" w:hAnsi="Arial"/>
          <w:sz w:val="17"/>
          <w:szCs w:val="17"/>
          <w:color w:val="auto"/>
        </w:rPr>
        <w:t xml:space="preserve">The Loan Parties are required by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of the Credit Agreement to cause the New Subsidiary to become a “Guarantor” thereunder.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New Subsidiary hereby agrees as follows with the Administrative Agent, for the benefit of the Secured Parties:</w:t>
      </w:r>
    </w:p>
    <w:p>
      <w:pPr>
        <w:spacing w:after="0" w:line="217" w:lineRule="exact"/>
        <w:rPr>
          <w:sz w:val="20"/>
          <w:szCs w:val="20"/>
          <w:color w:val="auto"/>
        </w:rPr>
      </w:pPr>
    </w:p>
    <w:p>
      <w:pPr>
        <w:ind w:right="60" w:firstLine="656"/>
        <w:spacing w:after="0" w:line="290" w:lineRule="auto"/>
        <w:tabs>
          <w:tab w:leader="none" w:pos="136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The New Subsidiary hereby acknowledges, agrees and confirms that, effective as of the date of this Agreement, by its execution of this Agreement, the New Subsidiary will be deemed to be a party to the Credit Agreement and a “Guarantor” for all purposes of the Credit Agreement, and shall have all of the obligations of a Guarantor thereunder as if it had executed the Credit Agreement. The New Subsidiary hereby ratifies, as of the date hereof, and agrees to be bound by, all of the terms, provisions and conditions applicable to the Guarantors contained in the Credit Agreement. Without limiting the generality of the foregoing terms of this paragraph 1, the New Subsidiary hereby jointly and severally together with the other Guarantors, guarantees to each Lender and the Administrative Agent, as provided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 Credit Agreement, as primary obligor and not as surety, the prompt payment and performance of the Obligations in full when due (whether at stated maturity, as a mandatory prepayment, by acceleration or otherwise) strictly in accordance with the terms thereof.</w:t>
      </w:r>
    </w:p>
    <w:p>
      <w:pPr>
        <w:spacing w:after="0" w:line="172" w:lineRule="exact"/>
        <w:rPr>
          <w:rFonts w:ascii="Arial" w:cs="Arial" w:eastAsia="Arial" w:hAnsi="Arial"/>
          <w:sz w:val="16"/>
          <w:szCs w:val="16"/>
          <w:color w:val="auto"/>
        </w:rPr>
      </w:pPr>
    </w:p>
    <w:p>
      <w:pPr>
        <w:ind w:firstLine="656"/>
        <w:spacing w:after="0" w:line="270" w:lineRule="auto"/>
        <w:tabs>
          <w:tab w:leader="none" w:pos="136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New Subsidiary hereby acknowledges, agrees and confirms that, effective as of the date of this Agreement, by its execution of this Agreement, the New Subsidiary will be deemed to be a party to the Security Agreement and a “Grantor” for all purposes of the Security Agreement, and shall have all the obligations of a Grantor thereunder as if it had executed the Security Agreement. The New Subsidiary hereby ratifies, as of the date hereof, and agrees to be bound by, all of the terms, provisions and conditions contained in the Security Agreement. Without limiting the generality of the foregoing terms of this paragraph 2, the New Subsidiary hereby grants to the Administrative Agent, for the benefit of the Secured Parties, a continuing security interest in, and a right of set off against, any and all right, title and interest of the New Subsidiary in and to the Collateral (as defined in the Security Agreement) of the New Subsidiary to secure the prompt payment and performance in full when due, whether by lapse of time, acceleration, mandatory prepayment or otherwise, of the Secured Obligations (as defined in the Security Agreement).</w:t>
      </w:r>
    </w:p>
    <w:p>
      <w:pPr>
        <w:spacing w:after="0" w:line="179" w:lineRule="exact"/>
        <w:rPr>
          <w:rFonts w:ascii="Arial" w:cs="Arial" w:eastAsia="Arial" w:hAnsi="Arial"/>
          <w:sz w:val="17"/>
          <w:szCs w:val="17"/>
          <w:color w:val="auto"/>
        </w:rPr>
      </w:pPr>
    </w:p>
    <w:p>
      <w:pPr>
        <w:ind w:right="140" w:firstLine="656"/>
        <w:spacing w:after="0" w:line="255" w:lineRule="auto"/>
        <w:tabs>
          <w:tab w:leader="none" w:pos="136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New Subsidiary hereby acknowledges, agrees and confirms that, effective as of the date of this Agreement, by its execution of this Agreement, the New Subsidiary will be deemed to be a party to the Pledge Agreement and a “Pledgor” for all purposes of the Pledge Agreement, and shall have all the obligations of a Pledgor thereunder as if it had executed the Pledge Agreement. The New Subsidiary hereby ratifies, as of the date hereof, and agrees to be bound by, all of the terms, provisions and conditions contained in the Pledge Agreement. Without limiting the generality of the foregoing terms of this paragraph 3, the New Subsidiary hereby grants, pledges and assigns to the Administrative Agent, for the benefit of the Secured Parties, a continuing security interest in, and a right of set off against,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and all right, title and interest of the New Subsidiary in and to the Equity Interests identified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hereto and all other Pledged Collateral (as defined in the Pledge Agreement) of the New Subsidiary to secure the prompt payment and performance in full when due, whether by lapse of time, acceleration, mandatory prepayment or otherwise, of the Secured Obligations (as defined in the Pledge Agreement).</w:t>
      </w:r>
    </w:p>
    <w:p>
      <w:pPr>
        <w:spacing w:after="0" w:line="181" w:lineRule="exact"/>
        <w:rPr>
          <w:sz w:val="20"/>
          <w:szCs w:val="20"/>
          <w:color w:val="auto"/>
        </w:rPr>
      </w:pPr>
    </w:p>
    <w:p>
      <w:pPr>
        <w:ind w:left="1380" w:hanging="724"/>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New Subsidiary hereby represents and warrants to the Administrative Agent and the Lenders that: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New Subsidiary’s exact legal name and state of organization are as set forth on the signature pages hereto.</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The New Subsidiary’s taxpayer identification number and organization number are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660" w:right="40" w:firstLine="645"/>
        <w:spacing w:after="0" w:line="342" w:lineRule="auto"/>
        <w:tabs>
          <w:tab w:leader="none" w:pos="2003"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Other than as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the New Subsidiary has not changed its legal name, changed its state of organization, been party to a merger, consolidation or other change in structure or used any tradename in the five years preceding the date hereof.</w:t>
      </w:r>
    </w:p>
    <w:p>
      <w:pPr>
        <w:spacing w:after="0" w:line="123" w:lineRule="exact"/>
        <w:rPr>
          <w:rFonts w:ascii="Arial" w:cs="Arial" w:eastAsia="Arial" w:hAnsi="Arial"/>
          <w:sz w:val="16"/>
          <w:szCs w:val="16"/>
          <w:color w:val="auto"/>
        </w:rPr>
      </w:pPr>
    </w:p>
    <w:p>
      <w:pPr>
        <w:ind w:left="660" w:right="20" w:firstLine="645"/>
        <w:spacing w:after="0" w:line="268" w:lineRule="auto"/>
        <w:tabs>
          <w:tab w:leader="none" w:pos="2013" w:val="left"/>
        </w:tabs>
        <w:numPr>
          <w:ilvl w:val="1"/>
          <w:numId w:val="185"/>
        </w:numPr>
        <w:rPr>
          <w:rFonts w:ascii="Arial" w:cs="Arial" w:eastAsia="Arial" w:hAnsi="Arial"/>
          <w:sz w:val="17"/>
          <w:szCs w:val="17"/>
          <w:color w:val="auto"/>
        </w:rPr>
      </w:pP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hereto sets forth a complete and accurate list of the following as of the date hereof: (i) all Copyrights and all Trademarks of the New Subsidiary that are registered, or in respect of which an application for registration has been filed or recorded, with the United States Patent and Trademark Office or the United States Copyright Office or with any other Governmental Authority (or comparable organization or office established pursuant to an international treaty or similar international agreement for the filing, recordation or registration of interests in intellectual property), together with relevant identifying information with respect to such Copyrights and Trademarks, (ii) all Patents of the New Subsidiary that are issued, or in respect of which an application has been filed or recorded, with the United States Patent and Trademark Office or with any other Governmental Authority (or comparable organization or office established pursuant to an international treaty or similar international agreement for the filing, recordation or registration of interests in intellectual property), together with relevant identifying information with respect to such Patents, (iii) all Domain Names owned by the New Subsidiary or which the New Subsidiary is licensed, authorized or otherwise granted rights under or to, or owned by a Person on behalf of the New Subsidiary, together with relevant identifying information with respect to such Domain Names, (iv) each Copyright License, each Patent License and each Trademark License of the New Subsidiary and (v) each other right or interest in the IP Rights of the New Subsidiary that is material to the New Subsidiary, its properties or the conduct or operation of its businesses (including the generation of future revenues). As of the date hereof, none of the IP Rights of the New Subsidiary set forth in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hereto is subject to any license grant by the New Subsidiary or similar arrangement, except license grants between the Loan Parties or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hereto.</w:t>
      </w:r>
    </w:p>
    <w:p>
      <w:pPr>
        <w:spacing w:after="0" w:line="183" w:lineRule="exact"/>
        <w:rPr>
          <w:rFonts w:ascii="Arial" w:cs="Arial" w:eastAsia="Arial" w:hAnsi="Arial"/>
          <w:sz w:val="17"/>
          <w:szCs w:val="17"/>
          <w:color w:val="auto"/>
        </w:rPr>
      </w:pPr>
    </w:p>
    <w:p>
      <w:pPr>
        <w:ind w:left="660" w:right="700" w:firstLine="645"/>
        <w:spacing w:after="0" w:line="277" w:lineRule="auto"/>
        <w:tabs>
          <w:tab w:leader="none" w:pos="2003"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hereto includes all Commercial Tort Claims (as defined in the Security Agreement) before any Governmental Authority by or in favor of the New Subsidiary.</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2028"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hereto lists all real property located in the United States that is owned or leased by the New Subsidiary as of the date hereof, together with a designation as to whether such property is owned or leased.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hereto is a complete and accurate list as of the date hereof of each Subsidiary of the New Subsidiary, together with</w:t>
      </w:r>
    </w:p>
    <w:p>
      <w:pPr>
        <w:spacing w:after="0" w:line="46" w:lineRule="exact"/>
        <w:rPr>
          <w:sz w:val="20"/>
          <w:szCs w:val="20"/>
          <w:color w:val="auto"/>
        </w:rPr>
      </w:pPr>
    </w:p>
    <w:p>
      <w:pPr>
        <w:ind w:left="660" w:right="300" w:hanging="4"/>
        <w:spacing w:after="0" w:line="261" w:lineRule="auto"/>
        <w:tabs>
          <w:tab w:leader="none" w:pos="87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jurisdiction of organization, (ii) number of shares of each class of Equity Interests outstanding, (iii) the certificate number(s) of the certificates evidencing such Equity Interests, if certificated, and number and percentage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700"/>
        <w:spacing w:after="0" w:line="342" w:lineRule="auto"/>
        <w:rPr>
          <w:sz w:val="20"/>
          <w:szCs w:val="20"/>
          <w:color w:val="auto"/>
        </w:rPr>
      </w:pPr>
      <w:r>
        <w:rPr>
          <w:rFonts w:ascii="Arial" w:cs="Arial" w:eastAsia="Arial" w:hAnsi="Arial"/>
          <w:sz w:val="16"/>
          <w:szCs w:val="16"/>
          <w:color w:val="auto"/>
        </w:rPr>
        <w:t>outstanding shares of each class owned (directly or indirectly) by the New Subsidiary of such Equity Interests and (iv) number and effect, if exercised, of all outstanding options, warrants, rights of conversion or purchase and all other similar rights with respect thereto.</w:t>
      </w:r>
    </w:p>
    <w:p>
      <w:pPr>
        <w:sectPr>
          <w:pgSz w:w="11900" w:h="16838" w:orient="portrait"/>
          <w:cols w:equalWidth="0" w:num="1">
            <w:col w:w="11420"/>
          </w:cols>
          <w:pgMar w:left="240" w:top="341" w:right="239" w:bottom="0" w:gutter="0" w:footer="0" w:header="0"/>
        </w:sectPr>
      </w:pPr>
    </w:p>
    <w:bookmarkStart w:id="99" w:name="page100"/>
    <w:bookmarkEnd w:id="99"/>
    <w:p>
      <w:pPr>
        <w:ind w:left="660" w:right="120" w:firstLine="645"/>
        <w:spacing w:after="0" w:line="291" w:lineRule="auto"/>
        <w:tabs>
          <w:tab w:leader="none" w:pos="2013"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Schedule 7</w:t>
      </w:r>
      <w:r>
        <w:rPr>
          <w:rFonts w:ascii="Arial" w:cs="Arial" w:eastAsia="Arial" w:hAnsi="Arial"/>
          <w:sz w:val="16"/>
          <w:szCs w:val="16"/>
          <w:color w:val="auto"/>
        </w:rPr>
        <w:t xml:space="preserve"> hereto is a complete and accurate list as of the date hereof of any (i) employment agreements covering the management of the New Subsidiary, (ii) collective bargaining agreements or other labor agreements covering any employees of the New Subsidiary,</w:t>
      </w:r>
    </w:p>
    <w:p>
      <w:pPr>
        <w:ind w:left="660" w:right="200" w:hanging="4"/>
        <w:spacing w:after="0" w:line="281" w:lineRule="auto"/>
        <w:tabs>
          <w:tab w:leader="none" w:pos="97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agreements for managerial, consulting or similar services to which the New Subsidiary is a party or by which it is bound, (iv) agreements regarding the New Subsidiary, its assets or operations or any investment therein to which any of its equityholders is a party or by which it is bound,</w:t>
      </w:r>
    </w:p>
    <w:p>
      <w:pPr>
        <w:spacing w:after="0" w:line="1" w:lineRule="exact"/>
        <w:rPr>
          <w:rFonts w:ascii="Arial" w:cs="Arial" w:eastAsia="Arial" w:hAnsi="Arial"/>
          <w:sz w:val="16"/>
          <w:szCs w:val="16"/>
          <w:color w:val="auto"/>
        </w:rPr>
      </w:pPr>
    </w:p>
    <w:p>
      <w:pPr>
        <w:ind w:left="660" w:right="60" w:hanging="4"/>
        <w:spacing w:after="0" w:line="269" w:lineRule="auto"/>
        <w:tabs>
          <w:tab w:leader="none" w:pos="91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real estate leases, licenses of IP Rights or other lease or license agreements to which the New Subsidiary is a party, either as lessor or lessee, or as licensor or licensee (other than licenses arising from the purchase of “off the shelf’ products), (vi) customer or supply agreements to which the New Subsidiary is a party, in each case with respect to the preceding clauses (i), (iii), (iv), (v) and (vi) requiring payment by the Borrower and/or any Subsidiary of more than $500,000 in any year or (vii) any other agreements or instruments to which the New Subsidiary is a party, and the breach, nonperformance or cancellation of which, or the failure of which to renew, could reasonably be expected to have a Material Adverse Effect. </w:t>
      </w:r>
      <w:r>
        <w:rPr>
          <w:rFonts w:ascii="Arial" w:cs="Arial" w:eastAsia="Arial" w:hAnsi="Arial"/>
          <w:sz w:val="17"/>
          <w:szCs w:val="17"/>
          <w:u w:val="single" w:color="auto"/>
          <w:color w:val="auto"/>
        </w:rPr>
        <w:t>Schedule 7</w:t>
      </w:r>
      <w:r>
        <w:rPr>
          <w:rFonts w:ascii="Arial" w:cs="Arial" w:eastAsia="Arial" w:hAnsi="Arial"/>
          <w:sz w:val="17"/>
          <w:szCs w:val="17"/>
          <w:color w:val="auto"/>
        </w:rPr>
        <w:t xml:space="preserve"> sets forth, with respect to each real estate lease agreement to which the New Subsidiary is a party as of the date hereof, the address of the subject property and the annual rental rate as of the date hereof.</w:t>
      </w:r>
    </w:p>
    <w:p>
      <w:pPr>
        <w:spacing w:after="0" w:line="181" w:lineRule="exact"/>
        <w:rPr>
          <w:sz w:val="20"/>
          <w:szCs w:val="20"/>
          <w:color w:val="auto"/>
        </w:rPr>
      </w:pPr>
    </w:p>
    <w:p>
      <w:pPr>
        <w:ind w:right="200" w:firstLine="656"/>
        <w:spacing w:after="0" w:line="342" w:lineRule="auto"/>
        <w:tabs>
          <w:tab w:leader="none" w:pos="136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The address of the New Subsidiary for purposes of all notices and other communications is the address designated for all Loan Parties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to the Credit Agreement or such other address as the New Subsidiary may from time to time notify the Administrative Agent in writing.</w:t>
      </w:r>
    </w:p>
    <w:p>
      <w:pPr>
        <w:spacing w:after="0" w:line="123" w:lineRule="exact"/>
        <w:rPr>
          <w:rFonts w:ascii="Arial" w:cs="Arial" w:eastAsia="Arial" w:hAnsi="Arial"/>
          <w:sz w:val="16"/>
          <w:szCs w:val="16"/>
          <w:color w:val="auto"/>
        </w:rPr>
      </w:pPr>
    </w:p>
    <w:p>
      <w:pPr>
        <w:ind w:right="120" w:firstLine="656"/>
        <w:spacing w:after="0" w:line="277" w:lineRule="auto"/>
        <w:tabs>
          <w:tab w:leader="none" w:pos="136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New Subsidiary hereby waives acceptance by the Administrative Agent and the Lenders of the guaranty by the New Subsidiary under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Credit Agreement upon the execution of this Agreement by the New Subsidiary.</w:t>
      </w:r>
    </w:p>
    <w:p>
      <w:pPr>
        <w:spacing w:after="0" w:line="170" w:lineRule="exact"/>
        <w:rPr>
          <w:rFonts w:ascii="Arial" w:cs="Arial" w:eastAsia="Arial" w:hAnsi="Arial"/>
          <w:sz w:val="18"/>
          <w:szCs w:val="18"/>
          <w:color w:val="auto"/>
        </w:rPr>
      </w:pPr>
    </w:p>
    <w:p>
      <w:pPr>
        <w:ind w:right="120" w:firstLine="656"/>
        <w:spacing w:after="0" w:line="312" w:lineRule="auto"/>
        <w:tabs>
          <w:tab w:leader="none" w:pos="136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or other electronic imaging means (e.g. “pdf” or “tif”) shall be effective as delivery of a manually executed counterpart of this Agreement.</w:t>
      </w:r>
    </w:p>
    <w:p>
      <w:pPr>
        <w:spacing w:after="0" w:line="146" w:lineRule="exact"/>
        <w:rPr>
          <w:rFonts w:ascii="Arial" w:cs="Arial" w:eastAsia="Arial" w:hAnsi="Arial"/>
          <w:sz w:val="16"/>
          <w:szCs w:val="16"/>
          <w:color w:val="auto"/>
        </w:rPr>
      </w:pPr>
    </w:p>
    <w:p>
      <w:pPr>
        <w:ind w:left="1380" w:hanging="724"/>
        <w:spacing w:after="0"/>
        <w:tabs>
          <w:tab w:leader="none" w:pos="13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 OF THE STATE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NEW YORK.</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WITNESS WHEREOF, the New Subsidiary has caused this Joinder Agreement to be duly executed by its authorized officer, and the Administrative Agent, for the benefit of the Secured Parties, has caused the same to be accepted by its authorized officer, as of the day and year first above written.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SUBSIDIARY]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VISIUM HEALTHCARE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VISIUM HEALTHCARE ADVISORS,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ind w:left="880"/>
              <w:spacing w:after="0"/>
              <w:rPr>
                <w:sz w:val="20"/>
                <w:szCs w:val="20"/>
                <w:color w:val="auto"/>
              </w:rPr>
            </w:pPr>
            <w:r>
              <w:rPr>
                <w:rFonts w:ascii="Arial" w:cs="Arial" w:eastAsia="Arial" w:hAnsi="Arial"/>
                <w:sz w:val="18"/>
                <w:szCs w:val="18"/>
                <w:color w:val="auto"/>
              </w:rPr>
              <w:t>By:</w:t>
            </w:r>
          </w:p>
        </w:tc>
        <w:tc>
          <w:tcPr>
            <w:tcW w:w="4520" w:type="dxa"/>
            <w:vAlign w:val="bottom"/>
            <w:gridSpan w:val="4"/>
          </w:tcPr>
          <w:p>
            <w:pPr>
              <w:ind w:left="520"/>
              <w:spacing w:after="0"/>
              <w:rPr>
                <w:sz w:val="20"/>
                <w:szCs w:val="20"/>
                <w:color w:val="auto"/>
              </w:rPr>
            </w:pPr>
            <w:r>
              <w:rPr>
                <w:rFonts w:ascii="Arial" w:cs="Arial" w:eastAsia="Arial" w:hAnsi="Arial"/>
                <w:sz w:val="18"/>
                <w:szCs w:val="18"/>
                <w:color w:val="auto"/>
              </w:rPr>
              <w:t>JG ASSET II, LLC,</w:t>
            </w:r>
          </w:p>
        </w:tc>
        <w:tc>
          <w:tcPr>
            <w:tcW w:w="56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4520" w:type="dxa"/>
            <w:vAlign w:val="bottom"/>
            <w:gridSpan w:val="4"/>
          </w:tcPr>
          <w:p>
            <w:pPr>
              <w:ind w:left="160"/>
              <w:spacing w:after="0"/>
              <w:rPr>
                <w:sz w:val="20"/>
                <w:szCs w:val="20"/>
                <w:color w:val="auto"/>
              </w:rPr>
            </w:pPr>
            <w:r>
              <w:rPr>
                <w:rFonts w:ascii="Arial" w:cs="Arial" w:eastAsia="Arial" w:hAnsi="Arial"/>
                <w:sz w:val="18"/>
                <w:szCs w:val="18"/>
                <w:color w:val="auto"/>
              </w:rPr>
              <w:t>its General Partner</w:t>
            </w:r>
          </w:p>
        </w:tc>
        <w:tc>
          <w:tcPr>
            <w:tcW w:w="5640" w:type="dxa"/>
            <w:vAlign w:val="bottom"/>
          </w:tcPr>
          <w:p>
            <w:pPr>
              <w:spacing w:after="0"/>
              <w:rPr>
                <w:sz w:val="20"/>
                <w:szCs w:val="20"/>
                <w:color w:val="auto"/>
              </w:rPr>
            </w:pPr>
          </w:p>
        </w:tc>
      </w:tr>
      <w:tr>
        <w:trPr>
          <w:trHeight w:val="648"/>
        </w:trPr>
        <w:tc>
          <w:tcPr>
            <w:tcW w:w="1300" w:type="dxa"/>
            <w:vAlign w:val="bottom"/>
          </w:tcPr>
          <w:p>
            <w:pPr>
              <w:spacing w:after="0"/>
              <w:rPr>
                <w:sz w:val="24"/>
                <w:szCs w:val="24"/>
                <w:color w:val="auto"/>
              </w:rPr>
            </w:pPr>
          </w:p>
        </w:tc>
        <w:tc>
          <w:tcPr>
            <w:tcW w:w="4520" w:type="dxa"/>
            <w:vAlign w:val="bottom"/>
            <w:gridSpan w:val="4"/>
          </w:tcPr>
          <w:p>
            <w:pPr>
              <w:ind w:left="160"/>
              <w:spacing w:after="0"/>
              <w:rPr>
                <w:sz w:val="20"/>
                <w:szCs w:val="20"/>
                <w:color w:val="auto"/>
              </w:rPr>
            </w:pPr>
            <w:r>
              <w:rPr>
                <w:rFonts w:ascii="Arial" w:cs="Arial" w:eastAsia="Arial" w:hAnsi="Arial"/>
                <w:sz w:val="18"/>
                <w:szCs w:val="18"/>
                <w:color w:val="auto"/>
              </w:rPr>
              <w:t>By:</w:t>
            </w:r>
          </w:p>
        </w:tc>
        <w:tc>
          <w:tcPr>
            <w:tcW w:w="564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auto"/>
                <w:w w:val="71"/>
              </w:rPr>
              <w:t>Name:</w:t>
            </w:r>
          </w:p>
        </w:tc>
        <w:tc>
          <w:tcPr>
            <w:tcW w:w="3980" w:type="dxa"/>
            <w:vAlign w:val="bottom"/>
            <w:tcBorders>
              <w:top w:val="single" w:sz="8" w:color="auto"/>
            </w:tcBorders>
            <w:gridSpan w:val="3"/>
          </w:tcPr>
          <w:p>
            <w:pPr>
              <w:spacing w:after="0"/>
              <w:rPr>
                <w:sz w:val="17"/>
                <w:szCs w:val="17"/>
                <w:color w:val="auto"/>
              </w:rPr>
            </w:pPr>
          </w:p>
        </w:tc>
        <w:tc>
          <w:tcPr>
            <w:tcW w:w="564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82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Title:</w:t>
            </w:r>
          </w:p>
        </w:tc>
        <w:tc>
          <w:tcPr>
            <w:tcW w:w="3700" w:type="dxa"/>
            <w:vAlign w:val="bottom"/>
            <w:tcBorders>
              <w:top w:val="single" w:sz="8" w:color="auto"/>
            </w:tcBorders>
          </w:tcPr>
          <w:p>
            <w:pPr>
              <w:spacing w:after="0"/>
              <w:rPr>
                <w:sz w:val="17"/>
                <w:szCs w:val="17"/>
                <w:color w:val="auto"/>
              </w:rPr>
            </w:pPr>
          </w:p>
        </w:tc>
        <w:tc>
          <w:tcPr>
            <w:tcW w:w="5640" w:type="dxa"/>
            <w:vAlign w:val="bottom"/>
          </w:tcPr>
          <w:p>
            <w:pPr>
              <w:spacing w:after="0"/>
              <w:rPr>
                <w:sz w:val="17"/>
                <w:szCs w:val="17"/>
                <w:color w:val="auto"/>
              </w:rPr>
            </w:pPr>
          </w:p>
        </w:tc>
      </w:tr>
      <w:tr>
        <w:trPr>
          <w:trHeight w:val="341"/>
        </w:trPr>
        <w:tc>
          <w:tcPr>
            <w:tcW w:w="1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3700" w:type="dxa"/>
            <w:vAlign w:val="bottom"/>
            <w:tcBorders>
              <w:top w:val="single" w:sz="8" w:color="auto"/>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Taxpayer Identification Number; Organization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Changes in Legal Name or State of Organization;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Mergers, Consolidations and other Changes in Structure; Tradenames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53"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color w:val="auto"/>
        </w:rPr>
        <w:t>Schedule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IP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Commercial Tort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ASSIGNMENT AND ASSUMPTION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[Insert name of Assignor] (the “</w:t>
      </w:r>
      <w:r>
        <w:rPr>
          <w:rFonts w:ascii="Arial" w:cs="Arial" w:eastAsia="Arial" w:hAnsi="Arial"/>
          <w:sz w:val="18"/>
          <w:szCs w:val="18"/>
          <w:u w:val="single" w:color="auto"/>
          <w:color w:val="auto"/>
        </w:rPr>
        <w:t>Assignor</w:t>
      </w:r>
      <w:r>
        <w:rPr>
          <w:rFonts w:ascii="Arial" w:cs="Arial" w:eastAsia="Arial" w:hAnsi="Arial"/>
          <w:sz w:val="18"/>
          <w:szCs w:val="18"/>
          <w:color w:val="auto"/>
        </w:rPr>
        <w:t>”) and [Insert name of Assignee]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have the meanings provided in the Credit Agreement identified below, receipt of a copy of which is hereby acknowledged by the Assignee. The Standard Terms and Conditions set forth in Annex 1 attached hereto (the “</w:t>
      </w:r>
      <w:r>
        <w:rPr>
          <w:rFonts w:ascii="Arial" w:cs="Arial" w:eastAsia="Arial" w:hAnsi="Arial"/>
          <w:sz w:val="18"/>
          <w:szCs w:val="18"/>
          <w:u w:val="single" w:color="auto"/>
          <w:color w:val="auto"/>
        </w:rPr>
        <w:t>Standard Terms and Conditions</w:t>
      </w:r>
      <w:r>
        <w:rPr>
          <w:rFonts w:ascii="Arial" w:cs="Arial" w:eastAsia="Arial" w:hAnsi="Arial"/>
          <w:sz w:val="18"/>
          <w:szCs w:val="18"/>
          <w:color w:val="auto"/>
        </w:rPr>
        <w:t>”) are hereby agreed to and incorporated herein by reference and made a part of this Assignment and Assumption as if set forth herein in full.</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as a Lender under the Credit Agreement and any other documents or instruments delivered pursuant thereto to the extent related to the amount[s] and equal to the percentage interest[s]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80" w:lineRule="exact"/>
        <w:rPr>
          <w:sz w:val="20"/>
          <w:szCs w:val="20"/>
          <w:color w:val="auto"/>
        </w:rPr>
      </w:pPr>
    </w:p>
    <w:p>
      <w:pPr>
        <w:ind w:left="500" w:hanging="492"/>
        <w:spacing w:after="0"/>
        <w:tabs>
          <w:tab w:leader="none" w:pos="5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Assignor:</w:t>
      </w:r>
    </w:p>
    <w:p>
      <w:pPr>
        <w:spacing w:after="0" w:line="238" w:lineRule="exact"/>
        <w:rPr>
          <w:rFonts w:ascii="Arial" w:cs="Arial" w:eastAsia="Arial" w:hAnsi="Arial"/>
          <w:sz w:val="18"/>
          <w:szCs w:val="18"/>
          <w:color w:val="auto"/>
        </w:rPr>
      </w:pPr>
    </w:p>
    <w:p>
      <w:pPr>
        <w:ind w:left="500" w:hanging="492"/>
        <w:spacing w:after="0"/>
        <w:tabs>
          <w:tab w:leader="none" w:pos="5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63976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97625" cy="889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-267335</wp:posOffset>
            </wp:positionV>
            <wp:extent cx="48882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3640" w:type="dxa"/>
            <w:vAlign w:val="bottom"/>
          </w:tcPr>
          <w:p>
            <w:pPr>
              <w:ind w:left="180"/>
              <w:spacing w:after="0"/>
              <w:rPr>
                <w:sz w:val="20"/>
                <w:szCs w:val="20"/>
                <w:color w:val="auto"/>
              </w:rPr>
            </w:pPr>
            <w:r>
              <w:rPr>
                <w:rFonts w:ascii="Arial" w:cs="Arial" w:eastAsia="Arial" w:hAnsi="Arial"/>
                <w:sz w:val="18"/>
                <w:szCs w:val="18"/>
                <w:color w:val="auto"/>
              </w:rPr>
              <w:t>Borrower:</w:t>
            </w:r>
          </w:p>
        </w:tc>
        <w:tc>
          <w:tcPr>
            <w:tcW w:w="6900" w:type="dxa"/>
            <w:vAlign w:val="bottom"/>
          </w:tcPr>
          <w:p>
            <w:pPr>
              <w:ind w:left="1860"/>
              <w:spacing w:after="0"/>
              <w:rPr>
                <w:sz w:val="20"/>
                <w:szCs w:val="20"/>
                <w:color w:val="auto"/>
              </w:rPr>
            </w:pPr>
            <w:r>
              <w:rPr>
                <w:rFonts w:ascii="Arial" w:cs="Arial" w:eastAsia="Arial" w:hAnsi="Arial"/>
                <w:sz w:val="18"/>
                <w:szCs w:val="18"/>
                <w:color w:val="auto"/>
              </w:rPr>
              <w:t>Veracyte, Inc., a Delaware corporation</w:t>
            </w:r>
          </w:p>
        </w:tc>
      </w:tr>
      <w:tr>
        <w:trPr>
          <w:trHeight w:val="432"/>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4.</w:t>
            </w:r>
          </w:p>
        </w:tc>
        <w:tc>
          <w:tcPr>
            <w:tcW w:w="3640" w:type="dxa"/>
            <w:vAlign w:val="bottom"/>
          </w:tcPr>
          <w:p>
            <w:pPr>
              <w:ind w:left="180"/>
              <w:spacing w:after="0"/>
              <w:rPr>
                <w:sz w:val="20"/>
                <w:szCs w:val="20"/>
                <w:color w:val="auto"/>
              </w:rPr>
            </w:pPr>
            <w:r>
              <w:rPr>
                <w:rFonts w:ascii="Arial" w:cs="Arial" w:eastAsia="Arial" w:hAnsi="Arial"/>
                <w:sz w:val="18"/>
                <w:szCs w:val="18"/>
                <w:color w:val="auto"/>
              </w:rPr>
              <w:t>Administrative Agent:</w:t>
            </w:r>
          </w:p>
        </w:tc>
        <w:tc>
          <w:tcPr>
            <w:tcW w:w="6900" w:type="dxa"/>
            <w:vAlign w:val="bottom"/>
          </w:tcPr>
          <w:p>
            <w:pPr>
              <w:ind w:left="1860"/>
              <w:spacing w:after="0"/>
              <w:rPr>
                <w:sz w:val="20"/>
                <w:szCs w:val="20"/>
                <w:color w:val="auto"/>
              </w:rPr>
            </w:pPr>
            <w:r>
              <w:rPr>
                <w:rFonts w:ascii="Arial" w:cs="Arial" w:eastAsia="Arial" w:hAnsi="Arial"/>
                <w:sz w:val="18"/>
                <w:szCs w:val="18"/>
                <w:color w:val="auto"/>
              </w:rPr>
              <w:t>Visium Healthcare Partners, LP</w:t>
            </w:r>
          </w:p>
        </w:tc>
      </w:tr>
      <w:tr>
        <w:trPr>
          <w:trHeight w:val="418"/>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5.</w:t>
            </w:r>
          </w:p>
        </w:tc>
        <w:tc>
          <w:tcPr>
            <w:tcW w:w="3640" w:type="dxa"/>
            <w:vAlign w:val="bottom"/>
          </w:tcPr>
          <w:p>
            <w:pPr>
              <w:ind w:left="180"/>
              <w:spacing w:after="0"/>
              <w:rPr>
                <w:sz w:val="20"/>
                <w:szCs w:val="20"/>
                <w:color w:val="auto"/>
              </w:rPr>
            </w:pPr>
            <w:r>
              <w:rPr>
                <w:rFonts w:ascii="Arial" w:cs="Arial" w:eastAsia="Arial" w:hAnsi="Arial"/>
                <w:sz w:val="18"/>
                <w:szCs w:val="18"/>
                <w:color w:val="auto"/>
              </w:rPr>
              <w:t>Credit Agreement:</w:t>
            </w:r>
          </w:p>
        </w:tc>
        <w:tc>
          <w:tcPr>
            <w:tcW w:w="6900" w:type="dxa"/>
            <w:vAlign w:val="bottom"/>
          </w:tcPr>
          <w:p>
            <w:pPr>
              <w:ind w:left="1860"/>
              <w:spacing w:after="0"/>
              <w:rPr>
                <w:sz w:val="20"/>
                <w:szCs w:val="20"/>
                <w:color w:val="auto"/>
              </w:rPr>
            </w:pPr>
            <w:r>
              <w:rPr>
                <w:rFonts w:ascii="Arial" w:cs="Arial" w:eastAsia="Arial" w:hAnsi="Arial"/>
                <w:sz w:val="18"/>
                <w:szCs w:val="18"/>
                <w:color w:val="auto"/>
                <w:w w:val="89"/>
              </w:rPr>
              <w:t>Credit Agreement dated as of March 25, 2016 (as amended, modified,</w:t>
            </w:r>
          </w:p>
        </w:tc>
      </w:tr>
      <w:tr>
        <w:trPr>
          <w:trHeight w:val="230"/>
        </w:trPr>
        <w:tc>
          <w:tcPr>
            <w:tcW w:w="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900" w:type="dxa"/>
            <w:vAlign w:val="bottom"/>
          </w:tcPr>
          <w:p>
            <w:pPr>
              <w:ind w:left="1860"/>
              <w:spacing w:after="0"/>
              <w:rPr>
                <w:sz w:val="20"/>
                <w:szCs w:val="20"/>
                <w:color w:val="auto"/>
              </w:rPr>
            </w:pPr>
            <w:r>
              <w:rPr>
                <w:rFonts w:ascii="Arial" w:cs="Arial" w:eastAsia="Arial" w:hAnsi="Arial"/>
                <w:sz w:val="18"/>
                <w:szCs w:val="18"/>
                <w:color w:val="auto"/>
                <w:w w:val="96"/>
              </w:rPr>
              <w:t>restated, supplemented or extended from time to time, the “Credit</w:t>
            </w:r>
          </w:p>
        </w:tc>
      </w:tr>
    </w:tbl>
    <w:p>
      <w:pPr>
        <w:ind w:left="5820"/>
        <w:spacing w:after="0"/>
        <w:rPr>
          <w:sz w:val="20"/>
          <w:szCs w:val="20"/>
          <w:color w:val="auto"/>
        </w:rPr>
      </w:pPr>
      <w:r>
        <w:rPr>
          <w:rFonts w:ascii="Arial" w:cs="Arial" w:eastAsia="Arial" w:hAnsi="Arial"/>
          <w:sz w:val="18"/>
          <w:szCs w:val="18"/>
          <w:color w:val="auto"/>
        </w:rPr>
        <w:t>Agreement”) among Veracyte, Inc., a Delaware corporation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“Borrower”), the Guarantors, the Lenders from time to time party thereto and</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84" w:right="279" w:bottom="0" w:gutter="0" w:footer="0" w:header="0"/>
        </w:sectPr>
      </w:pPr>
    </w:p>
    <w:bookmarkStart w:id="101" w:name="page102"/>
    <w:bookmarkEnd w:id="101"/>
    <w:p>
      <w:pPr>
        <w:spacing w:after="0" w:line="22" w:lineRule="exact"/>
        <w:rPr>
          <w:sz w:val="20"/>
          <w:szCs w:val="20"/>
          <w:color w:val="auto"/>
        </w:rPr>
      </w:pPr>
    </w:p>
    <w:p>
      <w:pPr>
        <w:ind w:left="720" w:hanging="712"/>
        <w:spacing w:after="0"/>
        <w:tabs>
          <w:tab w:leader="none" w:pos="7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 Amount of</w:t>
            </w:r>
          </w:p>
        </w:tc>
        <w:tc>
          <w:tcPr>
            <w:tcW w:w="2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 Assigned of</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Facility Assigned</w:t>
            </w:r>
            <w:r>
              <w:rPr>
                <w:rFonts w:ascii="Arial" w:cs="Arial" w:eastAsia="Arial" w:hAnsi="Arial"/>
                <w:sz w:val="17"/>
                <w:szCs w:val="17"/>
                <w:b w:val="1"/>
                <w:bCs w:val="1"/>
                <w:color w:val="auto"/>
                <w:vertAlign w:val="superscript"/>
              </w:rPr>
              <w:t>5</w:t>
            </w:r>
          </w:p>
        </w:tc>
        <w:tc>
          <w:tcPr>
            <w:tcW w:w="2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Commitment/Loans</w:t>
            </w:r>
          </w:p>
        </w:tc>
        <w:tc>
          <w:tcPr>
            <w:tcW w:w="2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Commitment/Loans</w:t>
            </w:r>
          </w:p>
        </w:tc>
        <w:tc>
          <w:tcPr>
            <w:tcW w:w="2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all Lenders</w:t>
            </w:r>
          </w:p>
        </w:tc>
        <w:tc>
          <w:tcPr>
            <w:tcW w:w="2560" w:type="dxa"/>
            <w:vAlign w:val="bottom"/>
            <w:gridSpan w:val="2"/>
          </w:tcPr>
          <w:p>
            <w:pPr>
              <w:jc w:val="center"/>
              <w:ind w:right="280"/>
              <w:spacing w:after="0" w:line="172" w:lineRule="exact"/>
              <w:rPr>
                <w:sz w:val="20"/>
                <w:szCs w:val="20"/>
                <w:color w:val="auto"/>
              </w:rPr>
            </w:pPr>
            <w:r>
              <w:rPr>
                <w:rFonts w:ascii="Arial" w:cs="Arial" w:eastAsia="Arial" w:hAnsi="Arial"/>
                <w:sz w:val="14"/>
                <w:szCs w:val="14"/>
                <w:b w:val="1"/>
                <w:bCs w:val="1"/>
                <w:color w:val="auto"/>
                <w:w w:val="86"/>
              </w:rPr>
              <w:t>Assigned</w:t>
            </w:r>
            <w:r>
              <w:rPr>
                <w:rFonts w:ascii="Arial" w:cs="Arial" w:eastAsia="Arial" w:hAnsi="Arial"/>
                <w:sz w:val="17"/>
                <w:szCs w:val="17"/>
                <w:b w:val="1"/>
                <w:bCs w:val="1"/>
                <w:color w:val="auto"/>
                <w:w w:val="86"/>
                <w:vertAlign w:val="superscript"/>
              </w:rPr>
              <w:t>6</w:t>
            </w:r>
          </w:p>
        </w:tc>
        <w:tc>
          <w:tcPr>
            <w:tcW w:w="228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3"/>
              </w:rPr>
              <w:t>Commitment/Loans</w:t>
            </w:r>
            <w:r>
              <w:rPr>
                <w:rFonts w:ascii="Arial" w:cs="Arial" w:eastAsia="Arial" w:hAnsi="Arial"/>
                <w:sz w:val="17"/>
                <w:szCs w:val="17"/>
                <w:b w:val="1"/>
                <w:bCs w:val="1"/>
                <w:color w:val="auto"/>
                <w:w w:val="93"/>
                <w:vertAlign w:val="superscript"/>
              </w:rPr>
              <w:t>7</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Trade Date:</w:t>
      </w:r>
    </w:p>
    <w:p>
      <w:pPr>
        <w:spacing w:after="0" w:line="238" w:lineRule="exact"/>
        <w:rPr>
          <w:rFonts w:ascii="Arial" w:cs="Arial" w:eastAsia="Arial" w:hAnsi="Arial"/>
          <w:sz w:val="18"/>
          <w:szCs w:val="18"/>
          <w:color w:val="auto"/>
        </w:rPr>
      </w:pPr>
    </w:p>
    <w:p>
      <w:pPr>
        <w:ind w:left="300" w:hanging="292"/>
        <w:spacing w:after="0"/>
        <w:tabs>
          <w:tab w:leader="none" w:pos="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14605</wp:posOffset>
            </wp:positionV>
            <wp:extent cx="26244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-267335</wp:posOffset>
            </wp:positionV>
            <wp:extent cx="26244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8"/>
        <w:spacing w:after="0" w:line="227" w:lineRule="auto"/>
        <w:tabs>
          <w:tab w:leader="none" w:pos="103" w:val="left"/>
        </w:tabs>
        <w:numPr>
          <w:ilvl w:val="0"/>
          <w:numId w:val="194"/>
        </w:numPr>
        <w:rPr>
          <w:rFonts w:ascii="Arial" w:cs="Arial" w:eastAsia="Arial" w:hAnsi="Arial"/>
          <w:sz w:val="23"/>
          <w:szCs w:val="23"/>
          <w:color w:val="auto"/>
          <w:vertAlign w:val="superscript"/>
        </w:rPr>
      </w:pPr>
      <w:r>
        <w:rPr>
          <w:rFonts w:ascii="Arial" w:cs="Arial" w:eastAsia="Arial" w:hAnsi="Arial"/>
          <w:sz w:val="18"/>
          <w:szCs w:val="18"/>
          <w:color w:val="auto"/>
        </w:rPr>
        <w:t>Fill in the appropriate terminology for the types of facilities under the Credit Agreement that are being assigned under this Assignment (e.g. “Term A Loan”, “Term A Commitment”, “Term B Loan”, “Term B Commitment”, etc.).</w:t>
      </w:r>
    </w:p>
    <w:p>
      <w:pPr>
        <w:ind w:right="620"/>
        <w:spacing w:after="0" w:line="233" w:lineRule="auto"/>
        <w:rPr>
          <w:rFonts w:ascii="Arial" w:cs="Arial" w:eastAsia="Arial" w:hAnsi="Arial"/>
          <w:sz w:val="23"/>
          <w:szCs w:val="23"/>
          <w:color w:val="auto"/>
          <w:vertAlign w:val="superscript"/>
        </w:rPr>
      </w:pPr>
      <w:r>
        <w:rPr>
          <w:rFonts w:ascii="Arial" w:cs="Arial" w:eastAsia="Arial" w:hAnsi="Arial"/>
          <w:sz w:val="23"/>
          <w:szCs w:val="23"/>
          <w:color w:val="auto"/>
          <w:vertAlign w:val="superscript"/>
        </w:rPr>
        <w:t>6</w:t>
      </w:r>
      <w:r>
        <w:rPr>
          <w:rFonts w:ascii="Arial" w:cs="Arial" w:eastAsia="Arial" w:hAnsi="Arial"/>
          <w:sz w:val="18"/>
          <w:szCs w:val="18"/>
          <w:color w:val="auto"/>
        </w:rPr>
        <w:t xml:space="preserve"> Amount to be adjusted by the counterparties to take into account any payments or prepayments made between the Trade Date and the Effective Date.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Set forth, to at least 9 decimals, as a percentage of the Commitment/Loans of all Lenders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gridSpan w:val="3"/>
          </w:tcPr>
          <w:p>
            <w:pPr>
              <w:spacing w:after="0"/>
              <w:rPr>
                <w:sz w:val="20"/>
                <w:szCs w:val="20"/>
                <w:color w:val="auto"/>
              </w:rPr>
            </w:pPr>
            <w:r>
              <w:rPr>
                <w:rFonts w:ascii="Arial" w:cs="Arial" w:eastAsia="Arial" w:hAnsi="Arial"/>
                <w:sz w:val="18"/>
                <w:szCs w:val="18"/>
                <w:color w:val="auto"/>
                <w:w w:val="92"/>
              </w:rPr>
              <w:t>The terms set forth in this Assignment and Assumption are hereby agreed to:</w:t>
            </w:r>
          </w:p>
        </w:tc>
        <w:tc>
          <w:tcPr>
            <w:tcW w:w="5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5680" w:type="dxa"/>
            <w:vAlign w:val="bottom"/>
            <w:gridSpan w:val="3"/>
          </w:tcPr>
          <w:p>
            <w:pPr>
              <w:spacing w:after="0"/>
              <w:rPr>
                <w:sz w:val="20"/>
                <w:szCs w:val="20"/>
                <w:color w:val="auto"/>
              </w:rPr>
            </w:pPr>
            <w:r>
              <w:rPr>
                <w:rFonts w:ascii="Arial" w:cs="Arial" w:eastAsia="Arial" w:hAnsi="Arial"/>
                <w:sz w:val="18"/>
                <w:szCs w:val="18"/>
                <w:color w:val="auto"/>
              </w:rPr>
              <w:t>ASSIGNOR:</w:t>
            </w: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[NAME OF ASSIGNOR]</w:t>
            </w:r>
          </w:p>
        </w:tc>
        <w:tc>
          <w:tcPr>
            <w:tcW w:w="40" w:type="dxa"/>
            <w:vAlign w:val="bottom"/>
          </w:tcPr>
          <w:p>
            <w:pPr>
              <w:spacing w:after="0"/>
              <w:rPr>
                <w:sz w:val="24"/>
                <w:szCs w:val="24"/>
                <w:color w:val="auto"/>
              </w:rPr>
            </w:pPr>
          </w:p>
        </w:tc>
      </w:tr>
      <w:tr>
        <w:trPr>
          <w:trHeight w:val="453"/>
        </w:trPr>
        <w:tc>
          <w:tcPr>
            <w:tcW w:w="9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20" w:type="dxa"/>
            <w:vAlign w:val="bottom"/>
          </w:tcPr>
          <w:p>
            <w:pPr>
              <w:ind w:left="140"/>
              <w:spacing w:after="0" w:line="182" w:lineRule="exact"/>
              <w:rPr>
                <w:sz w:val="20"/>
                <w:szCs w:val="20"/>
                <w:color w:val="auto"/>
              </w:rPr>
            </w:pPr>
            <w:r>
              <w:rPr>
                <w:rFonts w:ascii="Arial" w:cs="Arial" w:eastAsia="Arial" w:hAnsi="Arial"/>
                <w:sz w:val="17"/>
                <w:szCs w:val="17"/>
                <w:color w:val="auto"/>
                <w:w w:val="71"/>
              </w:rPr>
              <w:t>Name:</w:t>
            </w:r>
          </w:p>
        </w:tc>
        <w:tc>
          <w:tcPr>
            <w:tcW w:w="5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r>
      <w:tr>
        <w:trPr>
          <w:trHeight w:val="392"/>
        </w:trPr>
        <w:tc>
          <w:tcPr>
            <w:tcW w:w="5680" w:type="dxa"/>
            <w:vAlign w:val="bottom"/>
            <w:gridSpan w:val="3"/>
          </w:tcPr>
          <w:p>
            <w:pPr>
              <w:spacing w:after="0"/>
              <w:rPr>
                <w:sz w:val="20"/>
                <w:szCs w:val="20"/>
                <w:color w:val="auto"/>
              </w:rPr>
            </w:pPr>
            <w:r>
              <w:rPr>
                <w:rFonts w:ascii="Arial" w:cs="Arial" w:eastAsia="Arial" w:hAnsi="Arial"/>
                <w:sz w:val="18"/>
                <w:szCs w:val="18"/>
                <w:color w:val="auto"/>
              </w:rPr>
              <w:t>ASSIGNEE:</w:t>
            </w: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[NAME OF ASSIGNEE]</w:t>
            </w:r>
          </w:p>
        </w:tc>
        <w:tc>
          <w:tcPr>
            <w:tcW w:w="40" w:type="dxa"/>
            <w:vAlign w:val="bottom"/>
          </w:tcPr>
          <w:p>
            <w:pPr>
              <w:spacing w:after="0"/>
              <w:rPr>
                <w:sz w:val="24"/>
                <w:szCs w:val="24"/>
                <w:color w:val="auto"/>
              </w:rPr>
            </w:pPr>
          </w:p>
        </w:tc>
      </w:tr>
      <w:tr>
        <w:trPr>
          <w:trHeight w:val="453"/>
        </w:trPr>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8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20" w:type="dxa"/>
            <w:vAlign w:val="bottom"/>
          </w:tcPr>
          <w:p>
            <w:pPr>
              <w:ind w:left="140"/>
              <w:spacing w:after="0" w:line="182" w:lineRule="exact"/>
              <w:rPr>
                <w:sz w:val="20"/>
                <w:szCs w:val="20"/>
                <w:color w:val="auto"/>
              </w:rPr>
            </w:pPr>
            <w:r>
              <w:rPr>
                <w:rFonts w:ascii="Arial" w:cs="Arial" w:eastAsia="Arial" w:hAnsi="Arial"/>
                <w:sz w:val="17"/>
                <w:szCs w:val="17"/>
                <w:color w:val="auto"/>
                <w:w w:val="71"/>
              </w:rPr>
              <w:t>Name:</w:t>
            </w:r>
          </w:p>
        </w:tc>
        <w:tc>
          <w:tcPr>
            <w:tcW w:w="5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74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r>
      <w:tr>
        <w:trPr>
          <w:trHeight w:val="348"/>
        </w:trPr>
        <w:tc>
          <w:tcPr>
            <w:tcW w:w="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Accepted: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VISIUM HEALTHCARE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VISIUM HEALTHCARE ADVISORS,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ind w:left="880"/>
              <w:spacing w:after="0"/>
              <w:rPr>
                <w:sz w:val="20"/>
                <w:szCs w:val="20"/>
                <w:color w:val="auto"/>
              </w:rPr>
            </w:pPr>
            <w:r>
              <w:rPr>
                <w:rFonts w:ascii="Arial" w:cs="Arial" w:eastAsia="Arial" w:hAnsi="Arial"/>
                <w:sz w:val="18"/>
                <w:szCs w:val="18"/>
                <w:color w:val="auto"/>
              </w:rPr>
              <w:t>By:</w:t>
            </w:r>
          </w:p>
        </w:tc>
        <w:tc>
          <w:tcPr>
            <w:tcW w:w="440" w:type="dxa"/>
            <w:vAlign w:val="bottom"/>
          </w:tcPr>
          <w:p>
            <w:pPr>
              <w:spacing w:after="0"/>
              <w:rPr>
                <w:sz w:val="18"/>
                <w:szCs w:val="18"/>
                <w:color w:val="auto"/>
              </w:rPr>
            </w:pPr>
          </w:p>
        </w:tc>
        <w:tc>
          <w:tcPr>
            <w:tcW w:w="4260" w:type="dxa"/>
            <w:vAlign w:val="bottom"/>
            <w:gridSpan w:val="3"/>
          </w:tcPr>
          <w:p>
            <w:pPr>
              <w:ind w:left="20"/>
              <w:spacing w:after="0"/>
              <w:rPr>
                <w:sz w:val="20"/>
                <w:szCs w:val="20"/>
                <w:color w:val="auto"/>
              </w:rPr>
            </w:pPr>
            <w:r>
              <w:rPr>
                <w:rFonts w:ascii="Arial" w:cs="Arial" w:eastAsia="Arial" w:hAnsi="Arial"/>
                <w:sz w:val="18"/>
                <w:szCs w:val="18"/>
                <w:color w:val="auto"/>
              </w:rPr>
              <w:t>JG ASSET II, LLC,</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4700" w:type="dxa"/>
            <w:vAlign w:val="bottom"/>
            <w:gridSpan w:val="4"/>
          </w:tcPr>
          <w:p>
            <w:pPr>
              <w:ind w:left="10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700" w:type="dxa"/>
            <w:vAlign w:val="bottom"/>
            <w:gridSpan w:val="4"/>
          </w:tcPr>
          <w:p>
            <w:pPr>
              <w:ind w:left="100"/>
              <w:spacing w:after="0" w:line="196"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196"/>
        </w:trPr>
        <w:tc>
          <w:tcPr>
            <w:tcW w:w="1260" w:type="dxa"/>
            <w:vAlign w:val="bottom"/>
            <w:vMerge w:val="restart"/>
          </w:tcPr>
          <w:p>
            <w:pPr>
              <w:spacing w:after="0"/>
              <w:rPr>
                <w:sz w:val="20"/>
                <w:szCs w:val="20"/>
                <w:color w:val="auto"/>
              </w:rPr>
            </w:pPr>
            <w:r>
              <w:rPr>
                <w:rFonts w:ascii="Arial" w:cs="Arial" w:eastAsia="Arial" w:hAnsi="Arial"/>
                <w:sz w:val="18"/>
                <w:szCs w:val="18"/>
                <w:color w:val="auto"/>
                <w:w w:val="94"/>
              </w:rPr>
              <w:t>[Consented to:]</w:t>
            </w:r>
            <w:r>
              <w:rPr>
                <w:rFonts w:ascii="Arial" w:cs="Arial" w:eastAsia="Arial" w:hAnsi="Arial"/>
                <w:sz w:val="23"/>
                <w:szCs w:val="23"/>
                <w:color w:val="auto"/>
                <w:w w:val="94"/>
                <w:vertAlign w:val="superscript"/>
              </w:rPr>
              <w:t>9</w:t>
            </w:r>
          </w:p>
        </w:tc>
        <w:tc>
          <w:tcPr>
            <w:tcW w:w="76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Title:</w:t>
            </w:r>
          </w:p>
        </w:tc>
        <w:tc>
          <w:tcPr>
            <w:tcW w:w="3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08"/>
        </w:trPr>
        <w:tc>
          <w:tcPr>
            <w:tcW w:w="12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78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32588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-130810</wp:posOffset>
            </wp:positionV>
            <wp:extent cx="319849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826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0" w:hanging="72"/>
        <w:spacing w:after="0"/>
        <w:tabs>
          <w:tab w:leader="none" w:pos="80" w:val="left"/>
        </w:tabs>
        <w:numPr>
          <w:ilvl w:val="0"/>
          <w:numId w:val="195"/>
        </w:numPr>
        <w:rPr>
          <w:rFonts w:ascii="Arial" w:cs="Arial" w:eastAsia="Arial" w:hAnsi="Arial"/>
          <w:sz w:val="19"/>
          <w:szCs w:val="19"/>
          <w:color w:val="auto"/>
          <w:vertAlign w:val="superscript"/>
        </w:rPr>
      </w:pPr>
      <w:r>
        <w:rPr>
          <w:rFonts w:ascii="Arial" w:cs="Arial" w:eastAsia="Arial" w:hAnsi="Arial"/>
          <w:sz w:val="15"/>
          <w:szCs w:val="15"/>
          <w:color w:val="auto"/>
        </w:rPr>
        <w:t>To be added only if the consent of the Administrative Agent is required by the terms of the Credit Agreement.</w:t>
      </w:r>
    </w:p>
    <w:p>
      <w:pPr>
        <w:spacing w:after="0" w:line="7"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23"/>
          <w:szCs w:val="23"/>
          <w:color w:val="auto"/>
          <w:vertAlign w:val="superscript"/>
        </w:rPr>
        <w:t>9</w:t>
      </w:r>
      <w:r>
        <w:rPr>
          <w:rFonts w:ascii="Arial" w:cs="Arial" w:eastAsia="Arial" w:hAnsi="Arial"/>
          <w:sz w:val="18"/>
          <w:szCs w:val="18"/>
          <w:color w:val="auto"/>
        </w:rPr>
        <w:t xml:space="preserve"> To be added only if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Annex 1 to Assignment and Assumption</w:t>
      </w:r>
    </w:p>
    <w:p>
      <w:pPr>
        <w:sectPr>
          <w:pgSz w:w="11900" w:h="16861" w:orient="portrait"/>
          <w:cols w:equalWidth="0" w:num="1">
            <w:col w:w="11460"/>
          </w:cols>
          <w:pgMar w:left="240" w:top="584" w:right="199" w:bottom="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color w:val="auto"/>
        </w:rPr>
        <w:t>STANDARD TERMS AND CONDITIONS</w:t>
      </w:r>
    </w:p>
    <w:p>
      <w:pPr>
        <w:spacing w:after="0" w:line="225" w:lineRule="exact"/>
        <w:rPr>
          <w:sz w:val="20"/>
          <w:szCs w:val="20"/>
          <w:color w:val="auto"/>
        </w:rPr>
      </w:pPr>
    </w:p>
    <w:p>
      <w:pPr>
        <w:ind w:left="240" w:hanging="232"/>
        <w:spacing w:after="0"/>
        <w:tabs>
          <w:tab w:leader="none" w:pos="24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9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the requirements to be an assignee under </w:t>
      </w:r>
      <w:r>
        <w:rPr>
          <w:rFonts w:ascii="Arial" w:cs="Arial" w:eastAsia="Arial" w:hAnsi="Arial"/>
          <w:sz w:val="16"/>
          <w:szCs w:val="16"/>
          <w:u w:val="single" w:color="auto"/>
          <w:color w:val="auto"/>
        </w:rPr>
        <w:t>Sections 11.06(b)(iii)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11.06(b)(iii)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w:t>
      </w:r>
    </w:p>
    <w:p>
      <w:pPr>
        <w:spacing w:after="0" w:line="5" w:lineRule="exact"/>
        <w:rPr>
          <w:sz w:val="20"/>
          <w:szCs w:val="20"/>
          <w:color w:val="auto"/>
        </w:rPr>
      </w:pPr>
    </w:p>
    <w:p>
      <w:pPr>
        <w:ind w:firstLine="8"/>
        <w:spacing w:after="0" w:line="253" w:lineRule="auto"/>
        <w:tabs>
          <w:tab w:leader="none" w:pos="35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it is a Foreign Lender, attached hereto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1" w:lineRule="exact"/>
        <w:rPr>
          <w:sz w:val="20"/>
          <w:szCs w:val="20"/>
          <w:color w:val="auto"/>
        </w:rPr>
      </w:pPr>
    </w:p>
    <w:p>
      <w:pPr>
        <w:jc w:val="both"/>
        <w:ind w:right="100" w:firstLine="8"/>
        <w:spacing w:after="0" w:line="279" w:lineRule="auto"/>
        <w:tabs>
          <w:tab w:leader="none" w:pos="225"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Borrower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Notwithstanding the foregoing, the Assignor shall not receive any accrued, but not yet capitalized Paid-In-Kind Interest existing as of the Effective Date and such interest shall be capitalized on the next Interest Payment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ind w:right="20" w:firstLine="8"/>
        <w:spacing w:after="0" w:line="255" w:lineRule="auto"/>
        <w:tabs>
          <w:tab w:leader="none" w:pos="225"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a single contract. Delivery of an executed counterpart of a signature page of this Assignment and Assumption by facsimile or other electronic imaging means (e.g. “pdf” or “tif”)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-1216025</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E</w:t>
            </w:r>
          </w:p>
        </w:tc>
        <w:tc>
          <w:tcPr>
            <w:tcW w:w="4980" w:type="dxa"/>
            <w:vAlign w:val="bottom"/>
            <w:gridSpan w:val="3"/>
          </w:tcPr>
          <w:p>
            <w:pPr>
              <w:spacing w:after="0"/>
              <w:rPr>
                <w:sz w:val="18"/>
                <w:szCs w:val="18"/>
                <w:color w:val="auto"/>
              </w:rPr>
            </w:pPr>
          </w:p>
        </w:tc>
      </w:tr>
      <w:tr>
        <w:trPr>
          <w:trHeight w:val="453"/>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700" w:type="dxa"/>
            <w:vAlign w:val="bottom"/>
            <w:gridSpan w:val="7"/>
          </w:tcPr>
          <w:p>
            <w:pPr>
              <w:jc w:val="center"/>
              <w:ind w:right="1200"/>
              <w:spacing w:after="0"/>
              <w:rPr>
                <w:sz w:val="20"/>
                <w:szCs w:val="20"/>
                <w:color w:val="auto"/>
              </w:rPr>
            </w:pPr>
            <w:r>
              <w:rPr>
                <w:rFonts w:ascii="Arial" w:cs="Arial" w:eastAsia="Arial" w:hAnsi="Arial"/>
                <w:sz w:val="18"/>
                <w:szCs w:val="18"/>
                <w:b w:val="1"/>
                <w:bCs w:val="1"/>
                <w:color w:val="auto"/>
              </w:rPr>
              <w:t>FORM OF COMPLIANCE CERTIFICATE</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 20</w:t>
            </w:r>
          </w:p>
        </w:tc>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To:</w:t>
            </w:r>
          </w:p>
        </w:tc>
        <w:tc>
          <w:tcPr>
            <w:tcW w:w="10640" w:type="dxa"/>
            <w:vAlign w:val="bottom"/>
            <w:gridSpan w:val="9"/>
          </w:tcPr>
          <w:p>
            <w:pPr>
              <w:ind w:left="120"/>
              <w:spacing w:after="0"/>
              <w:rPr>
                <w:sz w:val="20"/>
                <w:szCs w:val="20"/>
                <w:color w:val="auto"/>
              </w:rPr>
            </w:pPr>
            <w:r>
              <w:rPr>
                <w:rFonts w:ascii="Arial" w:cs="Arial" w:eastAsia="Arial" w:hAnsi="Arial"/>
                <w:sz w:val="18"/>
                <w:szCs w:val="18"/>
                <w:color w:val="auto"/>
              </w:rPr>
              <w:t>Visium Healthcare Partners, LP, as Administrative Agent</w:t>
            </w:r>
          </w:p>
        </w:tc>
      </w:tr>
      <w:tr>
        <w:trPr>
          <w:trHeight w:val="392"/>
        </w:trPr>
        <w:tc>
          <w:tcPr>
            <w:tcW w:w="520" w:type="dxa"/>
            <w:vAlign w:val="bottom"/>
          </w:tcPr>
          <w:p>
            <w:pPr>
              <w:spacing w:after="0"/>
              <w:rPr>
                <w:sz w:val="20"/>
                <w:szCs w:val="20"/>
                <w:color w:val="auto"/>
              </w:rPr>
            </w:pPr>
            <w:r>
              <w:rPr>
                <w:rFonts w:ascii="Arial" w:cs="Arial" w:eastAsia="Arial" w:hAnsi="Arial"/>
                <w:sz w:val="18"/>
                <w:szCs w:val="18"/>
                <w:color w:val="auto"/>
              </w:rPr>
              <w:t>Re:</w:t>
            </w:r>
          </w:p>
        </w:tc>
        <w:tc>
          <w:tcPr>
            <w:tcW w:w="10640" w:type="dxa"/>
            <w:vAlign w:val="bottom"/>
            <w:gridSpan w:val="9"/>
          </w:tcPr>
          <w:p>
            <w:pPr>
              <w:ind w:left="120"/>
              <w:spacing w:after="0"/>
              <w:rPr>
                <w:sz w:val="20"/>
                <w:szCs w:val="20"/>
                <w:color w:val="auto"/>
              </w:rPr>
            </w:pPr>
            <w:r>
              <w:rPr>
                <w:rFonts w:ascii="Arial" w:cs="Arial" w:eastAsia="Arial" w:hAnsi="Arial"/>
                <w:sz w:val="18"/>
                <w:szCs w:val="18"/>
                <w:color w:val="auto"/>
                <w:w w:val="96"/>
              </w:rPr>
              <w:t>Credit Agreement dated as of March 25, 2016 (as amended, modified, restated, supplemented or extended from time to time, the “Credit</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500" w:type="dxa"/>
            <w:vAlign w:val="bottom"/>
            <w:gridSpan w:val="8"/>
          </w:tcPr>
          <w:p>
            <w:pPr>
              <w:spacing w:after="0" w:line="196" w:lineRule="exact"/>
              <w:rPr>
                <w:sz w:val="20"/>
                <w:szCs w:val="20"/>
                <w:color w:val="auto"/>
              </w:rPr>
            </w:pPr>
            <w:r>
              <w:rPr>
                <w:rFonts w:ascii="Arial" w:cs="Arial" w:eastAsia="Arial" w:hAnsi="Arial"/>
                <w:sz w:val="18"/>
                <w:szCs w:val="18"/>
                <w:color w:val="auto"/>
                <w:w w:val="93"/>
              </w:rPr>
              <w:t>Agreement”) among Veracyte, Inc., a Delaware corporation (the “Borrower”), the Guarantors, the Lenders from time to time party thereto and</w:t>
            </w: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r>
      <w:tr>
        <w:trPr>
          <w:trHeight w:val="222"/>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w w:val="90"/>
              </w:rPr>
              <w:t>Visium Healthcare Partners, LP, as Administrative Agent. Capitalized terms used but not otherwise defined herein have the meanings provided in</w:t>
            </w:r>
          </w:p>
        </w:tc>
      </w:tr>
      <w:tr>
        <w:trPr>
          <w:trHeight w:val="230"/>
        </w:trPr>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500" w:type="dxa"/>
            <w:vAlign w:val="bottom"/>
            <w:gridSpan w:val="8"/>
          </w:tcPr>
          <w:p>
            <w:pPr>
              <w:spacing w:after="0"/>
              <w:rPr>
                <w:sz w:val="20"/>
                <w:szCs w:val="20"/>
                <w:color w:val="auto"/>
              </w:rPr>
            </w:pPr>
            <w:r>
              <w:rPr>
                <w:rFonts w:ascii="Arial" w:cs="Arial" w:eastAsia="Arial" w:hAnsi="Arial"/>
                <w:sz w:val="18"/>
                <w:szCs w:val="18"/>
                <w:color w:val="auto"/>
              </w:rPr>
              <w:t>the Credit Agreement.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undersigned Responsible Officer hereby certifies as of the date hereof that [he/she] is the [Chief Executive Officer, Chief Financial Officer, Treasurer or Controller] of the Borrower, and that, in [his/her] capacity as such, [he/she] is authorized to execute and deliver this Compliance Certificate to the Administrative Agent on the behalf of the Borrower, and that: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[Use following paragraph 1 for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[1.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year-end audited financial statements of the Borrower and its Subsidiaries, together with the report and opinion of an independent certified public accountant]/[Attached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is the Annual Report for the Borrower on Form 10-K]/[Rather than being 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Borrower has delivered the [year-end audited financial statements and the report and opinion of an independent certified public accountant]/[Annual Report for the Borrower on Form 10-K] electronically,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of the Credit Agreement,] in satisfaction of its requirements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of the Credit Agreement for the fiscal year of the Borrower ended as of the above date.]</w:t>
      </w:r>
    </w:p>
    <w:p>
      <w:pPr>
        <w:sectPr>
          <w:pgSz w:w="11900" w:h="16838" w:orient="portrait"/>
          <w:cols w:equalWidth="0" w:num="1">
            <w:col w:w="11400"/>
          </w:cols>
          <w:pgMar w:left="240" w:top="341" w:right="259" w:bottom="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 xml:space="preserve">[Use following paragraph 1 for financial statements delivered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 xml:space="preserve">[1.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are the unaudited financial statements of the Borrower and its Subsidiaries]/[Attached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the Quarterly Report for the Borrower on Form 10-Q]/[ Rather than being attached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Borrower has delivered the [unaudited financial statements of the Borrower and its Subsidiaries]/[Quarterly Report for the Borrower on Form 10-Q] electronically, pursuant to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of the Credit Agreement,] in satisfaction of its requirements under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of the Credit Agreement for the fiscal quarter of the Borrower ended as of the above date. Such [financial statements]/[Quarterly Report on Form 10-Q] fairly present[s] in all material respects the financial condition, results of operations, Consolidated Revenues, shareholders’ equity and cash flows of the Borrower and its Subsidiaries in accordance with GAAP as at such date and for such period, subject only to normal year end audit adjustments and the absence of footnotes.]</w:t>
      </w:r>
    </w:p>
    <w:p>
      <w:pPr>
        <w:spacing w:after="0" w:line="178" w:lineRule="exact"/>
        <w:rPr>
          <w:sz w:val="20"/>
          <w:szCs w:val="20"/>
          <w:color w:val="auto"/>
        </w:rPr>
      </w:pPr>
    </w:p>
    <w:p>
      <w:pPr>
        <w:ind w:right="20" w:firstLine="8"/>
        <w:spacing w:after="0" w:line="342" w:lineRule="auto"/>
        <w:tabs>
          <w:tab w:leader="none" w:pos="7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undersigned has reviewed and is familiar with the terms of the Credit Agreement and has made, or has caused to be made, a reasonably detailed review of the transactions and condition (financial or otherwise) of the Loan Parties during the accounting period covered by the [attached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statements]/[Quarterly Report on Form 10-Q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]/[Annual Report on Form 10-K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w:t>
      </w:r>
    </w:p>
    <w:p>
      <w:pPr>
        <w:spacing w:after="0" w:line="225" w:lineRule="exact"/>
        <w:rPr>
          <w:sz w:val="20"/>
          <w:szCs w:val="20"/>
          <w:color w:val="auto"/>
        </w:rPr>
      </w:pPr>
    </w:p>
    <w:p>
      <w:pPr>
        <w:ind w:right="360" w:firstLine="8"/>
        <w:spacing w:after="0" w:line="259" w:lineRule="auto"/>
        <w:tabs>
          <w:tab w:leader="none" w:pos="7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A review of the activities of the Loan Parties during the accounting period covered by the [attached financial statements]/[Quarterly Report on Form 10-Q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]/[Annual Report on Form 10-K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has been made under the supervision of the undersigned with a view to determining whether during such fiscal period the Loan Parties performed and observed all of their respective obligations under the Loan Documents, 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[select one:]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knowledge of the undersigned during such fiscal period, the Loan Parties performed and observed each covenant and condition of the Loan Documents applicable to them, and no Default has occurred and is continuing.]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covenants or conditions have not been performed or observed and the following is a list of each such Default and its nature and status:]</w:t>
      </w:r>
    </w:p>
    <w:p>
      <w:pPr>
        <w:spacing w:after="0" w:line="237" w:lineRule="exact"/>
        <w:rPr>
          <w:sz w:val="20"/>
          <w:szCs w:val="20"/>
          <w:color w:val="auto"/>
        </w:rPr>
      </w:pPr>
    </w:p>
    <w:p>
      <w:pPr>
        <w:ind w:right="560" w:firstLine="8"/>
        <w:spacing w:after="0" w:line="277" w:lineRule="auto"/>
        <w:tabs>
          <w:tab w:leader="none" w:pos="7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The financial covenant analyses and calculation of Consolidated Revenues and Liquidity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attached hereto are true and accurate on and as of the date of this Compliance Certificate.</w:t>
      </w:r>
    </w:p>
    <w:p>
      <w:pPr>
        <w:spacing w:after="0" w:line="170" w:lineRule="exact"/>
        <w:rPr>
          <w:rFonts w:ascii="Arial" w:cs="Arial" w:eastAsia="Arial" w:hAnsi="Arial"/>
          <w:sz w:val="18"/>
          <w:szCs w:val="18"/>
          <w:color w:val="auto"/>
        </w:rPr>
      </w:pPr>
    </w:p>
    <w:p>
      <w:pPr>
        <w:ind w:right="260" w:firstLine="8"/>
        <w:spacing w:after="0" w:line="264" w:lineRule="auto"/>
        <w:tabs>
          <w:tab w:leader="none" w:pos="7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is a supplement setting forth information regarding the amount of all Dispositions, Involuntary Dispositions, Debt Issuances and Acquisitions that occurred during the period covered by the [attached financial statements]/[Quarterly Report on Form 10-Q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 xml:space="preserve">]/[Annual Report on Form 10-K referenced in </w:t>
      </w:r>
      <w:r>
        <w:rPr>
          <w:rFonts w:ascii="Arial" w:cs="Arial" w:eastAsia="Arial" w:hAnsi="Arial"/>
          <w:sz w:val="18"/>
          <w:szCs w:val="18"/>
          <w:u w:val="single" w:color="auto"/>
          <w:color w:val="auto"/>
        </w:rPr>
        <w:t>Paragraph 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0" w:firstLine="8"/>
        <w:spacing w:after="0" w:line="286" w:lineRule="auto"/>
        <w:tabs>
          <w:tab w:leader="none" w:pos="7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is (i) a list of (A) all applications by any Loan Party, if any, for Copyrights, Patents or Trademarks made since [the Effective Date] [the date of the prior Compliance Certificate], (B) all issuances of registrations or letters on existing applications by any Loan Party for Copyrights, Patents and Trademarks received since [the Effective Date] [the date of the prior Compliance Certificate], (C) all Trademark Licenses, Copyright Licenses and Patent Licenses entered into by any Loan Party since [the Effective Date] [the date of the prior Compliance Certificate] and (D) such supplements to </w:t>
      </w:r>
      <w:r>
        <w:rPr>
          <w:rFonts w:ascii="Arial" w:cs="Arial" w:eastAsia="Arial" w:hAnsi="Arial"/>
          <w:sz w:val="16"/>
          <w:szCs w:val="16"/>
          <w:u w:val="single" w:color="auto"/>
          <w:color w:val="auto"/>
        </w:rPr>
        <w:t>Schedule 6.17</w:t>
      </w:r>
      <w:r>
        <w:rPr>
          <w:rFonts w:ascii="Arial" w:cs="Arial" w:eastAsia="Arial" w:hAnsi="Arial"/>
          <w:sz w:val="16"/>
          <w:szCs w:val="16"/>
          <w:color w:val="auto"/>
        </w:rPr>
        <w:t xml:space="preserve"> of the Credit Agreement as are necessary to cause such schedule to be true and complete as of the date of this Compliance Certificate, (ii) the insurance binder or other evidence of insurance for any insurance coverage of any Loan Party or any Subsidiary that was renewed, replaced or modified during the period covered by the [attached financial statements]/[Quarterly Report on Form 10-Q referenced in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]/[Annual Report on Form 10-K referenced in </w:t>
      </w:r>
      <w:r>
        <w:rPr>
          <w:rFonts w:ascii="Arial" w:cs="Arial" w:eastAsia="Arial" w:hAnsi="Arial"/>
          <w:sz w:val="16"/>
          <w:szCs w:val="16"/>
          <w:u w:val="single" w:color="auto"/>
          <w:color w:val="auto"/>
        </w:rPr>
        <w:t>Paragraph 1</w:t>
      </w:r>
      <w:r>
        <w:rPr>
          <w:rFonts w:ascii="Arial" w:cs="Arial" w:eastAsia="Arial" w:hAnsi="Arial"/>
          <w:sz w:val="16"/>
          <w:szCs w:val="16"/>
          <w:color w:val="auto"/>
        </w:rPr>
        <w:t>], (iii) a copy of management’s discussion &amp; analysis (“</w:t>
      </w:r>
      <w:r>
        <w:rPr>
          <w:rFonts w:ascii="Arial" w:cs="Arial" w:eastAsia="Arial" w:hAnsi="Arial"/>
          <w:sz w:val="16"/>
          <w:szCs w:val="16"/>
          <w:u w:val="single" w:color="auto"/>
          <w:color w:val="auto"/>
        </w:rPr>
        <w:t>MD&amp;A</w:t>
      </w:r>
      <w:r>
        <w:rPr>
          <w:rFonts w:ascii="Arial" w:cs="Arial" w:eastAsia="Arial" w:hAnsi="Arial"/>
          <w:sz w:val="16"/>
          <w:szCs w:val="16"/>
          <w:color w:val="auto"/>
        </w:rPr>
        <w:t xml:space="preserve">”) with respect to the financial statements or report referenced in </w:t>
      </w:r>
      <w:r>
        <w:rPr>
          <w:rFonts w:ascii="Arial" w:cs="Arial" w:eastAsia="Arial" w:hAnsi="Arial"/>
          <w:sz w:val="16"/>
          <w:szCs w:val="16"/>
          <w:u w:val="single" w:color="auto"/>
          <w:color w:val="auto"/>
        </w:rPr>
        <w:t>Paragraph 1</w:t>
      </w:r>
      <w:r>
        <w:rPr>
          <w:rFonts w:ascii="Arial" w:cs="Arial" w:eastAsia="Arial" w:hAnsi="Arial"/>
          <w:sz w:val="16"/>
          <w:szCs w:val="16"/>
          <w:color w:val="auto"/>
        </w:rPr>
        <w:t xml:space="preserve"> (unless the MD&amp;A has been delivered electronically pursuant to Section 7.02 of the Credit Agreement), (iv) a list of all litigations, arbitrations or governmental investigations or proceedings which were instituted since [the Effective Date] [the date of the prior Compliance Certificate] or which, to the knowledge of the Borrower, are threatened against any Loan Party or any Subsidiary which, in any case, could reasonably be expected to result in losses and/or expenses (other than, for the avoidance of doubt, legal and court fees, costs and expenses) in excess of the Threshold Amount, together with a description setting forth the details thereof and stating what action the applicable Loan Party or Subsidiary has taken and proposes to take with respect thereto and (v) a list of any and all material changes in accounting policies or financial reporting practices by the Borrower or any Subsidiary since [the Effective Date] [the date of the prior Compliance Certificate], together with a description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forth the details thereof and stating what action the applicable Loan Party or Subsidiary has taken and proposes to take with respect thereto.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r>
              <w:rPr>
                <w:rFonts w:ascii="Arial" w:cs="Arial" w:eastAsia="Arial" w:hAnsi="Arial"/>
                <w:sz w:val="18"/>
                <w:szCs w:val="18"/>
                <w:color w:val="auto"/>
                <w:w w:val="94"/>
              </w:rPr>
              <w:t>IN WITNESS WHEREOF, the undersigned has executed this Compliance Certificate as of</w:t>
            </w:r>
          </w:p>
        </w:tc>
        <w:tc>
          <w:tcPr>
            <w:tcW w:w="66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2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18"/>
          <w:szCs w:val="18"/>
          <w:u w:val="single" w:color="auto"/>
          <w:color w:val="auto"/>
        </w:rPr>
        <w:t>Schedule 1</w:t>
      </w:r>
    </w:p>
    <w:p>
      <w:pPr>
        <w:spacing w:after="0" w:line="225"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u w:val="single" w:color="auto"/>
          <w:color w:val="auto"/>
        </w:rPr>
        <w:t>[[Audited][Unaudited] Financial Statements of the Borrower and its Subsidiaries][Annual Report for the Borrower on Form 10-K][Quarterly Report for the Borrower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Schedule 2</w:t>
      </w:r>
    </w:p>
    <w:p>
      <w:pPr>
        <w:spacing w:after="0" w:line="225" w:lineRule="exact"/>
        <w:rPr>
          <w:sz w:val="20"/>
          <w:szCs w:val="20"/>
          <w:color w:val="auto"/>
        </w:rPr>
      </w:pPr>
    </w:p>
    <w:p>
      <w:pPr>
        <w:ind w:left="780" w:hanging="448"/>
        <w:spacing w:after="0"/>
        <w:tabs>
          <w:tab w:leader="none" w:pos="780" w:val="left"/>
        </w:tabs>
        <w:numPr>
          <w:ilvl w:val="0"/>
          <w:numId w:val="202"/>
        </w:numPr>
        <w:rPr>
          <w:rFonts w:ascii="Arial" w:cs="Arial" w:eastAsia="Arial" w:hAnsi="Arial"/>
          <w:sz w:val="18"/>
          <w:szCs w:val="18"/>
          <w:u w:val="single" w:color="auto"/>
          <w:color w:val="auto"/>
        </w:rPr>
      </w:pPr>
      <w:r>
        <w:rPr>
          <w:rFonts w:ascii="Arial" w:cs="Arial" w:eastAsia="Arial" w:hAnsi="Arial"/>
          <w:sz w:val="18"/>
          <w:szCs w:val="18"/>
          <w:color w:val="auto"/>
        </w:rPr>
        <w:t>Consolidated Revenues.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5"/>
          </w:tcPr>
          <w:p>
            <w:pPr>
              <w:ind w:left="160"/>
              <w:spacing w:after="0"/>
              <w:rPr>
                <w:sz w:val="20"/>
                <w:szCs w:val="20"/>
                <w:color w:val="auto"/>
              </w:rPr>
            </w:pPr>
            <w:r>
              <w:rPr>
                <w:rFonts w:ascii="Arial" w:cs="Arial" w:eastAsia="Arial" w:hAnsi="Arial"/>
                <w:sz w:val="18"/>
                <w:szCs w:val="18"/>
                <w:color w:val="auto"/>
              </w:rPr>
              <w:t>Consolidated Revenues for the four consecutive fiscal quarter</w:t>
            </w:r>
          </w:p>
        </w:tc>
        <w:tc>
          <w:tcPr>
            <w:tcW w:w="36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5"/>
          </w:tcPr>
          <w:p>
            <w:pPr>
              <w:ind w:left="160"/>
              <w:spacing w:after="0"/>
              <w:rPr>
                <w:sz w:val="20"/>
                <w:szCs w:val="20"/>
                <w:color w:val="auto"/>
              </w:rPr>
            </w:pPr>
            <w:r>
              <w:rPr>
                <w:rFonts w:ascii="Arial" w:cs="Arial" w:eastAsia="Arial" w:hAnsi="Arial"/>
                <w:sz w:val="18"/>
                <w:szCs w:val="18"/>
                <w:color w:val="auto"/>
              </w:rPr>
              <w:t>period most recently ended on or prior to the date of this</w:t>
            </w:r>
          </w:p>
        </w:tc>
        <w:tc>
          <w:tcPr>
            <w:tcW w:w="362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20" w:type="dxa"/>
            <w:vAlign w:val="bottom"/>
            <w:gridSpan w:val="5"/>
          </w:tcPr>
          <w:p>
            <w:pPr>
              <w:ind w:left="160"/>
              <w:spacing w:after="0"/>
              <w:rPr>
                <w:sz w:val="20"/>
                <w:szCs w:val="20"/>
                <w:color w:val="auto"/>
              </w:rPr>
            </w:pPr>
            <w:r>
              <w:rPr>
                <w:rFonts w:ascii="Arial" w:cs="Arial" w:eastAsia="Arial" w:hAnsi="Arial"/>
                <w:sz w:val="18"/>
                <w:szCs w:val="18"/>
                <w:color w:val="auto"/>
              </w:rPr>
              <w:t>Compliance Certificate:</w:t>
            </w:r>
          </w:p>
        </w:tc>
        <w:tc>
          <w:tcPr>
            <w:tcW w:w="3620" w:type="dxa"/>
            <w:vAlign w:val="bottom"/>
          </w:tcPr>
          <w:p>
            <w:pPr>
              <w:jc w:val="right"/>
              <w:ind w:right="890"/>
              <w:spacing w:after="0"/>
              <w:rPr>
                <w:sz w:val="20"/>
                <w:szCs w:val="20"/>
                <w:color w:val="auto"/>
              </w:rPr>
            </w:pPr>
            <w:r>
              <w:rPr>
                <w:rFonts w:ascii="Arial" w:cs="Arial" w:eastAsia="Arial" w:hAnsi="Arial"/>
                <w:sz w:val="18"/>
                <w:szCs w:val="18"/>
                <w:color w:val="auto"/>
              </w:rPr>
              <w:t>$</w:t>
            </w:r>
          </w:p>
        </w:tc>
      </w:tr>
      <w:tr>
        <w:trPr>
          <w:trHeight w:val="392"/>
        </w:trPr>
        <w:tc>
          <w:tcPr>
            <w:tcW w:w="7840" w:type="dxa"/>
            <w:vAlign w:val="bottom"/>
            <w:gridSpan w:val="8"/>
          </w:tcPr>
          <w:p>
            <w:pPr>
              <w:spacing w:after="0"/>
              <w:rPr>
                <w:sz w:val="20"/>
                <w:szCs w:val="20"/>
                <w:color w:val="auto"/>
              </w:rPr>
            </w:pPr>
            <w:r>
              <w:rPr>
                <w:rFonts w:ascii="Arial" w:cs="Arial" w:eastAsia="Arial" w:hAnsi="Arial"/>
                <w:sz w:val="18"/>
                <w:szCs w:val="18"/>
                <w:color w:val="auto"/>
              </w:rPr>
              <w:t>Amount required by Section 8.16 of the Credit Agreement for such four</w:t>
            </w:r>
          </w:p>
        </w:tc>
        <w:tc>
          <w:tcPr>
            <w:tcW w:w="362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7"/>
        </w:trPr>
        <w:tc>
          <w:tcPr>
            <w:tcW w:w="7840" w:type="dxa"/>
            <w:vAlign w:val="bottom"/>
            <w:gridSpan w:val="8"/>
          </w:tcPr>
          <w:p>
            <w:pPr>
              <w:spacing w:after="0"/>
              <w:rPr>
                <w:sz w:val="20"/>
                <w:szCs w:val="20"/>
                <w:color w:val="auto"/>
              </w:rPr>
            </w:pPr>
            <w:r>
              <w:rPr>
                <w:rFonts w:ascii="Arial" w:cs="Arial" w:eastAsia="Arial" w:hAnsi="Arial"/>
                <w:sz w:val="18"/>
                <w:szCs w:val="18"/>
                <w:color w:val="auto"/>
              </w:rPr>
              <w:t>consecutive fiscal quarter period:</w:t>
            </w:r>
          </w:p>
        </w:tc>
        <w:tc>
          <w:tcPr>
            <w:tcW w:w="3620" w:type="dxa"/>
            <w:vAlign w:val="bottom"/>
          </w:tcPr>
          <w:p>
            <w:pPr>
              <w:jc w:val="right"/>
              <w:ind w:right="890"/>
              <w:spacing w:after="0"/>
              <w:rPr>
                <w:sz w:val="20"/>
                <w:szCs w:val="20"/>
                <w:color w:val="auto"/>
              </w:rPr>
            </w:pPr>
            <w:r>
              <w:rPr>
                <w:rFonts w:ascii="Arial" w:cs="Arial" w:eastAsia="Arial" w:hAnsi="Arial"/>
                <w:sz w:val="18"/>
                <w:szCs w:val="18"/>
                <w:color w:val="auto"/>
              </w:rPr>
              <w:t>$</w:t>
            </w:r>
          </w:p>
        </w:tc>
      </w:tr>
      <w:tr>
        <w:trPr>
          <w:trHeight w:val="432"/>
        </w:trPr>
        <w:tc>
          <w:tcPr>
            <w:tcW w:w="7840" w:type="dxa"/>
            <w:vAlign w:val="bottom"/>
            <w:gridSpan w:val="8"/>
          </w:tcPr>
          <w:p>
            <w:pPr>
              <w:spacing w:after="0"/>
              <w:rPr>
                <w:sz w:val="20"/>
                <w:szCs w:val="20"/>
                <w:color w:val="auto"/>
              </w:rPr>
            </w:pPr>
            <w:r>
              <w:rPr>
                <w:rFonts w:ascii="Arial" w:cs="Arial" w:eastAsia="Arial" w:hAnsi="Arial"/>
                <w:sz w:val="18"/>
                <w:szCs w:val="18"/>
                <w:color w:val="auto"/>
              </w:rPr>
              <w:t>Compliance:</w:t>
            </w:r>
          </w:p>
        </w:tc>
        <w:tc>
          <w:tcPr>
            <w:tcW w:w="3620" w:type="dxa"/>
            <w:vAlign w:val="bottom"/>
          </w:tcPr>
          <w:p>
            <w:pPr>
              <w:jc w:val="right"/>
              <w:spacing w:after="0"/>
              <w:rPr>
                <w:sz w:val="20"/>
                <w:szCs w:val="20"/>
                <w:color w:val="auto"/>
              </w:rPr>
            </w:pPr>
            <w:r>
              <w:rPr>
                <w:rFonts w:ascii="Arial" w:cs="Arial" w:eastAsia="Arial" w:hAnsi="Arial"/>
                <w:sz w:val="18"/>
                <w:szCs w:val="18"/>
                <w:color w:val="auto"/>
              </w:rPr>
              <w:t>[Yes] [No]</w:t>
            </w:r>
          </w:p>
        </w:tc>
      </w:tr>
      <w:tr>
        <w:trPr>
          <w:trHeight w:val="392"/>
        </w:trPr>
        <w:tc>
          <w:tcPr>
            <w:tcW w:w="620" w:type="dxa"/>
            <w:vAlign w:val="bottom"/>
            <w:gridSpan w:val="3"/>
          </w:tcPr>
          <w:p>
            <w:pPr>
              <w:ind w:left="340"/>
              <w:spacing w:after="0"/>
              <w:rPr>
                <w:sz w:val="20"/>
                <w:szCs w:val="20"/>
                <w:color w:val="auto"/>
              </w:rPr>
            </w:pPr>
            <w:r>
              <w:rPr>
                <w:rFonts w:ascii="Arial" w:cs="Arial" w:eastAsia="Arial" w:hAnsi="Arial"/>
                <w:sz w:val="18"/>
                <w:szCs w:val="18"/>
                <w:color w:val="auto"/>
              </w:rPr>
              <w:t>2.</w:t>
            </w:r>
          </w:p>
        </w:tc>
        <w:tc>
          <w:tcPr>
            <w:tcW w:w="7220" w:type="dxa"/>
            <w:vAlign w:val="bottom"/>
            <w:gridSpan w:val="5"/>
          </w:tcPr>
          <w:p>
            <w:pPr>
              <w:ind w:left="160"/>
              <w:spacing w:after="0"/>
              <w:rPr>
                <w:sz w:val="20"/>
                <w:szCs w:val="20"/>
                <w:color w:val="auto"/>
              </w:rPr>
            </w:pPr>
            <w:r>
              <w:rPr>
                <w:rFonts w:ascii="Arial" w:cs="Arial" w:eastAsia="Arial" w:hAnsi="Arial"/>
                <w:sz w:val="18"/>
                <w:szCs w:val="18"/>
                <w:color w:val="auto"/>
              </w:rPr>
              <w:t>Liquidity.</w:t>
            </w:r>
          </w:p>
        </w:tc>
        <w:tc>
          <w:tcPr>
            <w:tcW w:w="3620" w:type="dxa"/>
            <w:vAlign w:val="bottom"/>
          </w:tcPr>
          <w:p>
            <w:pPr>
              <w:spacing w:after="0"/>
              <w:rPr>
                <w:sz w:val="24"/>
                <w:szCs w:val="24"/>
                <w:color w:val="auto"/>
              </w:rPr>
            </w:pPr>
          </w:p>
        </w:tc>
      </w:tr>
      <w:tr>
        <w:trPr>
          <w:trHeight w:val="453"/>
        </w:trPr>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220" w:type="dxa"/>
            <w:vAlign w:val="bottom"/>
            <w:gridSpan w:val="5"/>
          </w:tcPr>
          <w:p>
            <w:pPr>
              <w:ind w:left="160"/>
              <w:spacing w:after="0"/>
              <w:rPr>
                <w:sz w:val="20"/>
                <w:szCs w:val="20"/>
                <w:color w:val="auto"/>
              </w:rPr>
            </w:pPr>
            <w:r>
              <w:rPr>
                <w:rFonts w:ascii="Arial" w:cs="Arial" w:eastAsia="Arial" w:hAnsi="Arial"/>
                <w:sz w:val="18"/>
                <w:szCs w:val="18"/>
                <w:color w:val="auto"/>
              </w:rPr>
              <w:t>Unrestricted Cash as of the date of this Compliance Certificate</w:t>
            </w:r>
          </w:p>
        </w:tc>
        <w:tc>
          <w:tcPr>
            <w:tcW w:w="3620" w:type="dxa"/>
            <w:vAlign w:val="bottom"/>
          </w:tcPr>
          <w:p>
            <w:pPr>
              <w:jc w:val="right"/>
              <w:ind w:right="890"/>
              <w:spacing w:after="0"/>
              <w:rPr>
                <w:sz w:val="20"/>
                <w:szCs w:val="20"/>
                <w:color w:val="auto"/>
              </w:rPr>
            </w:pPr>
            <w:r>
              <w:rPr>
                <w:rFonts w:ascii="Arial" w:cs="Arial" w:eastAsia="Arial" w:hAnsi="Arial"/>
                <w:sz w:val="18"/>
                <w:szCs w:val="18"/>
                <w:color w:val="auto"/>
              </w:rPr>
              <w:t>$</w:t>
            </w:r>
          </w:p>
        </w:tc>
      </w:tr>
      <w:tr>
        <w:trPr>
          <w:trHeight w:val="392"/>
        </w:trPr>
        <w:tc>
          <w:tcPr>
            <w:tcW w:w="7840" w:type="dxa"/>
            <w:vAlign w:val="bottom"/>
            <w:gridSpan w:val="8"/>
          </w:tcPr>
          <w:p>
            <w:pPr>
              <w:spacing w:after="0"/>
              <w:rPr>
                <w:sz w:val="20"/>
                <w:szCs w:val="20"/>
                <w:color w:val="auto"/>
              </w:rPr>
            </w:pPr>
            <w:r>
              <w:rPr>
                <w:rFonts w:ascii="Arial" w:cs="Arial" w:eastAsia="Arial" w:hAnsi="Arial"/>
                <w:sz w:val="18"/>
                <w:szCs w:val="18"/>
                <w:color w:val="auto"/>
              </w:rPr>
              <w:t>Minimum Amount required by Section 8.17 of the Credit Agreement:</w:t>
            </w:r>
          </w:p>
        </w:tc>
        <w:tc>
          <w:tcPr>
            <w:tcW w:w="362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453"/>
        </w:trPr>
        <w:tc>
          <w:tcPr>
            <w:tcW w:w="2280" w:type="dxa"/>
            <w:vAlign w:val="bottom"/>
            <w:gridSpan w:val="5"/>
          </w:tcPr>
          <w:p>
            <w:pPr>
              <w:spacing w:after="0"/>
              <w:rPr>
                <w:sz w:val="20"/>
                <w:szCs w:val="20"/>
                <w:color w:val="auto"/>
              </w:rPr>
            </w:pPr>
            <w:r>
              <w:rPr>
                <w:rFonts w:ascii="Arial" w:cs="Arial" w:eastAsia="Arial" w:hAnsi="Arial"/>
                <w:sz w:val="18"/>
                <w:szCs w:val="18"/>
                <w:color w:val="auto"/>
              </w:rPr>
              <w:t>Compliance:</w:t>
            </w:r>
          </w:p>
        </w:tc>
        <w:tc>
          <w:tcPr>
            <w:tcW w:w="900" w:type="dxa"/>
            <w:vAlign w:val="bottom"/>
            <w:tcBorders>
              <w:top w:val="single" w:sz="8" w:color="auto"/>
            </w:tcBorders>
            <w:gridSpan w:val="2"/>
          </w:tcPr>
          <w:p>
            <w:pPr>
              <w:spacing w:after="0"/>
              <w:rPr>
                <w:sz w:val="24"/>
                <w:szCs w:val="24"/>
                <w:color w:val="auto"/>
              </w:rPr>
            </w:pPr>
          </w:p>
        </w:tc>
        <w:tc>
          <w:tcPr>
            <w:tcW w:w="466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[Yes] [No]</w:t>
            </w:r>
          </w:p>
        </w:tc>
      </w:tr>
      <w:tr>
        <w:trPr>
          <w:trHeight w:val="348"/>
        </w:trPr>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Schedule 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Dispositions, Involuntary Dispositions, Debt Issuances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Schedule 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IP Schedule Updates; Insurance Binders; MD&amp;A; Litigation; Accounting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84" w:right="1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THIS SECURITY AGREEMENT </w:t>
      </w:r>
      <w:r>
        <w:rPr>
          <w:rFonts w:ascii="Arial" w:cs="Arial" w:eastAsia="Arial" w:hAnsi="Arial"/>
          <w:sz w:val="18"/>
          <w:szCs w:val="18"/>
          <w:color w:val="auto"/>
        </w:rPr>
        <w:t>dated as of March 30, 2016 (as amended, modified, restated or supplemented from time to time, this “</w:t>
      </w:r>
      <w:r>
        <w:rPr>
          <w:rFonts w:ascii="Arial" w:cs="Arial" w:eastAsia="Arial" w:hAnsi="Arial"/>
          <w:sz w:val="18"/>
          <w:szCs w:val="18"/>
          <w:u w:val="single" w:color="auto"/>
          <w:color w:val="auto"/>
        </w:rPr>
        <w:t>Security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among the parties identified as “Grantors” on the signature pages hereto and such other parties as may become Grantors hereunder after the date hereof (individually a “</w:t>
      </w:r>
      <w:r>
        <w:rPr>
          <w:rFonts w:ascii="Arial" w:cs="Arial" w:eastAsia="Arial" w:hAnsi="Arial"/>
          <w:sz w:val="18"/>
          <w:szCs w:val="18"/>
          <w:u w:val="single" w:color="auto"/>
          <w:color w:val="auto"/>
        </w:rPr>
        <w:t>Grantor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Grantors</w:t>
      </w:r>
      <w:r>
        <w:rPr>
          <w:rFonts w:ascii="Arial" w:cs="Arial" w:eastAsia="Arial" w:hAnsi="Arial"/>
          <w:sz w:val="18"/>
          <w:szCs w:val="18"/>
          <w:color w:val="auto"/>
        </w:rPr>
        <w:t>”) and Visium Healthcare Partners, LP,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(defined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1"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 credit facility has been established in favor of Veracyte,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pursuant to the terms of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Credit Agreement dated as of March 25, 2016 (as amended, modified, restated, supplemented or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 the Guarantors, the Lenders from time to time party thereto and the Administrative Agent;</w:t>
      </w:r>
    </w:p>
    <w:p>
      <w:pPr>
        <w:spacing w:after="0" w:line="17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required under the terms of the Credit Agreement that the Grantors shall have granted the security interests and undertaken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contemplated by this Security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Security Agreement is required under the terms of the Credit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these premises and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66"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Capitalized terms used and not otherwise defined herein shall have the meanings provided in the Credit Agreement.</w:t>
      </w:r>
    </w:p>
    <w:p>
      <w:pPr>
        <w:spacing w:after="0" w:line="225" w:lineRule="exact"/>
        <w:rPr>
          <w:rFonts w:ascii="Arial" w:cs="Arial" w:eastAsia="Arial" w:hAnsi="Arial"/>
          <w:sz w:val="18"/>
          <w:szCs w:val="18"/>
          <w:color w:val="auto"/>
        </w:rPr>
      </w:pPr>
    </w:p>
    <w:p>
      <w:pPr>
        <w:ind w:left="660" w:right="340" w:firstLine="645"/>
        <w:spacing w:after="0" w:line="257" w:lineRule="auto"/>
        <w:tabs>
          <w:tab w:leader="none" w:pos="1964"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following terms shall have the meanings assigned thereto in the UCC (defined below): Accession, Account, As-Extracted Collateral, Chattel Paper, Commercial Tort Claim, Consumer Goods, Deposit Account, Document, Electronic Chattel Paper, Equipment, Farm Products, Fixtures, General Intangible, Goods, Instrument, Inventory, Investment Property, Letter-of-Credit Right, Manufactured Home, Money, Payment Intangibles, Proceeds, Securities Account, Securities Entitlement, Securities Intermediary, Software, Standing Timber, Supporting Obligation and Tangible Chattel Paper.</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set forth below:</w:t>
      </w:r>
    </w:p>
    <w:p>
      <w:pPr>
        <w:spacing w:after="0" w:line="225" w:lineRule="exact"/>
        <w:rPr>
          <w:rFonts w:ascii="Arial" w:cs="Arial" w:eastAsia="Arial" w:hAnsi="Arial"/>
          <w:sz w:val="18"/>
          <w:szCs w:val="18"/>
          <w:color w:val="auto"/>
        </w:rPr>
      </w:pPr>
    </w:p>
    <w:p>
      <w:pPr>
        <w:ind w:left="1960" w:right="3140"/>
        <w:spacing w:after="0" w:line="50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provided in the introductory paragraph hereof. “</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provided in the recitals hereof.</w:t>
      </w: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has the meaning provided in the recitals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IP Rights</w:t>
      </w:r>
      <w:r>
        <w:rPr>
          <w:rFonts w:ascii="Arial" w:cs="Arial" w:eastAsia="Arial" w:hAnsi="Arial"/>
          <w:sz w:val="16"/>
          <w:szCs w:val="16"/>
          <w:color w:val="auto"/>
        </w:rPr>
        <w:t>” means IP Rights that (a) are material to the operations, business, property or condition (financial or otherwise) of the Grantors or their licensee(s) or (b) the loss of which could reasonably be expected to have a Material Adverse Effect.</w:t>
      </w:r>
    </w:p>
    <w:p>
      <w:pPr>
        <w:spacing w:after="0" w:line="124" w:lineRule="exact"/>
        <w:rPr>
          <w:sz w:val="20"/>
          <w:szCs w:val="20"/>
          <w:color w:val="auto"/>
        </w:rPr>
      </w:pPr>
    </w:p>
    <w:p>
      <w:pPr>
        <w:ind w:left="1300"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without duplication, (a) all Obligations and (b) all costs and expenses incurred in connection with enforcement and collection of the Obligations, including the fees, charges and disbursements of counsel.</w:t>
      </w:r>
    </w:p>
    <w:p>
      <w:pPr>
        <w:spacing w:after="0" w:line="170" w:lineRule="exact"/>
        <w:rPr>
          <w:sz w:val="20"/>
          <w:szCs w:val="20"/>
          <w:color w:val="auto"/>
        </w:rPr>
      </w:pPr>
    </w:p>
    <w:p>
      <w:pPr>
        <w:ind w:left="1300"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Administrative Agent, the Lenders and any holder of the Secured Obligations, and “</w:t>
      </w:r>
      <w:r>
        <w:rPr>
          <w:rFonts w:ascii="Arial" w:cs="Arial" w:eastAsia="Arial" w:hAnsi="Arial"/>
          <w:sz w:val="18"/>
          <w:szCs w:val="18"/>
          <w:u w:val="single" w:color="auto"/>
          <w:color w:val="auto"/>
        </w:rPr>
        <w:t>Secured Party</w:t>
      </w:r>
      <w:r>
        <w:rPr>
          <w:rFonts w:ascii="Arial" w:cs="Arial" w:eastAsia="Arial" w:hAnsi="Arial"/>
          <w:sz w:val="18"/>
          <w:szCs w:val="18"/>
          <w:color w:val="auto"/>
        </w:rPr>
        <w:t>” means any one of them.</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has the meaning provided in the introductory paragraph hereof.</w:t>
      </w:r>
    </w:p>
    <w:p>
      <w:pPr>
        <w:spacing w:after="0" w:line="225" w:lineRule="exact"/>
        <w:rPr>
          <w:sz w:val="20"/>
          <w:szCs w:val="20"/>
          <w:color w:val="auto"/>
        </w:rPr>
      </w:pPr>
    </w:p>
    <w:p>
      <w:pPr>
        <w:ind w:left="1300"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except as such term may be used in connection with the perfection of the Collateral and then the applicable jurisdiction with respect to such affected Collateral shall apply.</w:t>
      </w:r>
    </w:p>
    <w:p>
      <w:pPr>
        <w:spacing w:after="0" w:line="181" w:lineRule="exact"/>
        <w:rPr>
          <w:sz w:val="20"/>
          <w:szCs w:val="20"/>
          <w:color w:val="auto"/>
        </w:rPr>
      </w:pPr>
    </w:p>
    <w:p>
      <w:pPr>
        <w:ind w:right="160" w:firstLine="656"/>
        <w:spacing w:after="0" w:line="259" w:lineRule="auto"/>
        <w:tabs>
          <w:tab w:leader="none" w:pos="1296"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the Collateral</w:t>
      </w:r>
      <w:r>
        <w:rPr>
          <w:rFonts w:ascii="Arial" w:cs="Arial" w:eastAsia="Arial" w:hAnsi="Arial"/>
          <w:sz w:val="18"/>
          <w:szCs w:val="18"/>
          <w:color w:val="auto"/>
        </w:rPr>
        <w:t>. To secure the prompt payment and performance in full when due, whether by lapse of time, acceleration, mandatory prepayment or otherwise, of the Secured Obligations, each Grantor hereby grants to the Administrative Agent, for the benefit of the Secured Parties, a continuing security interest in any and all right, title and interest of such Grantor in and to all of the following, whether now owned or existing or owned, acquired or arising hereafter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all Commercial Tort Claims, including those identified on </w:t>
      </w:r>
      <w:r>
        <w:rPr>
          <w:rFonts w:ascii="Arial" w:cs="Arial" w:eastAsia="Arial" w:hAnsi="Arial"/>
          <w:sz w:val="18"/>
          <w:szCs w:val="18"/>
          <w:u w:val="single" w:color="auto"/>
          <w:color w:val="auto"/>
        </w:rPr>
        <w:t>Schedule 2(c)</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Confidential Information;</w:t>
      </w:r>
    </w:p>
    <w:p>
      <w:pPr>
        <w:sectPr>
          <w:pgSz w:w="11900" w:h="16838" w:orient="portrait"/>
          <w:cols w:equalWidth="0" w:num="1">
            <w:col w:w="11420"/>
          </w:cols>
          <w:pgMar w:left="240" w:top="121" w:right="239" w:bottom="0" w:gutter="0" w:footer="0" w:header="0"/>
        </w:sectPr>
      </w:pPr>
    </w:p>
    <w:bookmarkStart w:id="106" w:name="page107"/>
    <w:bookmarkEnd w:id="106"/>
    <w:p>
      <w:pPr>
        <w:ind w:left="1960" w:hanging="655"/>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Copyrights;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Copyright Licenses;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Domain Names;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Drug Applications;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Goods;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Governmental Licenses;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IP Rights;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Money;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Other Intellectual Property;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Other IP Agreements;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Patents;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Patent Licenses;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Payment Intangibles;</w:t>
      </w:r>
    </w:p>
    <w:p>
      <w:pPr>
        <w:spacing w:after="0" w:line="225" w:lineRule="exact"/>
        <w:rPr>
          <w:sz w:val="20"/>
          <w:szCs w:val="20"/>
          <w:color w:val="auto"/>
        </w:rPr>
      </w:pPr>
    </w:p>
    <w:p>
      <w:pPr>
        <w:ind w:left="1940" w:hanging="635"/>
        <w:spacing w:after="0"/>
        <w:tabs>
          <w:tab w:leader="none" w:pos="19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Proprietary Databases;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Proprietary Software;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Software;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Trademarks;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Trademark Licenses;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Trade Secrets;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Websites;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Website Agreements;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Accessions and all Proceeds of any and all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to the contrary contained herein, the security interests granted under this Security Agreement shall not extend to (i)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Excluded Property, (ii) any Pledged Collateral (as defined in the Pledge Agreement) and (iii) any General Intangible, permit, lease, license, contract or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Instrument of a Grantor if the grant of a security interest in such General Intangible, permit, lease, license,</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00" w:gutter="0" w:footer="0" w:header="0"/>
        </w:sectPr>
      </w:pPr>
    </w:p>
    <w:bookmarkStart w:id="107" w:name="page108"/>
    <w:bookmarkEnd w:id="107"/>
    <w:p>
      <w:pPr>
        <w:ind w:right="140"/>
        <w:spacing w:after="0" w:line="288" w:lineRule="auto"/>
        <w:rPr>
          <w:sz w:val="20"/>
          <w:szCs w:val="20"/>
          <w:color w:val="auto"/>
        </w:rPr>
      </w:pPr>
      <w:r>
        <w:rPr>
          <w:rFonts w:ascii="Arial" w:cs="Arial" w:eastAsia="Arial" w:hAnsi="Arial"/>
          <w:sz w:val="16"/>
          <w:szCs w:val="16"/>
          <w:color w:val="auto"/>
        </w:rPr>
        <w:t xml:space="preserve">contract or other Instrument in the manner contemplated by this Security Agreement, under the terms thereof or under applicable Law, is prohibited and would result in the termination thereof or give the other parties thereto the right to terminate, accelerate or otherwise alter such Grantor’s rights, titles and interests thereunder (including upon the giving of notice or the lapse of time or both);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such limitation described in the foregoing clause</w:t>
      </w:r>
    </w:p>
    <w:p>
      <w:pPr>
        <w:ind w:firstLine="8"/>
        <w:spacing w:after="0" w:line="270" w:lineRule="auto"/>
        <w:tabs>
          <w:tab w:leader="none" w:pos="26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on the security interests granted hereunder shall only apply to the extent that any such prohibition could not be rendered ineffective pursuant to the UCC or any other applicable Law (including Debtor Relief Laws) or principles of equity and (b) in the event of the termination or elimination of any such prohibition or the requirement for any consent contained in any applicable Law, General Intangible, permit, lease, license, contract or other Instrument, to the extent sufficient to permit any such item to become Collateral hereunder, or upon the granting of any such consent, or waiving or terminating any requirement for such consent, a security interest in such General Intangible, permit, lease, license, contract or other Instrument shall be automatically and simultaneously granted hereunder and shall be included as Collateral hereunder.</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Grantors and the Administrative Agent, on behalf of the Secured Parties, hereby acknowledge and agree that the security interest created hereby in the Collateral (i) constitutes continuing collateral security for all of the Secured Obligations, whether now existing or hereafter arising and (ii) is not and shall not be construed as an assignment of any Copyrights, Copyright Licenses, Patents, Patent Licenses, Trademarks, Trademark Licenses, IP Rights, Other Intellectual Property or Other IP Agreements.</w:t>
      </w:r>
    </w:p>
    <w:p>
      <w:pPr>
        <w:spacing w:after="0" w:line="187"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Provisions Relating to Accounts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40" w:firstLine="645"/>
        <w:spacing w:after="0" w:line="289" w:lineRule="auto"/>
        <w:tabs>
          <w:tab w:leader="none" w:pos="1954"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Anything herein to the contrary notwithstanding, each of the Grantors shall remain liable under each of the Accounts to observe and perform all the conditions and obligations to be observed and performed by it thereunder, all in accordance with the terms of any agreement giving rise to each such Account. Neither the Administrative Agent nor any Secured Party shall have any obligation or liability under any Account (or any agreement giving rise thereto) by reason of or arising out of this Security Agreement or the receipt by the Administrative Agent or any Secured Party of any payment relating to such Account pursuant hereto, nor shall the Administrative Agent or any Secured Party be obligated in any manner to perform any of the obligations of a Grantor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that may have been assigned to it or to which it may be entitled at any time or times.</w:t>
      </w:r>
    </w:p>
    <w:p>
      <w:pPr>
        <w:spacing w:after="0" w:line="166" w:lineRule="exact"/>
        <w:rPr>
          <w:rFonts w:ascii="Arial" w:cs="Arial" w:eastAsia="Arial" w:hAnsi="Arial"/>
          <w:sz w:val="16"/>
          <w:szCs w:val="16"/>
          <w:color w:val="auto"/>
        </w:rPr>
      </w:pPr>
    </w:p>
    <w:p>
      <w:pPr>
        <w:ind w:left="660" w:right="80" w:firstLine="645"/>
        <w:spacing w:after="0" w:line="254" w:lineRule="auto"/>
        <w:tabs>
          <w:tab w:leader="none" w:pos="196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At any time upon the occurrence of an Event of Default and during the continuation thereof, (i) the Administrative Agent shall have the right, but not the obligation, to make test verifications of the Accounts in any manner and through any medium that it reasonably considers advisable, and the Grantors shall furnish all such assistance and information as the Administrative Agent may reasonably require in connection with such test verifications, (ii) upon the Administrative Agent’s request and at the expense of the Grantors, the Grantors shall cause independent public accountants or others satisfactory to the Administrative Agent to furnish to the Administrative Agent reports showing reconciliations, aging and test verifications of, and trial balances for, the Accounts and (iii) the Administrative Agent in its own name or in the name of others may communicate with account debtors on the Accounts to verify with them to the Administrative Agent’s satisfaction the existence, amount and terms of any Accounts.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Grantor hereby represents and warrants to the Administrative Agent, for the benefit of the Secured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that:</w:t>
      </w:r>
    </w:p>
    <w:p>
      <w:pPr>
        <w:spacing w:after="0" w:line="210" w:lineRule="exact"/>
        <w:rPr>
          <w:rFonts w:ascii="Arial" w:cs="Arial" w:eastAsia="Arial" w:hAnsi="Arial"/>
          <w:sz w:val="16"/>
          <w:szCs w:val="16"/>
          <w:color w:val="auto"/>
        </w:rPr>
      </w:pPr>
    </w:p>
    <w:p>
      <w:pPr>
        <w:ind w:left="660" w:right="180" w:firstLine="645"/>
        <w:spacing w:after="0" w:line="277" w:lineRule="auto"/>
        <w:tabs>
          <w:tab w:leader="none" w:pos="1954"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Grantor is the legal and beneficial owner of, or has rights to use, its Collateral and has the right to pledge, sell, assign or transfer the same.</w:t>
      </w:r>
    </w:p>
    <w:p>
      <w:pPr>
        <w:spacing w:after="0" w:line="170" w:lineRule="exact"/>
        <w:rPr>
          <w:rFonts w:ascii="Arial" w:cs="Arial" w:eastAsia="Arial" w:hAnsi="Arial"/>
          <w:sz w:val="18"/>
          <w:szCs w:val="18"/>
          <w:color w:val="auto"/>
        </w:rPr>
      </w:pPr>
    </w:p>
    <w:p>
      <w:pPr>
        <w:ind w:left="660" w:right="20" w:firstLine="645"/>
        <w:spacing w:after="0" w:line="272" w:lineRule="auto"/>
        <w:tabs>
          <w:tab w:leader="none" w:pos="1964"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Security Interest/Priority</w:t>
      </w:r>
      <w:r>
        <w:rPr>
          <w:rFonts w:ascii="Arial" w:cs="Arial" w:eastAsia="Arial" w:hAnsi="Arial"/>
          <w:sz w:val="17"/>
          <w:szCs w:val="17"/>
          <w:color w:val="auto"/>
        </w:rPr>
        <w:t>. This Security Agreement creates a valid security interest in favor of the Administrative Agent, for the benefit of the Secured Parties, in the Collateral of such Grantor and, when properly perfected by filing of a UCC financing statement shall constitute a valid, perfected, first priority security interest in such Collateral, to the extent such security interest can be perfected by filing a financing statement under the UCC, free and clear of all Liens except for Permitted Liens. With respect to any Collateral consisting of a Deposit Account, Securities Entitlement or held in a Securities Account, upon execution and delivery by the applicable Grantor, the applicable depository bank or Securities Intermediary and the Administrative Agent of an agreement granting control to the Administrative Agent over such Collateral, the Administrative Agent shall have a valid and perfected, first priority security interest in such Collateral.</w:t>
      </w:r>
    </w:p>
    <w:p>
      <w:pPr>
        <w:spacing w:after="0" w:line="177" w:lineRule="exact"/>
        <w:rPr>
          <w:rFonts w:ascii="Arial" w:cs="Arial" w:eastAsia="Arial" w:hAnsi="Arial"/>
          <w:sz w:val="17"/>
          <w:szCs w:val="17"/>
          <w:color w:val="auto"/>
        </w:rPr>
      </w:pPr>
    </w:p>
    <w:p>
      <w:pPr>
        <w:ind w:left="660" w:right="20" w:firstLine="645"/>
        <w:spacing w:after="0" w:line="277" w:lineRule="auto"/>
        <w:tabs>
          <w:tab w:leader="none" w:pos="1967"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Types of Collateral</w:t>
      </w:r>
      <w:r>
        <w:rPr>
          <w:rFonts w:ascii="Arial" w:cs="Arial" w:eastAsia="Arial" w:hAnsi="Arial"/>
          <w:sz w:val="18"/>
          <w:szCs w:val="18"/>
          <w:color w:val="auto"/>
        </w:rPr>
        <w:t>. None of the Collateral consists of, or is the Accessions or the Proceeds of, As-Extracted Collateral, Consumer Goods, Farm Products, Manufactured Homes or Standing Timber.</w:t>
      </w:r>
    </w:p>
    <w:p>
      <w:pPr>
        <w:spacing w:after="0" w:line="170" w:lineRule="exact"/>
        <w:rPr>
          <w:rFonts w:ascii="Arial" w:cs="Arial" w:eastAsia="Arial" w:hAnsi="Arial"/>
          <w:sz w:val="18"/>
          <w:szCs w:val="18"/>
          <w:color w:val="auto"/>
        </w:rPr>
      </w:pPr>
    </w:p>
    <w:p>
      <w:pPr>
        <w:ind w:left="660" w:right="60" w:firstLine="645"/>
        <w:spacing w:after="0" w:line="255" w:lineRule="auto"/>
        <w:tabs>
          <w:tab w:leader="none" w:pos="1964"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Accounts</w:t>
      </w:r>
      <w:r>
        <w:rPr>
          <w:rFonts w:ascii="Arial" w:cs="Arial" w:eastAsia="Arial" w:hAnsi="Arial"/>
          <w:sz w:val="18"/>
          <w:szCs w:val="18"/>
          <w:color w:val="auto"/>
        </w:rPr>
        <w:t>. (i) Each Account of the Grantors and the papers and documents relating thereto are genuine and in all material respects accurate and what they purport to be, (ii) each Account arises out of (A) a bona fide sale of goods sold and delivered by such Grantor (or is in the process of being delivered) or (B) services theretofore actually rendered by such Grantor to, the account debtor named therein, (iii) no Account of a Grantor is evidenced by any Instrument or Chattel Paper unless such Instrument or Chattel Paper, to the extent requested by the Administrative Agent, has been endorsed over and delivered to, or submitted to the control of, the Administrative Agent, (iv) no surety bond was required or given in connection with any Account of a Grantor or the contracts or purchase orders out of which they arose and (v) the right to receive payment under each Account is assignable.</w:t>
      </w:r>
    </w:p>
    <w:p>
      <w:pPr>
        <w:spacing w:after="0" w:line="189" w:lineRule="exact"/>
        <w:rPr>
          <w:rFonts w:ascii="Arial" w:cs="Arial" w:eastAsia="Arial" w:hAnsi="Arial"/>
          <w:sz w:val="18"/>
          <w:szCs w:val="18"/>
          <w:color w:val="auto"/>
        </w:rPr>
      </w:pPr>
    </w:p>
    <w:p>
      <w:pPr>
        <w:ind w:left="660" w:right="660" w:firstLine="645"/>
        <w:spacing w:after="0" w:line="259" w:lineRule="auto"/>
        <w:tabs>
          <w:tab w:leader="none" w:pos="1967"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Equipment and Inventory</w:t>
      </w:r>
      <w:r>
        <w:rPr>
          <w:rFonts w:ascii="Arial" w:cs="Arial" w:eastAsia="Arial" w:hAnsi="Arial"/>
          <w:sz w:val="18"/>
          <w:szCs w:val="18"/>
          <w:color w:val="auto"/>
        </w:rPr>
        <w:t>. With respect to any Equipment and/or Inventory of a Grantor, each such Grantor has exclusive possession and control of such Equipment and Inventory of such Grantor except for (i) Equipment leased by such Grantor as a lessee or (ii) Equipment or Inventory in transit with common carriers. No Inventory of a Grantor is held by a Person other than a Grantor pursuant to consignment, sale or return, sale on approval or similar arrangement.</w:t>
      </w:r>
    </w:p>
    <w:p>
      <w:pPr>
        <w:spacing w:after="0" w:line="186" w:lineRule="exact"/>
        <w:rPr>
          <w:rFonts w:ascii="Arial" w:cs="Arial" w:eastAsia="Arial" w:hAnsi="Arial"/>
          <w:sz w:val="18"/>
          <w:szCs w:val="18"/>
          <w:color w:val="auto"/>
        </w:rPr>
      </w:pPr>
    </w:p>
    <w:p>
      <w:pPr>
        <w:jc w:val="both"/>
        <w:ind w:left="660" w:right="420" w:firstLine="645"/>
        <w:spacing w:after="0" w:line="312" w:lineRule="auto"/>
        <w:tabs>
          <w:tab w:leader="none" w:pos="1961"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No Other Instruments, Etc.</w:t>
      </w:r>
      <w:r>
        <w:rPr>
          <w:rFonts w:ascii="Arial" w:cs="Arial" w:eastAsia="Arial" w:hAnsi="Arial"/>
          <w:sz w:val="16"/>
          <w:szCs w:val="16"/>
          <w:color w:val="auto"/>
        </w:rPr>
        <w:t xml:space="preserve"> As of the Funding Date, no Grantor holds any Instruments, Documents or Tangible Chattel Paper required to be pledged and delivered to the Administrative Agent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of this Security Agreement other than as set forth on </w:t>
      </w:r>
      <w:r>
        <w:rPr>
          <w:rFonts w:ascii="Arial" w:cs="Arial" w:eastAsia="Arial" w:hAnsi="Arial"/>
          <w:sz w:val="16"/>
          <w:szCs w:val="16"/>
          <w:u w:val="single" w:color="auto"/>
          <w:color w:val="auto"/>
        </w:rPr>
        <w:t>Schedule 4(f)</w:t>
      </w:r>
      <w:r>
        <w:rPr>
          <w:rFonts w:ascii="Arial" w:cs="Arial" w:eastAsia="Arial" w:hAnsi="Arial"/>
          <w:sz w:val="16"/>
          <w:szCs w:val="16"/>
          <w:color w:val="auto"/>
        </w:rPr>
        <w:t xml:space="preserve"> hereto. All such Instruments, Documents and Tangible Chattel Paper have been delivered to the Administrative Agent.</w:t>
      </w:r>
    </w:p>
    <w:p>
      <w:pPr>
        <w:sectPr>
          <w:pgSz w:w="11900" w:h="16838" w:orient="portrait"/>
          <w:cols w:equalWidth="0" w:num="1">
            <w:col w:w="11400"/>
          </w:cols>
          <w:pgMar w:left="240" w:top="341" w:right="259" w:bottom="21" w:gutter="0" w:footer="0" w:header="0"/>
        </w:sectPr>
      </w:pPr>
    </w:p>
    <w:bookmarkStart w:id="108" w:name="page109"/>
    <w:bookmarkEnd w:id="108"/>
    <w:p>
      <w:pPr>
        <w:spacing w:after="0" w:line="95" w:lineRule="exact"/>
        <w:rPr>
          <w:sz w:val="20"/>
          <w:szCs w:val="20"/>
          <w:color w:val="auto"/>
        </w:rPr>
      </w:pPr>
    </w:p>
    <w:p>
      <w:pPr>
        <w:ind w:left="640" w:right="60" w:firstLine="645"/>
        <w:spacing w:after="0" w:line="264" w:lineRule="auto"/>
        <w:tabs>
          <w:tab w:leader="none" w:pos="1957"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Contracts; Agreements; Licenses</w:t>
      </w:r>
      <w:r>
        <w:rPr>
          <w:rFonts w:ascii="Arial" w:cs="Arial" w:eastAsia="Arial" w:hAnsi="Arial"/>
          <w:sz w:val="18"/>
          <w:szCs w:val="18"/>
          <w:color w:val="auto"/>
        </w:rPr>
        <w:t xml:space="preserve">. The Grantors have no material inbound licenses which are non-assignable by their terms (other than those certain licenses set forth in </w:t>
      </w:r>
      <w:r>
        <w:rPr>
          <w:rFonts w:ascii="Arial" w:cs="Arial" w:eastAsia="Arial" w:hAnsi="Arial"/>
          <w:sz w:val="18"/>
          <w:szCs w:val="18"/>
          <w:u w:val="single" w:color="auto"/>
          <w:color w:val="auto"/>
        </w:rPr>
        <w:t>Schedule 4(g)</w:t>
      </w:r>
      <w:r>
        <w:rPr>
          <w:rFonts w:ascii="Arial" w:cs="Arial" w:eastAsia="Arial" w:hAnsi="Arial"/>
          <w:sz w:val="18"/>
          <w:szCs w:val="18"/>
          <w:color w:val="auto"/>
        </w:rPr>
        <w:t xml:space="preserve"> attached hereto), or as a matter of law, or which prevent the granting of a security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 w:firstLine="645"/>
        <w:spacing w:after="0" w:line="287" w:lineRule="auto"/>
        <w:tabs>
          <w:tab w:leader="none" w:pos="1944"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Consents; Etc.</w:t>
      </w:r>
      <w:r>
        <w:rPr>
          <w:rFonts w:ascii="Arial" w:cs="Arial" w:eastAsia="Arial" w:hAnsi="Arial"/>
          <w:sz w:val="16"/>
          <w:szCs w:val="16"/>
          <w:color w:val="auto"/>
        </w:rPr>
        <w:t xml:space="preserve"> Except for (i) the filing or recording of UCC financing statements, (ii) the filing of appropriate notices with the United States Patent and Trademark Office and the United States Copyright Office and patent, trademark and copyright offices and other appropriate Governmental Authorities in other countries or political subdivisions thereof, (iii) obtaining control to perfect the Liens created by this Security Agreement (to the extent required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 and (iv) consents, authorizations, filings or other actions which have been obtained or made, no consent or authorization of, filing with, or other act by or in respect of, any arbitrator or Governmental Authority and no consent of any other Person (including, without limitation, any stockholder, member or creditor of such Grantor), is required for (A) the grant by such Grantor of the security interest in the Collateral granted hereby or for the execution, delivery or performance of this Security Agreement by such Grantor, (B) the perfection of such security interest (to the extent such security interest can be perfected by filing under the UCC, the granting of control (to the extent required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 or by filing an appropriate notice with the United States Patent and Trademark Office or the United States Copyright Office or patent, trademark and copyright offices and other appropriate Governmental Authorities in other countries or political subdivisions thereof) or (C) other than with respect to the licenses set forth on </w:t>
      </w:r>
      <w:r>
        <w:rPr>
          <w:rFonts w:ascii="Arial" w:cs="Arial" w:eastAsia="Arial" w:hAnsi="Arial"/>
          <w:sz w:val="16"/>
          <w:szCs w:val="16"/>
          <w:u w:val="single" w:color="auto"/>
          <w:color w:val="auto"/>
        </w:rPr>
        <w:t>Schedule 4(g)</w:t>
      </w:r>
      <w:r>
        <w:rPr>
          <w:rFonts w:ascii="Arial" w:cs="Arial" w:eastAsia="Arial" w:hAnsi="Arial"/>
          <w:sz w:val="16"/>
          <w:szCs w:val="16"/>
          <w:color w:val="auto"/>
        </w:rPr>
        <w:t xml:space="preserve"> attached hereto, the exercise by the Administrative Agent or the holders of the Secured Obligations of the rights and remedies provided for in this Security Agreement.</w:t>
      </w:r>
    </w:p>
    <w:p>
      <w:pPr>
        <w:spacing w:after="0" w:line="168" w:lineRule="exact"/>
        <w:rPr>
          <w:rFonts w:ascii="Arial" w:cs="Arial" w:eastAsia="Arial" w:hAnsi="Arial"/>
          <w:sz w:val="16"/>
          <w:szCs w:val="16"/>
          <w:color w:val="auto"/>
        </w:rPr>
      </w:pPr>
    </w:p>
    <w:p>
      <w:pPr>
        <w:ind w:left="1960" w:hanging="675"/>
        <w:spacing w:after="0"/>
        <w:tabs>
          <w:tab w:leader="none" w:pos="196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Such Grantor has no Commercial Tort Claims other than those listed on </w:t>
      </w:r>
      <w:r>
        <w:rPr>
          <w:rFonts w:ascii="Arial" w:cs="Arial" w:eastAsia="Arial" w:hAnsi="Arial"/>
          <w:sz w:val="18"/>
          <w:szCs w:val="18"/>
          <w:u w:val="single" w:color="auto"/>
          <w:color w:val="auto"/>
        </w:rPr>
        <w:t>Schedule 2(c)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656"/>
        <w:spacing w:after="0" w:line="342" w:lineRule="auto"/>
        <w:tabs>
          <w:tab w:leader="none" w:pos="1276"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Each Grantor covenants that, so long as any of the Secured Obligations (other than contingent indemnification obligations for which no claim has been asserted) remains outstanding and until all of the Commitments relating thereto have been terminated, such Grantor shall:</w:t>
      </w:r>
    </w:p>
    <w:p>
      <w:pPr>
        <w:spacing w:after="0" w:line="123" w:lineRule="exact"/>
        <w:rPr>
          <w:rFonts w:ascii="Arial" w:cs="Arial" w:eastAsia="Arial" w:hAnsi="Arial"/>
          <w:sz w:val="16"/>
          <w:szCs w:val="16"/>
          <w:color w:val="auto"/>
        </w:rPr>
      </w:pPr>
    </w:p>
    <w:p>
      <w:pPr>
        <w:ind w:left="1920" w:hanging="635"/>
        <w:spacing w:after="0"/>
        <w:tabs>
          <w:tab w:leader="none" w:pos="1920" w:val="left"/>
        </w:tabs>
        <w:numPr>
          <w:ilvl w:val="1"/>
          <w:numId w:val="213"/>
        </w:numPr>
        <w:rPr>
          <w:rFonts w:ascii="Arial" w:cs="Arial" w:eastAsia="Arial" w:hAnsi="Arial"/>
          <w:sz w:val="18"/>
          <w:szCs w:val="18"/>
          <w:color w:val="auto"/>
        </w:rPr>
      </w:pPr>
      <w:r>
        <w:rPr>
          <w:rFonts w:ascii="Arial" w:cs="Arial" w:eastAsia="Arial" w:hAnsi="Arial"/>
          <w:sz w:val="18"/>
          <w:szCs w:val="18"/>
          <w:u w:val="single" w:color="auto"/>
          <w:color w:val="auto"/>
        </w:rPr>
        <w:t>Other Liens</w:t>
      </w:r>
      <w:r>
        <w:rPr>
          <w:rFonts w:ascii="Arial" w:cs="Arial" w:eastAsia="Arial" w:hAnsi="Arial"/>
          <w:sz w:val="18"/>
          <w:szCs w:val="18"/>
          <w:color w:val="auto"/>
        </w:rPr>
        <w:t>. Defend the Collateral against Liens thereon other than Permitted Liens.</w:t>
      </w:r>
    </w:p>
    <w:p>
      <w:pPr>
        <w:spacing w:after="0" w:line="225" w:lineRule="exact"/>
        <w:rPr>
          <w:rFonts w:ascii="Arial" w:cs="Arial" w:eastAsia="Arial" w:hAnsi="Arial"/>
          <w:sz w:val="18"/>
          <w:szCs w:val="18"/>
          <w:color w:val="auto"/>
        </w:rPr>
      </w:pPr>
    </w:p>
    <w:p>
      <w:pPr>
        <w:ind w:left="640" w:right="60" w:firstLine="645"/>
        <w:spacing w:after="0" w:line="293" w:lineRule="auto"/>
        <w:tabs>
          <w:tab w:leader="none" w:pos="1944"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Instruments/Tangible Chattel Paper/Documents</w:t>
      </w:r>
      <w:r>
        <w:rPr>
          <w:rFonts w:ascii="Arial" w:cs="Arial" w:eastAsia="Arial" w:hAnsi="Arial"/>
          <w:sz w:val="16"/>
          <w:szCs w:val="16"/>
          <w:color w:val="auto"/>
        </w:rPr>
        <w:t>. If any amount in excess of $250,000 payable under or in connection with any of the Collateral shall be or become evidenced by any Instrument or Tangible Chattel Paper, or if any property constituting Collateral shall be stored or shipped subject to a Document, ensure that such Instrument, Tangible Chattel Paper or Document is either in the possession of such Grantor at all times or, if requested by the Administrative Agent to perfect its security interest in such Collateral, is delivered to the Administrative Agent, duly endorsed in a manner satisfactory to the Administrative Agent. Such Grantor shall ensure that any Collateral consisting of Tangible Chattel Paper is marked with a legend acceptable to the Administrative Agent indicating the Administrative Agent’s security interest in such Tangible Chattel Paper.</w:t>
      </w:r>
    </w:p>
    <w:p>
      <w:pPr>
        <w:spacing w:after="0" w:line="164" w:lineRule="exact"/>
        <w:rPr>
          <w:rFonts w:ascii="Arial" w:cs="Arial" w:eastAsia="Arial" w:hAnsi="Arial"/>
          <w:sz w:val="16"/>
          <w:szCs w:val="16"/>
          <w:color w:val="auto"/>
        </w:rPr>
      </w:pPr>
    </w:p>
    <w:p>
      <w:pPr>
        <w:ind w:left="640" w:right="20" w:firstLine="645"/>
        <w:spacing w:after="0" w:line="290" w:lineRule="auto"/>
        <w:tabs>
          <w:tab w:leader="none" w:pos="1947"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Perfection of Security Interest</w:t>
      </w:r>
      <w:r>
        <w:rPr>
          <w:rFonts w:ascii="Arial" w:cs="Arial" w:eastAsia="Arial" w:hAnsi="Arial"/>
          <w:sz w:val="16"/>
          <w:szCs w:val="16"/>
          <w:color w:val="auto"/>
        </w:rPr>
        <w:t xml:space="preserve">. Execute and deliver to the Administrative Agent such agreements, assignments or instruments (including affidavits, notices, reaffirmations and amendments and restatements of existing documents, as the Administrative Agent shall reasonably request) and do all such other things as the Administrative Agent may reasonably deem necessary, appropriate or convenient (i) to assure to the Administrative Agent the effectiveness, perfection and priority of its security interests in the Collateral hereunder, including (A) such instruments as the Administrative Agent may from time to time reasonably request in order to perfect and maintain the security interests granted hereunder in accordance with the UCC, (B) with regard to Copyrights and Copyright Licenses, a Notice of Grant of Security Interest in Copyrights for filing with the United States Copyright Office in the form of </w:t>
      </w:r>
      <w:r>
        <w:rPr>
          <w:rFonts w:ascii="Arial" w:cs="Arial" w:eastAsia="Arial" w:hAnsi="Arial"/>
          <w:sz w:val="16"/>
          <w:szCs w:val="16"/>
          <w:u w:val="single" w:color="auto"/>
          <w:color w:val="auto"/>
        </w:rPr>
        <w:t>Exhibit 5(c)(i)</w:t>
      </w:r>
      <w:r>
        <w:rPr>
          <w:rFonts w:ascii="Arial" w:cs="Arial" w:eastAsia="Arial" w:hAnsi="Arial"/>
          <w:sz w:val="16"/>
          <w:szCs w:val="16"/>
          <w:color w:val="auto"/>
        </w:rPr>
        <w:t xml:space="preserve"> attached hereto, (C) with regard to Patents and Patent Licenses, a Notice of Grant of Security Interest in Patents for filing with the United States Patent and Trademark Office in the form of </w:t>
      </w:r>
      <w:r>
        <w:rPr>
          <w:rFonts w:ascii="Arial" w:cs="Arial" w:eastAsia="Arial" w:hAnsi="Arial"/>
          <w:sz w:val="16"/>
          <w:szCs w:val="16"/>
          <w:u w:val="single" w:color="auto"/>
          <w:color w:val="auto"/>
        </w:rPr>
        <w:t>Exhibit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0"/>
        <w:spacing w:after="0" w:line="284" w:lineRule="auto"/>
        <w:rPr>
          <w:sz w:val="20"/>
          <w:szCs w:val="20"/>
          <w:color w:val="auto"/>
        </w:rPr>
      </w:pPr>
      <w:r>
        <w:rPr>
          <w:rFonts w:ascii="Arial" w:cs="Arial" w:eastAsia="Arial" w:hAnsi="Arial"/>
          <w:sz w:val="16"/>
          <w:szCs w:val="16"/>
          <w:u w:val="single" w:color="auto"/>
          <w:color w:val="auto"/>
        </w:rPr>
        <w:t>5(c)(ii)</w:t>
      </w:r>
      <w:r>
        <w:rPr>
          <w:rFonts w:ascii="Arial" w:cs="Arial" w:eastAsia="Arial" w:hAnsi="Arial"/>
          <w:sz w:val="16"/>
          <w:szCs w:val="16"/>
          <w:color w:val="auto"/>
        </w:rPr>
        <w:t xml:space="preserve"> attached hereto and (D) with regard to Trademarks registered with the United States Patent and Trademark Office and all applications for Trademarks filed with the United States Patent and Trademark Office and Trademark Licenses, a Notice of Grant of Security Interest in Trademarks for filing with the United States Patent and Trademark Office in the form of </w:t>
      </w:r>
      <w:r>
        <w:rPr>
          <w:rFonts w:ascii="Arial" w:cs="Arial" w:eastAsia="Arial" w:hAnsi="Arial"/>
          <w:sz w:val="16"/>
          <w:szCs w:val="16"/>
          <w:u w:val="single" w:color="auto"/>
          <w:color w:val="auto"/>
        </w:rPr>
        <w:t>Exhibit 5(c)(iii)</w:t>
      </w:r>
      <w:r>
        <w:rPr>
          <w:rFonts w:ascii="Arial" w:cs="Arial" w:eastAsia="Arial" w:hAnsi="Arial"/>
          <w:sz w:val="16"/>
          <w:szCs w:val="16"/>
          <w:color w:val="auto"/>
        </w:rPr>
        <w:t xml:space="preserve"> attached hereto, (ii) to consummate the transactions contemplated hereby and (iii) to otherwise protect and assure the Administrative Agent of its rights and interests hereunder. To that end, each Grantor authorizes the Administrative Agent to file one or more financing statements (including authorization to describe the Collateral as “all assets” or words of similar meaning) disclosing the Administrative Agent’s security interest in any or all of the Collateral of such Grantor without such Grantor’s signature thereon, and further each Grantor also hereby irrevocably makes, constitutes and appoints the Administrative Agent, its nominee or any other Person whom the Administrative Agent may designate, as such Grantor’s attorney-in-fact with full power and for the limited purpose to sign in the name of such Grantor any such financing statements (including renewal statements), amendments and supplements, notices or any similar documents that in the Administrative Agent’s reasonable discretion would be necessary, appropriate or convenient in order to perfect and maintain perfection of the security interests granted hereunder, such power, being coupled with an interest, being and remaining irrevocable so long as the Secured Obligations (other than contingent indemnification obligations for which no claim has been asserted) remain unpaid and until the Commitments relating thereto shall have been terminated. Each Grantor hereby agrees that a carbon, photographic or other reproduction of this Security Agreement or any such financing statement is sufficient for filing as a financing statement by the Administrative Agent without notice thereof to such Grantor wherever the Administrative Agent may in its sole discretion desire to file the same. In the event for any reason the law of any jurisdiction other than New York becomes or is applicable to the Collateral of any Grantor or any part thereof, or to any of the Secured Obligations, such Grantor agrees to execute and deliver all such instruments and to do all such other things as the Administrative Agent in its sole discretion reasonably deems necessary, appropriate or convenient to preserve, protect and enforce the security interests of the Administrative Agent under the law of such other jurisdiction (and, if a Grantor shall fail to do so promptly upon the request of the Administrative Agent, then the Administrative Agent may execute any and all such requested documents on behalf of such Grantor pursuant to the power of attorney granted hereinabove). If any Collateral is in the possession or control of a Grantor’s agents and the Administrative Agent so requests, such Grantor agrees to notify such agents in writing of the Administrative Agent’s security interest therein and, upon the Administrative Agent’s request, instruct them to hold all such Collateral for the account of the Secured Parties, subject to the Administrative Agent’s instructions. Each Grantor agrees to mark its books and records to reflect the security interest of the Administrative Agent in the Collateral.</w:t>
      </w:r>
    </w:p>
    <w:p>
      <w:pPr>
        <w:spacing w:after="0" w:line="395" w:lineRule="exact"/>
        <w:rPr>
          <w:sz w:val="20"/>
          <w:szCs w:val="20"/>
          <w:color w:val="auto"/>
        </w:rPr>
      </w:pPr>
    </w:p>
    <w:p>
      <w:pPr>
        <w:ind w:left="640" w:firstLine="645"/>
        <w:spacing w:after="0" w:line="286" w:lineRule="auto"/>
        <w:tabs>
          <w:tab w:leader="none" w:pos="1944"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Execute and deliver (and cause to be executed and delivered) all agreements, assignments, instruments or other documents as the Administrative Agent shall reasonably request for the purpose of obtaining and maintaining control within the meaning of the UCC with respect to any Collateral consisting of Deposit Accounts, Investment Property, Letter-of-Credit Rights and Electronic Chattel Paper.</w:t>
      </w:r>
    </w:p>
    <w:p>
      <w:pPr>
        <w:sectPr>
          <w:pgSz w:w="11900" w:h="16934" w:orient="portrait"/>
          <w:cols w:equalWidth="0" w:num="1">
            <w:col w:w="11380"/>
          </w:cols>
          <w:pgMar w:left="260" w:top="125" w:right="259" w:bottom="0" w:gutter="0" w:footer="0" w:header="0"/>
        </w:sectPr>
      </w:pPr>
    </w:p>
    <w:bookmarkStart w:id="109" w:name="page110"/>
    <w:bookmarkEnd w:id="109"/>
    <w:p>
      <w:pPr>
        <w:ind w:left="640" w:right="20" w:firstLine="645"/>
        <w:spacing w:after="0" w:line="291" w:lineRule="auto"/>
        <w:tabs>
          <w:tab w:leader="none" w:pos="1947" w:val="left"/>
        </w:tabs>
        <w:numPr>
          <w:ilvl w:val="1"/>
          <w:numId w:val="215"/>
        </w:numPr>
        <w:rPr>
          <w:rFonts w:ascii="Arial" w:cs="Arial" w:eastAsia="Arial" w:hAnsi="Arial"/>
          <w:sz w:val="16"/>
          <w:szCs w:val="16"/>
          <w:color w:val="auto"/>
        </w:rPr>
      </w:pPr>
      <w:r>
        <w:rPr>
          <w:rFonts w:ascii="Arial" w:cs="Arial" w:eastAsia="Arial" w:hAnsi="Arial"/>
          <w:sz w:val="16"/>
          <w:szCs w:val="16"/>
          <w:u w:val="single" w:color="auto"/>
          <w:color w:val="auto"/>
        </w:rPr>
        <w:t>Collateral held by Warehouseman, Bailee, etc</w:t>
      </w:r>
      <w:r>
        <w:rPr>
          <w:rFonts w:ascii="Arial" w:cs="Arial" w:eastAsia="Arial" w:hAnsi="Arial"/>
          <w:sz w:val="16"/>
          <w:szCs w:val="16"/>
          <w:color w:val="auto"/>
        </w:rPr>
        <w:t>. If any Collateral with a value greater than $250,000 is at any time in the possession or control of a warehouseman, bailee, agent or processor of such Grantor and is expected to remain in possession and control of such third party,</w:t>
      </w:r>
    </w:p>
    <w:p>
      <w:pPr>
        <w:ind w:left="640" w:right="380" w:hanging="4"/>
        <w:spacing w:after="0" w:line="261" w:lineRule="auto"/>
        <w:tabs>
          <w:tab w:leader="none" w:pos="85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notify the Administrative Agent of such possession or control and (ii) upon the Administrative Agent’s request, (A) notify such Person of the Administrative Agent’s security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80"/>
        <w:spacing w:after="0" w:line="255" w:lineRule="auto"/>
        <w:rPr>
          <w:sz w:val="20"/>
          <w:szCs w:val="20"/>
          <w:color w:val="auto"/>
        </w:rPr>
      </w:pPr>
      <w:r>
        <w:rPr>
          <w:rFonts w:ascii="Arial" w:cs="Arial" w:eastAsia="Arial" w:hAnsi="Arial"/>
          <w:sz w:val="18"/>
          <w:szCs w:val="18"/>
          <w:color w:val="auto"/>
        </w:rPr>
        <w:t xml:space="preserve">interest in such Collateral, (B) instruct such Person to hold all such Collateral for the Administrative Agent’s account and subject to the Administrative Agent’s instructions and (C) obtain an acknowledgment from such Person that it is holding such Collateral for the benefit of the Administrative Agent. Notwithstanding anything contained in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to the contrary, and for the avoidance of doubt, so long as no Event of Default shall have occurred and be continuing, no acknowledgement shall be required from Therapack Corporation with respect to any Collateral in its possession or control pursuant to that certain Master Services Agreement dated March 2, 2010 among Therapack Corporation and the Borrower.</w:t>
      </w:r>
    </w:p>
    <w:p>
      <w:pPr>
        <w:spacing w:after="0" w:line="193" w:lineRule="exact"/>
        <w:rPr>
          <w:sz w:val="20"/>
          <w:szCs w:val="20"/>
          <w:color w:val="auto"/>
        </w:rPr>
      </w:pPr>
    </w:p>
    <w:p>
      <w:pPr>
        <w:ind w:left="640" w:right="80" w:firstLine="645"/>
        <w:spacing w:after="0" w:line="286" w:lineRule="auto"/>
        <w:tabs>
          <w:tab w:leader="none" w:pos="1941"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Treatment of Accounts</w:t>
      </w:r>
      <w:r>
        <w:rPr>
          <w:rFonts w:ascii="Arial" w:cs="Arial" w:eastAsia="Arial" w:hAnsi="Arial"/>
          <w:sz w:val="17"/>
          <w:szCs w:val="17"/>
          <w:color w:val="auto"/>
        </w:rPr>
        <w:t>. Not grant or extend the time for payment of any Account, or compromise or settle any Account for less than the full amount thereof, or release any Person or property, in whole or in part, from payment thereof, or allow any credit or discount thereon, in each case other than as normal and customary in the ordinary course of a Grantor’s business or as required by law.</w:t>
      </w:r>
    </w:p>
    <w:p>
      <w:pPr>
        <w:spacing w:after="0" w:line="165" w:lineRule="exact"/>
        <w:rPr>
          <w:rFonts w:ascii="Arial" w:cs="Arial" w:eastAsia="Arial" w:hAnsi="Arial"/>
          <w:sz w:val="17"/>
          <w:szCs w:val="17"/>
          <w:color w:val="auto"/>
        </w:rPr>
      </w:pPr>
    </w:p>
    <w:p>
      <w:pPr>
        <w:ind w:left="640" w:right="160" w:firstLine="645"/>
        <w:spacing w:after="0" w:line="277" w:lineRule="auto"/>
        <w:tabs>
          <w:tab w:leader="none" w:pos="1957"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Insure, repair and replace the Collateral of such Grantor as set forth in the Credit Agreement. All insurance proceeds shall be subject to the security interest of the Administrative Agent hereunder.</w:t>
      </w:r>
    </w:p>
    <w:p>
      <w:pPr>
        <w:spacing w:after="0" w:line="170" w:lineRule="exact"/>
        <w:rPr>
          <w:rFonts w:ascii="Arial" w:cs="Arial" w:eastAsia="Arial" w:hAnsi="Arial"/>
          <w:sz w:val="18"/>
          <w:szCs w:val="18"/>
          <w:color w:val="auto"/>
        </w:rPr>
      </w:pPr>
    </w:p>
    <w:p>
      <w:pPr>
        <w:ind w:left="1940" w:hanging="655"/>
        <w:spacing w:after="0"/>
        <w:tabs>
          <w:tab w:leader="none" w:pos="1940"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Commercial Tort Claims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280" w:firstLine="653"/>
        <w:spacing w:after="0" w:line="277" w:lineRule="auto"/>
        <w:tabs>
          <w:tab w:leader="none" w:pos="2598" w:val="left"/>
        </w:tabs>
        <w:numPr>
          <w:ilvl w:val="2"/>
          <w:numId w:val="217"/>
        </w:numPr>
        <w:rPr>
          <w:rFonts w:ascii="Arial" w:cs="Arial" w:eastAsia="Arial" w:hAnsi="Arial"/>
          <w:sz w:val="18"/>
          <w:szCs w:val="18"/>
          <w:color w:val="auto"/>
        </w:rPr>
      </w:pPr>
      <w:r>
        <w:rPr>
          <w:rFonts w:ascii="Arial" w:cs="Arial" w:eastAsia="Arial" w:hAnsi="Arial"/>
          <w:sz w:val="18"/>
          <w:szCs w:val="18"/>
          <w:color w:val="auto"/>
        </w:rPr>
        <w:t>Promptly notify the Administrative Agent in writing of the initiation of any Commercial Tort Claim seeking monetary damages of $250,000, before any Governmental Authority by or in favor of such Grantor.</w:t>
      </w:r>
    </w:p>
    <w:p>
      <w:pPr>
        <w:spacing w:after="0" w:line="170" w:lineRule="exact"/>
        <w:rPr>
          <w:rFonts w:ascii="Arial" w:cs="Arial" w:eastAsia="Arial" w:hAnsi="Arial"/>
          <w:sz w:val="18"/>
          <w:szCs w:val="18"/>
          <w:color w:val="auto"/>
        </w:rPr>
      </w:pPr>
    </w:p>
    <w:p>
      <w:pPr>
        <w:ind w:left="1280" w:right="80" w:firstLine="653"/>
        <w:spacing w:after="0" w:line="264" w:lineRule="auto"/>
        <w:tabs>
          <w:tab w:leader="none" w:pos="260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Execute and deliver such statements, documents and notices and do and cause to be done all such things as the Administrative Agent may reasonably deem necessary, appropriate or convenient, or as are required by law, to create, preserve, perfect and maintain the Administrative Agent’s security interest in any such Commercial Tort Claim.</w:t>
      </w:r>
    </w:p>
    <w:p>
      <w:pPr>
        <w:spacing w:after="0" w:line="181" w:lineRule="exact"/>
        <w:rPr>
          <w:rFonts w:ascii="Arial" w:cs="Arial" w:eastAsia="Arial" w:hAnsi="Arial"/>
          <w:sz w:val="18"/>
          <w:szCs w:val="18"/>
          <w:color w:val="auto"/>
        </w:rPr>
      </w:pPr>
    </w:p>
    <w:p>
      <w:pPr>
        <w:ind w:left="640" w:right="180" w:firstLine="645"/>
        <w:spacing w:after="0" w:line="264" w:lineRule="auto"/>
        <w:tabs>
          <w:tab w:leader="none" w:pos="1958"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Nature of Collateral</w:t>
      </w:r>
      <w:r>
        <w:rPr>
          <w:rFonts w:ascii="Arial" w:cs="Arial" w:eastAsia="Arial" w:hAnsi="Arial"/>
          <w:sz w:val="18"/>
          <w:szCs w:val="18"/>
          <w:color w:val="auto"/>
        </w:rPr>
        <w:t>. At all times maintain the Collateral as personal property and not affix any of the Collateral to any real property in a manner which would change its nature from personal property to real property or a Fixture to real property, unless the Administrative Agent shall have a perfected Lien on such Fixture or real property.</w:t>
      </w:r>
    </w:p>
    <w:p>
      <w:pPr>
        <w:spacing w:after="0" w:line="181" w:lineRule="exact"/>
        <w:rPr>
          <w:rFonts w:ascii="Arial" w:cs="Arial" w:eastAsia="Arial" w:hAnsi="Arial"/>
          <w:sz w:val="18"/>
          <w:szCs w:val="18"/>
          <w:color w:val="auto"/>
        </w:rPr>
      </w:pPr>
    </w:p>
    <w:p>
      <w:pPr>
        <w:ind w:left="640" w:right="20" w:firstLine="645"/>
        <w:spacing w:after="0" w:line="259" w:lineRule="auto"/>
        <w:tabs>
          <w:tab w:leader="none" w:pos="1944"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Collateral Access Agreements</w:t>
      </w:r>
      <w:r>
        <w:rPr>
          <w:rFonts w:ascii="Arial" w:cs="Arial" w:eastAsia="Arial" w:hAnsi="Arial"/>
          <w:sz w:val="18"/>
          <w:szCs w:val="18"/>
          <w:color w:val="auto"/>
        </w:rPr>
        <w:t>. For any real property leased by such Grantor that is subject to a Collateral Access Agreement in favor of the Administrative Agent, (i) promptly notify the Administrative Agent following a change in the identity of the lessor and (ii) use commercially reasonable efforts to obtain such replacement or new Collateral Access Agreements for such real property as the Administrative Agent may request as a result of such change in the identity of the lessor.</w:t>
      </w:r>
    </w:p>
    <w:p>
      <w:pPr>
        <w:spacing w:after="0" w:line="186" w:lineRule="exact"/>
        <w:rPr>
          <w:rFonts w:ascii="Arial" w:cs="Arial" w:eastAsia="Arial" w:hAnsi="Arial"/>
          <w:sz w:val="18"/>
          <w:szCs w:val="18"/>
          <w:color w:val="auto"/>
        </w:rPr>
      </w:pPr>
    </w:p>
    <w:p>
      <w:pPr>
        <w:ind w:left="-20" w:right="640" w:firstLine="656"/>
        <w:spacing w:after="0" w:line="264" w:lineRule="auto"/>
        <w:tabs>
          <w:tab w:leader="none" w:pos="1276"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Covenants Relating to IP Collateral</w:t>
      </w:r>
      <w:r>
        <w:rPr>
          <w:rFonts w:ascii="Arial" w:cs="Arial" w:eastAsia="Arial" w:hAnsi="Arial"/>
          <w:sz w:val="18"/>
          <w:szCs w:val="18"/>
          <w:color w:val="auto"/>
        </w:rPr>
        <w:t>. Each Grantor covenants that, so long as any of the Secured Obligations (other than contingent indemnification obligations for which no claim has been asserted) remains outstanding and until all of the Commitments relating thereto have been terminated, such Grantor shall:+</w:t>
      </w:r>
    </w:p>
    <w:p>
      <w:pPr>
        <w:spacing w:after="0" w:line="181" w:lineRule="exact"/>
        <w:rPr>
          <w:rFonts w:ascii="Arial" w:cs="Arial" w:eastAsia="Arial" w:hAnsi="Arial"/>
          <w:sz w:val="18"/>
          <w:szCs w:val="18"/>
          <w:color w:val="auto"/>
        </w:rPr>
      </w:pPr>
    </w:p>
    <w:p>
      <w:pPr>
        <w:ind w:left="640" w:right="40" w:firstLine="645"/>
        <w:spacing w:after="0" w:line="308" w:lineRule="auto"/>
        <w:tabs>
          <w:tab w:leader="none" w:pos="1934"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Covenants Relating to Copyrights</w:t>
      </w:r>
      <w:r>
        <w:rPr>
          <w:rFonts w:ascii="Arial" w:cs="Arial" w:eastAsia="Arial" w:hAnsi="Arial"/>
          <w:sz w:val="17"/>
          <w:szCs w:val="17"/>
          <w:color w:val="auto"/>
        </w:rPr>
        <w:t>. (i) Not do any act, or knowingly omit to do any act, whereby any Copyright owned by it that is a Material IP Right may become dedicated to the public domain, (ii) notify the Administrative Agent immediately if it knows that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80"/>
        <w:spacing w:after="0" w:line="255" w:lineRule="auto"/>
        <w:rPr>
          <w:sz w:val="20"/>
          <w:szCs w:val="20"/>
          <w:color w:val="auto"/>
        </w:rPr>
      </w:pPr>
      <w:r>
        <w:rPr>
          <w:rFonts w:ascii="Arial" w:cs="Arial" w:eastAsia="Arial" w:hAnsi="Arial"/>
          <w:sz w:val="18"/>
          <w:szCs w:val="18"/>
          <w:color w:val="auto"/>
        </w:rPr>
        <w:t>Copyright owned by it that is a Material IP Right may become dedicated to the public domain or of any adverse determination or development (including, without limitation, the institution of, or any such determination or development in, any court or tribunal in the United States or any other country) regarding a Grantor’s ownership of any such Copyright or its validity or enforceability and (iii) take all necessary steps as it shall deem appropriate under the circumstances, to maintain and pursue each application (and to obtain the relevant registration) of each Copyright owned by it that is a Material IP Right and to maintain each registration of each Copyright owned by it that is a Material IP Right including, without limitation, filing of applications for renewal where necessary.</w:t>
      </w:r>
    </w:p>
    <w:p>
      <w:pPr>
        <w:spacing w:after="0" w:line="193" w:lineRule="exact"/>
        <w:rPr>
          <w:sz w:val="20"/>
          <w:szCs w:val="20"/>
          <w:color w:val="auto"/>
        </w:rPr>
      </w:pPr>
    </w:p>
    <w:p>
      <w:pPr>
        <w:ind w:left="1940" w:hanging="655"/>
        <w:spacing w:after="0"/>
        <w:tabs>
          <w:tab w:leader="none" w:pos="19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Covenants Relating to Patents and Trademarks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firstLine="653"/>
        <w:spacing w:after="0" w:line="257" w:lineRule="auto"/>
        <w:tabs>
          <w:tab w:leader="none" w:pos="259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 Maintain as in the past the quality of products and services offered under each Trademark owned by such Grantor that is a Material IP Right, (B) employ each Trademark owned by such Grantor that is a Material IP Right with the appropriate notice of registration, if applicable, and (C) not adopt or use any mark that is confusingly similar or a colorable imitation of such Trademarks unless the Administrative Agent, for the ratable benefit of the Secured Parties, shall obtain a perfected security interest in such Trademark pursuant to this Security Agreement.</w:t>
      </w:r>
    </w:p>
    <w:p>
      <w:pPr>
        <w:spacing w:after="0" w:line="188" w:lineRule="exact"/>
        <w:rPr>
          <w:rFonts w:ascii="Arial" w:cs="Arial" w:eastAsia="Arial" w:hAnsi="Arial"/>
          <w:sz w:val="18"/>
          <w:szCs w:val="18"/>
          <w:color w:val="auto"/>
        </w:rPr>
      </w:pPr>
    </w:p>
    <w:p>
      <w:pPr>
        <w:ind w:left="1280" w:firstLine="653"/>
        <w:spacing w:after="0" w:line="293" w:lineRule="auto"/>
        <w:tabs>
          <w:tab w:leader="none" w:pos="260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Notify the Administrative Agent promptly if it knows that any Patent or Trademark owned by a Grantor that is a Material IP Right, or any application or registration relating to any Patent or Trademark owned by a Grantor that is a Material IP Right may become abandoned, invalidated, rendered unenforceable or dedicated to the public, or of any adverse determination or development (including, without limitation, the institution of, or any such determination or development in, any proceeding in the United States Patent and Trademark Office, or any similar office or agency in any other country or any political subdivision thereof or any court or tribunal in any country) regarding a Grantor’s ownership of any such Patent or Trademark or its right to register the same or to keep and maintain the same.</w:t>
      </w:r>
    </w:p>
    <w:p>
      <w:pPr>
        <w:sectPr>
          <w:pgSz w:w="11900" w:h="16838" w:orient="portrait"/>
          <w:cols w:equalWidth="0" w:num="1">
            <w:col w:w="11380"/>
          </w:cols>
          <w:pgMar w:left="260" w:top="341" w:right="259" w:bottom="0" w:gutter="0" w:footer="0" w:header="0"/>
        </w:sectPr>
      </w:pPr>
    </w:p>
    <w:bookmarkStart w:id="110" w:name="page111"/>
    <w:bookmarkEnd w:id="110"/>
    <w:p>
      <w:pPr>
        <w:spacing w:after="0" w:line="83" w:lineRule="exact"/>
        <w:rPr>
          <w:sz w:val="20"/>
          <w:szCs w:val="20"/>
          <w:color w:val="auto"/>
        </w:rPr>
      </w:pPr>
    </w:p>
    <w:p>
      <w:pPr>
        <w:jc w:val="both"/>
        <w:ind w:left="1280" w:right="60" w:firstLine="653"/>
        <w:spacing w:after="0" w:line="302" w:lineRule="auto"/>
        <w:tabs>
          <w:tab w:leader="none" w:pos="2617"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Take all reasonable and necessary steps, including, without limitation, in any proceeding before the United States Patent and Trademark Office or any similar office or agency in any other country or any political subdivision thereof, to maintain and pursue each application (and to obtain the relevant registration) and to maintain each registration of each Patent and Trademark owned by a Grantor that is a Material IP Right, including, without limitation, filing of applications for renewal, affidavits of use and affidavits of incontestability.</w:t>
      </w:r>
    </w:p>
    <w:p>
      <w:pPr>
        <w:spacing w:after="0" w:line="154" w:lineRule="exact"/>
        <w:rPr>
          <w:rFonts w:ascii="Arial" w:cs="Arial" w:eastAsia="Arial" w:hAnsi="Arial"/>
          <w:sz w:val="16"/>
          <w:szCs w:val="16"/>
          <w:color w:val="auto"/>
        </w:rPr>
      </w:pPr>
    </w:p>
    <w:p>
      <w:pPr>
        <w:ind w:left="640" w:right="180" w:firstLine="645"/>
        <w:spacing w:after="0" w:line="277" w:lineRule="auto"/>
        <w:tabs>
          <w:tab w:leader="none" w:pos="194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 (and not permit any licensee or sublicensee thereof to) do any act, or omit to do any act, whereby any Material IP Right may become abandoned, invalidated, rendered unenforceable, diluted or dedicated to the public.</w:t>
      </w:r>
    </w:p>
    <w:p>
      <w:pPr>
        <w:spacing w:after="0" w:line="170" w:lineRule="exact"/>
        <w:rPr>
          <w:rFonts w:ascii="Arial" w:cs="Arial" w:eastAsia="Arial" w:hAnsi="Arial"/>
          <w:sz w:val="18"/>
          <w:szCs w:val="18"/>
          <w:color w:val="auto"/>
        </w:rPr>
      </w:pPr>
    </w:p>
    <w:p>
      <w:pPr>
        <w:ind w:left="1940" w:hanging="655"/>
        <w:spacing w:after="0"/>
        <w:tabs>
          <w:tab w:leader="none" w:pos="19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Use commercially reasonable efforts to maintain the confidentiality of all Confidential Information and Trade Secrets.</w:t>
      </w:r>
    </w:p>
    <w:p>
      <w:pPr>
        <w:spacing w:after="0" w:line="225" w:lineRule="exact"/>
        <w:rPr>
          <w:rFonts w:ascii="Arial" w:cs="Arial" w:eastAsia="Arial" w:hAnsi="Arial"/>
          <w:sz w:val="18"/>
          <w:szCs w:val="18"/>
          <w:color w:val="auto"/>
        </w:rPr>
      </w:pPr>
    </w:p>
    <w:p>
      <w:pPr>
        <w:ind w:left="640" w:right="160" w:firstLine="645"/>
        <w:spacing w:after="0" w:line="312" w:lineRule="auto"/>
        <w:tabs>
          <w:tab w:leader="none" w:pos="194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Upon request of the Administrative Agent, execute and deliver any and all agreements, instruments, documents and papers as the Administrative Agent may reasonably request to evidence and perfect the security interest of the Administrative Agent and the Secured Parties in any IP Rights in the Collateral and the goodwill and general intangibles of a Grantor relating thereto or represented thereby.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20" w:firstLine="645"/>
        <w:spacing w:after="0" w:line="259" w:lineRule="auto"/>
        <w:tabs>
          <w:tab w:leader="none" w:pos="194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Promptly notify the Administrative Agent of any infringement, violation, misappropriation or dilution of any Material IP Right of which it becomes aware and take such actions as it shall reasonably deem appropriate under the circumstances to protect such Material IP Right, including, where appropriate, the bringing of suit for infringement, violation, misappropriation or dilution, seeking injunctive relief and seeking to recover any and all damages for such infringement, violation, misappropriation or dilution.</w:t>
      </w:r>
    </w:p>
    <w:p>
      <w:pPr>
        <w:spacing w:after="0" w:line="186" w:lineRule="exact"/>
        <w:rPr>
          <w:rFonts w:ascii="Arial" w:cs="Arial" w:eastAsia="Arial" w:hAnsi="Arial"/>
          <w:sz w:val="18"/>
          <w:szCs w:val="18"/>
          <w:color w:val="auto"/>
        </w:rPr>
      </w:pPr>
    </w:p>
    <w:p>
      <w:pPr>
        <w:ind w:left="640" w:right="60" w:firstLine="645"/>
        <w:spacing w:after="0" w:line="277" w:lineRule="auto"/>
        <w:tabs>
          <w:tab w:leader="none" w:pos="1957"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Not make any assignment or agreement in conflict with the security interest in the IP Rights of each Grantor hereunder (other than as permitted by the Credit Agreement).</w:t>
      </w:r>
    </w:p>
    <w:p>
      <w:pPr>
        <w:spacing w:after="0" w:line="170" w:lineRule="exact"/>
        <w:rPr>
          <w:rFonts w:ascii="Arial" w:cs="Arial" w:eastAsia="Arial" w:hAnsi="Arial"/>
          <w:sz w:val="18"/>
          <w:szCs w:val="18"/>
          <w:color w:val="auto"/>
        </w:rPr>
      </w:pPr>
    </w:p>
    <w:p>
      <w:pPr>
        <w:ind w:left="-20" w:right="60" w:firstLine="656"/>
        <w:spacing w:after="0" w:line="287" w:lineRule="auto"/>
        <w:tabs>
          <w:tab w:leader="none" w:pos="1276"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xml:space="preserve">. On failure of any Grantor to perform any of the covenants and agreements contained herein or in any other Loan Document, the Administrative Agent may, at its sole option and in its sole discretion, perform the same and in so doing may expend such sums as the Administrative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that the Administrative Agent may make for the protection of the security hereof or that may be compelled to make by operation of law. All such sums and amounts so expended shall be repayable by the Grantors, on demand, on a joint and several basis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promptly upon timely notice thereof and demand therefor, shall constitute additional Secured Obligations and shall bear interest from the date said amounts are expended at the Default Rate. No such performance of any covenant or agreement by the Administrative Agent on behalf of any Grantor, and no such advance or expenditure therefor, shall relieve the Grantors of any Default or Event of Default. The Administrative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 Grantor in appropriate proceedings and against which adequate reserves are being maintained in accordance with GAAP.</w:t>
      </w:r>
    </w:p>
    <w:p>
      <w:pPr>
        <w:spacing w:after="0" w:line="168" w:lineRule="exact"/>
        <w:rPr>
          <w:rFonts w:ascii="Arial" w:cs="Arial" w:eastAsia="Arial" w:hAnsi="Arial"/>
          <w:sz w:val="16"/>
          <w:szCs w:val="16"/>
          <w:color w:val="auto"/>
        </w:rPr>
      </w:pPr>
    </w:p>
    <w:p>
      <w:pPr>
        <w:ind w:left="1280" w:hanging="644"/>
        <w:spacing w:after="0"/>
        <w:tabs>
          <w:tab w:leader="none" w:pos="128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80" w:firstLine="645"/>
        <w:spacing w:after="0" w:line="268" w:lineRule="auto"/>
        <w:tabs>
          <w:tab w:leader="none" w:pos="1934"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General Remedies</w:t>
      </w:r>
      <w:r>
        <w:rPr>
          <w:rFonts w:ascii="Arial" w:cs="Arial" w:eastAsia="Arial" w:hAnsi="Arial"/>
          <w:sz w:val="17"/>
          <w:szCs w:val="17"/>
          <w:color w:val="auto"/>
        </w:rPr>
        <w:t>. Upon the occurrence of an Event of Default and during the continuation thereof, the Administrative Agent shall have, in addition to the rights and remedies provided herein, in the Loan Documents, in any other documents relating to the Secured Obligations, or by law (including, without limitation, levy of attachment, garnishment and the rights and remedies set forth in the UCC of the jurisdiction applicable to the affected Collateral), the rights and remedies of a secured party under the UCC of the jurisdiction applicable to the affected Collateral and, further, the Administrative Agent may, with or without judicial process or the aid and assistance of others to the extent permitted by applicable law, (i) enter on any premises on which any of the Collateral may be located and, without resistance or interference by the Grantors, take possession of the Collateral, (ii) dispose of any Collateral on any such premises, (iii) require the Grantors to assemble and make available to the Administrative Agent at the expense of the Grantors any Collateral at any place and time designated by the Administrative Agent that is reasonably convenient to both parties, (iv) remove any Collateral from any such premises for the purpose of effecting the sale or other disposition thereof and/or (v) without demand and without advertisement, notice, hearing or process of law, all of which each of the Grantors hereby waives to the fullest extent permitted by law, at any place and time or times, sell and deliver any or all Collateral held by or for it at public or private sale, by one or more contracts, in one or more parcels, for cash, upon credit or otherwise, at such prices and upon such terms as the Administrative Agent deems advisable, in its sole discretion (subject to any and all mandatory legal requirements). Each of the Grantors acknowledges that any private sale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85" w:lineRule="auto"/>
        <w:rPr>
          <w:sz w:val="20"/>
          <w:szCs w:val="20"/>
          <w:color w:val="auto"/>
        </w:rPr>
      </w:pPr>
      <w:r>
        <w:rPr>
          <w:rFonts w:ascii="Arial" w:cs="Arial" w:eastAsia="Arial" w:hAnsi="Arial"/>
          <w:sz w:val="16"/>
          <w:szCs w:val="16"/>
          <w:color w:val="auto"/>
        </w:rPr>
        <w:t xml:space="preserve">referenced above may be at prices and on terms less favorable to the seller than the prices and terms that might have been obtained at a public sale. In addition to all other sums due the Administrative Agent and the Secured Parties with respect to the Secured Obligations, the Grantors shall pay the Administrative Agent and each of the Secured Parties all reasonable costs and expenses incurred by the Administrative Agent or any such Secured Party, in enforcing its remedies hereunder including, but not limited to, reasonable attorneys’ fees and court costs, in obtaining or liquidating the Collateral, in enforcing payment of the Secured Obligations, or in the prosecution or defense of any action or proceeding by or against the Administrative Agent or the Secured Parties or the Grantors concerning any matter arising out of or connected with this Security Agreement, any Collateral or the Secured Obligations, including, without limitation, any of the foregoing arising in, arising under or related to a case under Debtor Relief Laws. To the extent the rights of notice cannot be legally waived hereunder, each Grantor agrees that any requirement of reasonable notice shall be met if such notice, specifying the place of any public sale or the time after which any private sale is to be made, is personally served on or mailed, postage prepaid, to the Borrower in accordance with the notice provisions of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of the Credit Agreement at least ten (10) Business Days before the time of sale or other event giving rise to the requirement of such notice. The Administrative Agent may adjourn any public or private sale from time to time by announcement at the time and place fixed therefor, and such sale may, without further notice, be made at the time and place to which it was so adjourned. The Administrative Agent shall not be obligated to make any sale or other disposition of the Collateral regardless of notice having been given. To the extent permitted by law, any Secured Party may be a purchaser at any such sale. To the extent permitted by applicable law, each of the Grantors hereby waives all of its rights of redemption with respect to any such sale. Subject to the provisions of applicable law, the Administrative Agent and the Secured Parties may postpone or cause the postponement of the sale of all or any</w:t>
      </w:r>
    </w:p>
    <w:p>
      <w:pPr>
        <w:sectPr>
          <w:pgSz w:w="11900" w:h="16921" w:orient="portrait"/>
          <w:cols w:equalWidth="0" w:num="1">
            <w:col w:w="11400"/>
          </w:cols>
          <w:pgMar w:left="260" w:top="125" w:right="239" w:bottom="0" w:gutter="0" w:footer="0" w:header="0"/>
        </w:sectPr>
      </w:pPr>
    </w:p>
    <w:bookmarkStart w:id="111" w:name="page112"/>
    <w:bookmarkEnd w:id="111"/>
    <w:p>
      <w:pPr>
        <w:jc w:val="both"/>
        <w:ind w:left="4" w:right="200"/>
        <w:spacing w:after="0" w:line="264" w:lineRule="auto"/>
        <w:rPr>
          <w:sz w:val="20"/>
          <w:szCs w:val="20"/>
          <w:color w:val="auto"/>
        </w:rPr>
      </w:pPr>
      <w:r>
        <w:rPr>
          <w:rFonts w:ascii="Arial" w:cs="Arial" w:eastAsia="Arial" w:hAnsi="Arial"/>
          <w:sz w:val="18"/>
          <w:szCs w:val="18"/>
          <w:color w:val="auto"/>
        </w:rPr>
        <w:t>portion of the Collateral by announcement at the time and place of such sale, and such sale may, without further notice, to the extent permitted by law, be made at the time and place to which the sale was postponed, or the Administrative Agent may further postpone such sale by announcement made at such time and place.</w:t>
      </w:r>
    </w:p>
    <w:p>
      <w:pPr>
        <w:spacing w:after="0" w:line="181" w:lineRule="exact"/>
        <w:rPr>
          <w:sz w:val="20"/>
          <w:szCs w:val="20"/>
          <w:color w:val="auto"/>
        </w:rPr>
      </w:pPr>
    </w:p>
    <w:p>
      <w:pPr>
        <w:ind w:left="4" w:firstLine="645"/>
        <w:spacing w:after="0" w:line="268" w:lineRule="auto"/>
        <w:tabs>
          <w:tab w:leader="none" w:pos="1308"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Remedies Relating to Accounts</w:t>
      </w:r>
      <w:r>
        <w:rPr>
          <w:rFonts w:ascii="Arial" w:cs="Arial" w:eastAsia="Arial" w:hAnsi="Arial"/>
          <w:sz w:val="17"/>
          <w:szCs w:val="17"/>
          <w:color w:val="auto"/>
        </w:rPr>
        <w:t>. Upon the occurrence of an Event of Default and during the continuation thereof, whether or not the Administrative Agent has exercised any or all of its rights and remedies hereunder, (i) each Grantor will promptly upon request of the Administrative Agent instruct all account debtors to remit all payments in respect of Accounts to a mailing location selected by the Administrative Agent and (ii) the Administrative Agent shall have the right to enforce any Grantor’s rights against its customers and account debtors, and the Administrative Agent or its designee may notify (or require such Grantor to notify) any Grantor’s customers and account debtors that the Accounts of such Grantor have been assigned to the Administrative Agent or of the Administrative Agent’s security interest therein and may (either in its own name or in the name of a Grantor or both) demand, collect (including without limitation by way of a lockbox arrangement), receive, take receipt for, sell, sue for, compound, settle, compromise and give acquittance for any and all amounts due or to become due on any Account, and, in the Administrative Agent’s discretion, file any claim or take any other action or proceeding to protect and realize upon the security interest of the Secured Parties in the Accounts. Each Grantor acknowledges and agrees that the Proceeds of its Accounts remitted to or on behalf of the Administrative Agent in accordance with the provisions hereof shall be solely for the Administrative Agent’s own convenience and that such Grantor shall not have any right, title or interest in such Accounts or in any such other amounts except as expressly provided herein. The Administrative Agent and the other Secured Parties shall have no liability or responsibility to any Grantor for acceptance of a check, draft or other order for payment of money bearing the legend “payment in full” or words of similar import or any other restrictive legend or endorsement or be responsible for determining the correctness of any remittance. Furthermore, upon the occurrence</w:t>
      </w:r>
    </w:p>
    <w:p>
      <w:pPr>
        <w:spacing w:after="0" w:line="18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color w:val="auto"/>
        </w:rPr>
        <w:t>of an Event of Default and during the continuation thereof, (i) the Administrative Agent shall have the right, but not the obligation, to make test verifications of the Accounts in any manner and through any medium that it reasonably considers advisable, and the Grantors shall furnish all such assistance and information as the Administrative Agent may require in connection with such test verifications, (ii) upon the Administrative Agent’s request and at the expense of the Grantors, the Grantors shall cause independent public accountants or others satisfactory to the Administrative Agent to furnish to the Administrative Agent reports showing reconciliations, aging and test verifications of and trial balances for, the Accounts and</w:t>
      </w:r>
    </w:p>
    <w:p>
      <w:pPr>
        <w:spacing w:after="0" w:line="2" w:lineRule="exact"/>
        <w:rPr>
          <w:sz w:val="20"/>
          <w:szCs w:val="20"/>
          <w:color w:val="auto"/>
        </w:rPr>
      </w:pPr>
    </w:p>
    <w:p>
      <w:pPr>
        <w:ind w:left="4" w:right="120" w:hanging="4"/>
        <w:spacing w:after="0" w:line="261" w:lineRule="auto"/>
        <w:tabs>
          <w:tab w:leader="none" w:pos="31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Administrative Agent in its own name or in the name of others may communicate with account debtors on the Accounts to verify with them to the Administrative Agent’s satisfaction the existence, amount and terms of any Accounts.</w:t>
      </w:r>
    </w:p>
    <w:p>
      <w:pPr>
        <w:spacing w:after="0" w:line="183" w:lineRule="exact"/>
        <w:rPr>
          <w:rFonts w:ascii="Arial" w:cs="Arial" w:eastAsia="Arial" w:hAnsi="Arial"/>
          <w:sz w:val="18"/>
          <w:szCs w:val="18"/>
          <w:color w:val="auto"/>
        </w:rPr>
      </w:pPr>
    </w:p>
    <w:p>
      <w:pPr>
        <w:ind w:left="4" w:right="140" w:firstLine="645"/>
        <w:spacing w:after="0" w:line="255" w:lineRule="auto"/>
        <w:tabs>
          <w:tab w:leader="none" w:pos="1311"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In addition to the rights and remedies hereunder, upon the occurrence of an Event of Default and during the continuation thereof, the Administrative Agent shall have the right to enter and remain upon the various premises of the Grantors without cost or charge to the Administrative Agent and use the same, together with materials, supplies, books and records of the Grantors for the purpose of collecting and liquidating the Collateral, or for preparing for sale and conducting the sale of the Collateral, whether by foreclosure, auction or otherwise. In addition, the Administrative Agent may remove Collateral, or any part thereof, from such premises and/or any records with respect thereto, in order to effectively collect or liquidate such Collateral.</w:t>
      </w:r>
    </w:p>
    <w:p>
      <w:pPr>
        <w:spacing w:after="0" w:line="193" w:lineRule="exact"/>
        <w:rPr>
          <w:rFonts w:ascii="Arial" w:cs="Arial" w:eastAsia="Arial" w:hAnsi="Arial"/>
          <w:sz w:val="18"/>
          <w:szCs w:val="18"/>
          <w:color w:val="auto"/>
        </w:rPr>
      </w:pPr>
    </w:p>
    <w:p>
      <w:pPr>
        <w:ind w:left="4" w:right="40" w:firstLine="645"/>
        <w:spacing w:after="0" w:line="253" w:lineRule="auto"/>
        <w:tabs>
          <w:tab w:leader="none" w:pos="1308"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Nonexclusive Nature of Remedies</w:t>
      </w:r>
      <w:r>
        <w:rPr>
          <w:rFonts w:ascii="Arial" w:cs="Arial" w:eastAsia="Arial" w:hAnsi="Arial"/>
          <w:sz w:val="18"/>
          <w:szCs w:val="18"/>
          <w:color w:val="auto"/>
        </w:rPr>
        <w:t>. Failure by the Administrative Agent or the Secured Parties to exercise any right, remedy or option under this Security Agreement, any other Loan Document, any other documents relating to the Secured Obligations, or as provided by law, or any delay by the Administrative Agent or the Secured Parties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Administrative Agent or the Secured Parties shall only be granted as provided herein. To the extent permitted by law, neither the Administrative Agent, the Secured Parties, nor any party acting as attorney for the Administrative Agent or the Secured Parties, shall be liable hereunder for any acts or omissions or for any error of judgment or mistake of fact or law other than their gross negligence or willful misconduct hereunder. The rights and remedies of the Administrative Agent and the Secured Parties under this Security Agreement shall be cumulative and not exclusive of any other right or remedy that the Administrative Agent or the Secured Parties may have.</w:t>
      </w:r>
    </w:p>
    <w:p>
      <w:pPr>
        <w:spacing w:after="0" w:line="194" w:lineRule="exact"/>
        <w:rPr>
          <w:rFonts w:ascii="Arial" w:cs="Arial" w:eastAsia="Arial" w:hAnsi="Arial"/>
          <w:sz w:val="18"/>
          <w:szCs w:val="18"/>
          <w:color w:val="auto"/>
        </w:rPr>
      </w:pPr>
    </w:p>
    <w:p>
      <w:pPr>
        <w:ind w:left="4" w:right="80" w:firstLine="645"/>
        <w:spacing w:after="0" w:line="276" w:lineRule="auto"/>
        <w:tabs>
          <w:tab w:leader="none" w:pos="1311"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t>Retention of Collateral</w:t>
      </w:r>
      <w:r>
        <w:rPr>
          <w:rFonts w:ascii="Arial" w:cs="Arial" w:eastAsia="Arial" w:hAnsi="Arial"/>
          <w:sz w:val="17"/>
          <w:szCs w:val="17"/>
          <w:color w:val="auto"/>
        </w:rPr>
        <w:t>. To the extent permitted by applicable law, in addition to the rights and remedies hereunder, the Administrative Agent may, in compliance with Sections 9-620 and 9-621 of the UCC (or any successor section) or otherwise complying with the requirements of applicable law of the relevant jurisdiction, accept or retain all or any portion of the Collateral in satisfaction of the Secured Obligations. Unless and until the Administrative Agent shall have provided such notices, however, the Administrative Agent shall not be deemed to have accepted or retained any Collateral in satisfaction of any Secured Obligations for any reason.</w:t>
      </w:r>
    </w:p>
    <w:p>
      <w:pPr>
        <w:spacing w:after="0" w:line="172" w:lineRule="exact"/>
        <w:rPr>
          <w:rFonts w:ascii="Arial" w:cs="Arial" w:eastAsia="Arial" w:hAnsi="Arial"/>
          <w:sz w:val="17"/>
          <w:szCs w:val="17"/>
          <w:color w:val="auto"/>
        </w:rPr>
      </w:pPr>
    </w:p>
    <w:p>
      <w:pPr>
        <w:ind w:left="4" w:right="360" w:firstLine="645"/>
        <w:spacing w:after="0" w:line="259" w:lineRule="auto"/>
        <w:tabs>
          <w:tab w:leader="none" w:pos="1305"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Deficiency</w:t>
      </w:r>
      <w:r>
        <w:rPr>
          <w:rFonts w:ascii="Arial" w:cs="Arial" w:eastAsia="Arial" w:hAnsi="Arial"/>
          <w:sz w:val="18"/>
          <w:szCs w:val="18"/>
          <w:color w:val="auto"/>
        </w:rPr>
        <w:t xml:space="preserve">. In the event that the proceeds of any sale, collection or realization are insufficient to pay all amounts to which the Administrative Agent or the Secured Parties are legally entitled, the Grantors shall be jointly and severally liable for the deficiency (subject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together with interest thereon at the Default Rate, together with the costs of collection and the reasonable fees, charges and disbursements of counsel. Any surplus remaining</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20"/>
        <w:spacing w:after="0" w:line="277" w:lineRule="auto"/>
        <w:rPr>
          <w:sz w:val="20"/>
          <w:szCs w:val="20"/>
          <w:color w:val="auto"/>
        </w:rPr>
      </w:pPr>
      <w:r>
        <w:rPr>
          <w:rFonts w:ascii="Arial" w:cs="Arial" w:eastAsia="Arial" w:hAnsi="Arial"/>
          <w:sz w:val="18"/>
          <w:szCs w:val="18"/>
          <w:color w:val="auto"/>
        </w:rPr>
        <w:t>after the full payment and satisfaction of the Secured Obligations shall be returned to the Grantors or to whomsoever a court of competent jurisdiction shall determine to be entitled thereto.</w:t>
      </w:r>
    </w:p>
    <w:p>
      <w:pPr>
        <w:spacing w:after="0" w:line="170" w:lineRule="exact"/>
        <w:rPr>
          <w:sz w:val="20"/>
          <w:szCs w:val="20"/>
          <w:color w:val="auto"/>
        </w:rPr>
      </w:pPr>
    </w:p>
    <w:p>
      <w:pPr>
        <w:ind w:left="644" w:hanging="644"/>
        <w:spacing w:after="0"/>
        <w:tabs>
          <w:tab w:leader="none" w:pos="644"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Rights of the Administrative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80" w:firstLine="645"/>
        <w:spacing w:after="0" w:line="259" w:lineRule="auto"/>
        <w:tabs>
          <w:tab w:leader="none" w:pos="1297"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In addition to other powers of attorney contained herein, each Grantor hereby designates and appoints the Administrative Agent, on behalf of the Secured Parties, and each of its designees or agents, as attorney-in-fact of such Grantor, irrevocably and with power of substitution, with authority to take any or all of the following actions upon the occurrence and during the continuation of an Event of Default:</w:t>
      </w:r>
    </w:p>
    <w:p>
      <w:pPr>
        <w:sectPr>
          <w:pgSz w:w="11900" w:h="16838" w:orient="portrait"/>
          <w:cols w:equalWidth="0" w:num="1">
            <w:col w:w="10764"/>
          </w:cols>
          <w:pgMar w:left="896" w:top="125" w:right="239" w:bottom="0" w:gutter="0" w:footer="0" w:header="0"/>
        </w:sectPr>
      </w:pPr>
    </w:p>
    <w:bookmarkStart w:id="112" w:name="page113"/>
    <w:bookmarkEnd w:id="112"/>
    <w:p>
      <w:pPr>
        <w:ind w:left="640" w:right="200" w:firstLine="653"/>
        <w:spacing w:after="0" w:line="277" w:lineRule="auto"/>
        <w:tabs>
          <w:tab w:leader="none" w:pos="195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demand, collect, settle, compromise and adjust, and give discharges and releases concerning the Collateral, all as the Administrative Agent may reasonably deem appropriate;</w:t>
      </w:r>
    </w:p>
    <w:p>
      <w:pPr>
        <w:spacing w:after="0" w:line="170" w:lineRule="exact"/>
        <w:rPr>
          <w:rFonts w:ascii="Arial" w:cs="Arial" w:eastAsia="Arial" w:hAnsi="Arial"/>
          <w:sz w:val="18"/>
          <w:szCs w:val="18"/>
          <w:color w:val="auto"/>
        </w:rPr>
      </w:pPr>
    </w:p>
    <w:p>
      <w:pPr>
        <w:ind w:left="640" w:firstLine="653"/>
        <w:spacing w:after="0" w:line="277" w:lineRule="auto"/>
        <w:tabs>
          <w:tab w:leader="none" w:pos="196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commence and prosecute any actions at any court for the purposes of collecting any of the Collateral and enforcing any other right in respect thereof;</w:t>
      </w:r>
    </w:p>
    <w:p>
      <w:pPr>
        <w:spacing w:after="0" w:line="170" w:lineRule="exact"/>
        <w:rPr>
          <w:rFonts w:ascii="Arial" w:cs="Arial" w:eastAsia="Arial" w:hAnsi="Arial"/>
          <w:sz w:val="18"/>
          <w:szCs w:val="18"/>
          <w:color w:val="auto"/>
        </w:rPr>
      </w:pPr>
    </w:p>
    <w:p>
      <w:pPr>
        <w:ind w:left="640" w:right="100" w:firstLine="653"/>
        <w:spacing w:after="0" w:line="277" w:lineRule="auto"/>
        <w:tabs>
          <w:tab w:leader="none" w:pos="197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defend, settle or compromise any action, suit or proceeding brought and, in connection therewith, give such discharge or release as the Administrative Agent may reasonably deem appropriate;</w:t>
      </w:r>
    </w:p>
    <w:p>
      <w:pPr>
        <w:spacing w:after="0" w:line="170" w:lineRule="exact"/>
        <w:rPr>
          <w:rFonts w:ascii="Arial" w:cs="Arial" w:eastAsia="Arial" w:hAnsi="Arial"/>
          <w:sz w:val="18"/>
          <w:szCs w:val="18"/>
          <w:color w:val="auto"/>
        </w:rPr>
      </w:pPr>
    </w:p>
    <w:p>
      <w:pPr>
        <w:ind w:left="640" w:right="40" w:firstLine="653"/>
        <w:spacing w:after="0" w:line="286" w:lineRule="auto"/>
        <w:tabs>
          <w:tab w:leader="none" w:pos="1953"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receive, open and dispose of mail addressed to a Grantor and endorse checks, notes, drafts, acceptances, money orders, bills of lading, warehouse receipts or other instruments or documents evidencing payment, shipment or storage of the goods giving rise to the Collateral on behalf of and in the name of such Grantor, or securing, or relating to such Collateral;</w:t>
      </w:r>
    </w:p>
    <w:p>
      <w:pPr>
        <w:spacing w:after="0" w:line="165" w:lineRule="exact"/>
        <w:rPr>
          <w:rFonts w:ascii="Arial" w:cs="Arial" w:eastAsia="Arial" w:hAnsi="Arial"/>
          <w:sz w:val="17"/>
          <w:szCs w:val="17"/>
          <w:color w:val="auto"/>
        </w:rPr>
      </w:pPr>
    </w:p>
    <w:p>
      <w:pPr>
        <w:ind w:left="1940" w:hanging="647"/>
        <w:spacing w:after="0"/>
        <w:tabs>
          <w:tab w:leader="none" w:pos="19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pay or discharge taxes, liens, security interests or other encumbrances levied or placed on or threatened against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210" w:lineRule="exact"/>
        <w:rPr>
          <w:rFonts w:ascii="Arial" w:cs="Arial" w:eastAsia="Arial" w:hAnsi="Arial"/>
          <w:sz w:val="16"/>
          <w:szCs w:val="16"/>
          <w:color w:val="auto"/>
        </w:rPr>
      </w:pPr>
    </w:p>
    <w:p>
      <w:pPr>
        <w:ind w:left="640" w:right="460" w:firstLine="653"/>
        <w:spacing w:after="0" w:line="342" w:lineRule="auto"/>
        <w:tabs>
          <w:tab w:leader="none" w:pos="195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direct any parties liable for any payment in connection with any of the Collateral to make payment of any and all monies due and to become due thereunder directly to the Administrative Agent or as the Administrative Agent shall direct;</w:t>
      </w:r>
    </w:p>
    <w:p>
      <w:pPr>
        <w:spacing w:after="0" w:line="123" w:lineRule="exact"/>
        <w:rPr>
          <w:rFonts w:ascii="Arial" w:cs="Arial" w:eastAsia="Arial" w:hAnsi="Arial"/>
          <w:sz w:val="16"/>
          <w:szCs w:val="16"/>
          <w:color w:val="auto"/>
        </w:rPr>
      </w:pPr>
    </w:p>
    <w:p>
      <w:pPr>
        <w:ind w:left="640" w:right="40" w:firstLine="653"/>
        <w:spacing w:after="0" w:line="277" w:lineRule="auto"/>
        <w:tabs>
          <w:tab w:leader="none" w:pos="196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receive payment of and receipt for any and all monies, claims and other amounts due and to become due at any time in respect of or arising out of any Collateral;</w:t>
      </w:r>
    </w:p>
    <w:p>
      <w:pPr>
        <w:spacing w:after="0" w:line="170" w:lineRule="exact"/>
        <w:rPr>
          <w:rFonts w:ascii="Arial" w:cs="Arial" w:eastAsia="Arial" w:hAnsi="Arial"/>
          <w:sz w:val="18"/>
          <w:szCs w:val="18"/>
          <w:color w:val="auto"/>
        </w:rPr>
      </w:pPr>
    </w:p>
    <w:p>
      <w:pPr>
        <w:ind w:left="1980" w:hanging="687"/>
        <w:spacing w:after="0"/>
        <w:tabs>
          <w:tab w:leader="none" w:pos="19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maintain (including determining not to renew, pursue or further file) and enforce all IP Rights, forming any part of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210" w:lineRule="exact"/>
        <w:rPr>
          <w:rFonts w:ascii="Arial" w:cs="Arial" w:eastAsia="Arial" w:hAnsi="Arial"/>
          <w:sz w:val="16"/>
          <w:szCs w:val="16"/>
          <w:color w:val="auto"/>
        </w:rPr>
      </w:pPr>
    </w:p>
    <w:p>
      <w:pPr>
        <w:ind w:left="640" w:right="120" w:firstLine="653"/>
        <w:spacing w:after="0" w:line="264" w:lineRule="auto"/>
        <w:tabs>
          <w:tab w:leader="none" w:pos="195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sell, assign, transfer, license, make any agreement in respect of, or otherwise deal with or exercise rights in respect of, any Collateral or the goods or services that have given rise thereto, as fully and completely as though the Administrative Agent were the absolute owner thereof for all purposes;</w:t>
      </w:r>
    </w:p>
    <w:p>
      <w:pPr>
        <w:spacing w:after="0" w:line="181" w:lineRule="exact"/>
        <w:rPr>
          <w:rFonts w:ascii="Arial" w:cs="Arial" w:eastAsia="Arial" w:hAnsi="Arial"/>
          <w:sz w:val="18"/>
          <w:szCs w:val="18"/>
          <w:color w:val="auto"/>
        </w:rPr>
      </w:pPr>
    </w:p>
    <w:p>
      <w:pPr>
        <w:ind w:left="1940" w:hanging="647"/>
        <w:spacing w:after="0"/>
        <w:tabs>
          <w:tab w:leader="none" w:pos="19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adjust and settle claims under any insurance policy relating thereto;</w:t>
      </w:r>
    </w:p>
    <w:p>
      <w:pPr>
        <w:spacing w:after="0" w:line="225" w:lineRule="exact"/>
        <w:rPr>
          <w:rFonts w:ascii="Arial" w:cs="Arial" w:eastAsia="Arial" w:hAnsi="Arial"/>
          <w:sz w:val="18"/>
          <w:szCs w:val="18"/>
          <w:color w:val="auto"/>
        </w:rPr>
      </w:pPr>
    </w:p>
    <w:p>
      <w:pPr>
        <w:ind w:left="640" w:right="380" w:firstLine="653"/>
        <w:spacing w:after="0" w:line="277" w:lineRule="auto"/>
        <w:tabs>
          <w:tab w:leader="none" w:pos="195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execute and deliver all assignments, conveyances, statements, financing statements, renewal financing statements, security and pledge agreements,</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affidavits, notices and other agreements, instruments and documents that the Administrative Agent may reasonably deem appropriate in order to perfect and maintain the security interests and liens granted in this Security Agreement and in order to fully consummate all of the transactions contemplated therein;</w:t>
      </w:r>
    </w:p>
    <w:p>
      <w:pPr>
        <w:spacing w:after="0" w:line="181" w:lineRule="exact"/>
        <w:rPr>
          <w:sz w:val="20"/>
          <w:szCs w:val="20"/>
          <w:color w:val="auto"/>
        </w:rPr>
      </w:pPr>
    </w:p>
    <w:p>
      <w:pPr>
        <w:ind w:left="1960" w:hanging="667"/>
        <w:spacing w:after="0"/>
        <w:tabs>
          <w:tab w:leader="none" w:pos="1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institute any foreclosure proceedings that the Administrative Agent may reasonably deem appropriate; and</w:t>
      </w:r>
    </w:p>
    <w:p>
      <w:pPr>
        <w:spacing w:after="0" w:line="225" w:lineRule="exact"/>
        <w:rPr>
          <w:rFonts w:ascii="Arial" w:cs="Arial" w:eastAsia="Arial" w:hAnsi="Arial"/>
          <w:sz w:val="18"/>
          <w:szCs w:val="18"/>
          <w:color w:val="auto"/>
        </w:rPr>
      </w:pPr>
    </w:p>
    <w:p>
      <w:pPr>
        <w:ind w:left="640" w:right="400" w:firstLine="653"/>
        <w:spacing w:after="0" w:line="277" w:lineRule="auto"/>
        <w:tabs>
          <w:tab w:leader="none" w:pos="197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do and perform all such other acts and things as the Administrative Agent may deem appropriate or convenient in connection with the Collateral.</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This power of attorney is a power coupled with an interest and shall be irrevocable for so long as any of the Secured Obligations (other than contingent indemnification obligations for which no claim has been asserted) shall remain outstanding and until all of the Commitments relating thereto shall have been terminated. The Administrative Agent shall be under no duty to exercise or withhold the exercise of any of the rights, powers, privileges and options expressly or implicitly granted to the Administrative Agent in this Security Agreement and shall not be liable for any failure to do so or any delay in doing so. The Administrative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Administrative Agent solely to protect, preserve and realize upon its security interest in the Collateral.</w:t>
      </w:r>
    </w:p>
    <w:p>
      <w:pPr>
        <w:spacing w:after="0" w:line="192" w:lineRule="exact"/>
        <w:rPr>
          <w:sz w:val="20"/>
          <w:szCs w:val="20"/>
          <w:color w:val="auto"/>
        </w:rPr>
      </w:pPr>
    </w:p>
    <w:p>
      <w:pPr>
        <w:ind w:right="220" w:firstLine="645"/>
        <w:spacing w:after="0" w:line="264" w:lineRule="auto"/>
        <w:tabs>
          <w:tab w:leader="none" w:pos="130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Assignment by the Administrative Agent</w:t>
      </w:r>
      <w:r>
        <w:rPr>
          <w:rFonts w:ascii="Arial" w:cs="Arial" w:eastAsia="Arial" w:hAnsi="Arial"/>
          <w:sz w:val="18"/>
          <w:szCs w:val="18"/>
          <w:color w:val="auto"/>
        </w:rPr>
        <w:t>. The Administrative Agent may from time to time assign the Secured Obligations to a successor Administrative Agent appointed in accordance with the Credit Agreement, and such successor shall be entitled to all of the rights and remedies of the Administrative Agent under this Security Agreement in relation thereto.</w:t>
      </w:r>
    </w:p>
    <w:p>
      <w:pPr>
        <w:spacing w:after="0" w:line="181" w:lineRule="exact"/>
        <w:rPr>
          <w:rFonts w:ascii="Arial" w:cs="Arial" w:eastAsia="Arial" w:hAnsi="Arial"/>
          <w:sz w:val="18"/>
          <w:szCs w:val="18"/>
          <w:color w:val="auto"/>
        </w:rPr>
      </w:pPr>
    </w:p>
    <w:p>
      <w:pPr>
        <w:ind w:right="80" w:firstLine="645"/>
        <w:spacing w:after="0" w:line="259" w:lineRule="auto"/>
        <w:tabs>
          <w:tab w:leader="none" w:pos="1307"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Releases of Collateral</w:t>
      </w:r>
      <w:r>
        <w:rPr>
          <w:rFonts w:ascii="Arial" w:cs="Arial" w:eastAsia="Arial" w:hAnsi="Arial"/>
          <w:sz w:val="18"/>
          <w:szCs w:val="18"/>
          <w:color w:val="auto"/>
        </w:rPr>
        <w:t>. If any Collateral shall be sold, transferred or otherwise disposed of by any Grantor in a transaction permitted by the Credit Agreement, then the Administrative Agent, at the request and sole expense of such Grantor, shall promptly execute and deliver to such Grantor all releases and other documents and take such other action, reasonably necessary for the release of the Liens created hereby or by any other Collateral Document on such Collateral.</w:t>
      </w:r>
    </w:p>
    <w:p>
      <w:pPr>
        <w:spacing w:after="0" w:line="186" w:lineRule="exact"/>
        <w:rPr>
          <w:rFonts w:ascii="Arial" w:cs="Arial" w:eastAsia="Arial" w:hAnsi="Arial"/>
          <w:sz w:val="18"/>
          <w:szCs w:val="18"/>
          <w:color w:val="auto"/>
        </w:rPr>
      </w:pPr>
    </w:p>
    <w:p>
      <w:pPr>
        <w:ind w:right="20" w:firstLine="645"/>
        <w:spacing w:after="0" w:line="288" w:lineRule="auto"/>
        <w:tabs>
          <w:tab w:leader="none" w:pos="1304"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The Administrative Agent’s Duty of Care</w:t>
      </w:r>
      <w:r>
        <w:rPr>
          <w:rFonts w:ascii="Arial" w:cs="Arial" w:eastAsia="Arial" w:hAnsi="Arial"/>
          <w:sz w:val="16"/>
          <w:szCs w:val="16"/>
          <w:color w:val="auto"/>
        </w:rPr>
        <w:t xml:space="preserve">. Other than the exercise of reasonable care to assure the safe custody of the Collateral while being held by the Administrative Agent hereunder and to account for all proceeds thereof, the Administrative Agent shall have no duty or liability to preserve rights pertaining thereto, it being understood and agreed that the Grantors shall be responsible for preservation of all rights in the Collateral, and the Administrative Agent shall be relieved of all responsibility for the Collateral upon surrendering it or tendering the surrender of it to the Grantors. The Administrative Agent shall be deemed to have exercised reasonable care in the custody and preservation of the Collateral in its possession if such Collateral is accorded treatment substantially equal to that which the Administrative Agent accords its own property, which shall be no less than the treatment employed by a reasonable and prudent agent in the industry, it being understood that the Administrative Agent shall not have responsibility for taking any necessary steps to preserve rights against any parties with respect to any of the Collateral. In the event of a public or private sale of Collateral pursuant to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the Administrative Agent shall have no responsibility for (i) ascertaining or taking action with respect to any matters relating to any Collateral, whether or not the Administrative Agent</w:t>
      </w:r>
    </w:p>
    <w:p>
      <w:pPr>
        <w:sectPr>
          <w:pgSz w:w="11900" w:h="16838" w:orient="portrait"/>
          <w:cols w:equalWidth="0" w:num="1">
            <w:col w:w="10740"/>
          </w:cols>
          <w:pgMar w:left="900" w:top="125" w:right="259" w:bottom="0" w:gutter="0" w:footer="0" w:header="0"/>
        </w:sectPr>
      </w:pPr>
    </w:p>
    <w:bookmarkStart w:id="113" w:name="page114"/>
    <w:bookmarkEnd w:id="113"/>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has or is deemed to have knowledge of such matters or (ii) taking any steps to clean, repair or otherwise prepare the Collateral for sale.</w:t>
      </w:r>
    </w:p>
    <w:p>
      <w:pPr>
        <w:spacing w:after="0" w:line="237" w:lineRule="exact"/>
        <w:rPr>
          <w:sz w:val="20"/>
          <w:szCs w:val="20"/>
          <w:color w:val="auto"/>
        </w:rPr>
      </w:pPr>
    </w:p>
    <w:p>
      <w:pPr>
        <w:ind w:right="120" w:firstLine="656"/>
        <w:spacing w:after="0" w:line="255" w:lineRule="auto"/>
        <w:tabs>
          <w:tab w:leader="none" w:pos="129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Upon the acceleration of the Obligations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of the Credit Agreement, any payments in respect of the Secured Obligations and any proceeds of the Collateral, when received by the Administrative Agent or any of the Secured Parties in cash or its equivalent, will be applied in reduction of the Secured Obligations in the order set forth in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of the Credit Agreement, and each Grantor irrevocably waives the right to direct the application of such payments and proceeds and acknowledges and agrees that the Administrative Agent shall have the continuing and exclusive right to apply and reapply any and all such payments and proceeds in the Administrative Agent’s sole discretion, notwithstanding any entry to the contrary upon any of its books and records.</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Continuing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71" w:lineRule="auto"/>
        <w:tabs>
          <w:tab w:leader="none" w:pos="1954"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This Security Agreement shall be a continuing agreement in every respect and shall remain in full force and effect so long as any of the Secured Obligations (other than contingent indemnification obligations for which no claim has been asserted) remains outstanding and until all of the Commitments relating thereto have been terminated. Upon payment or other satisfaction of all Secured Obligations (other than contingent indemnification obligations for which no claim has been asserted) and termination of the Commitments related thereto, this Security Agreement and the liens and security interests of the Administrative Agent hereunder shall be automatically terminated and the Administrative Agent shall, upon the request and at the expense of the Grantors, execute and deliver all UCC termination statements and/or other documents reasonably requested by the Grantors evidencing such termination and return to Grantors all Collateral in its possession. Notwithstanding the foregoing, all releases and indemnities provided hereunder shall survive termination of this Security Agreement.</w:t>
      </w:r>
    </w:p>
    <w:p>
      <w:pPr>
        <w:spacing w:after="0" w:line="178" w:lineRule="exact"/>
        <w:rPr>
          <w:rFonts w:ascii="Arial" w:cs="Arial" w:eastAsia="Arial" w:hAnsi="Arial"/>
          <w:sz w:val="17"/>
          <w:szCs w:val="17"/>
          <w:color w:val="auto"/>
        </w:rPr>
      </w:pPr>
    </w:p>
    <w:p>
      <w:pPr>
        <w:ind w:left="660" w:right="60" w:firstLine="645"/>
        <w:spacing w:after="0" w:line="293" w:lineRule="auto"/>
        <w:tabs>
          <w:tab w:leader="none" w:pos="1964" w:val="left"/>
        </w:tabs>
        <w:numPr>
          <w:ilvl w:val="1"/>
          <w:numId w:val="230"/>
        </w:numPr>
        <w:rPr>
          <w:rFonts w:ascii="Arial" w:cs="Arial" w:eastAsia="Arial" w:hAnsi="Arial"/>
          <w:sz w:val="16"/>
          <w:szCs w:val="16"/>
          <w:color w:val="auto"/>
        </w:rPr>
      </w:pPr>
      <w:r>
        <w:rPr>
          <w:rFonts w:ascii="Arial" w:cs="Arial" w:eastAsia="Arial" w:hAnsi="Arial"/>
          <w:sz w:val="16"/>
          <w:szCs w:val="16"/>
          <w:color w:val="auto"/>
        </w:rPr>
        <w:t xml:space="preserve">This Security Agreement shall continue to be effective or be automatically reinstated, as the case may be, if at any time payment, in whole or in part, of any of the Secured Obligations is rescinded or must otherwise be restored or returned by the Administrative Agent or any Secured Party as a preference, fraudulent conveyance or otherwise under any bankruptcy, insolvency or similar law, all as though such payment had not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payment of all or any part of the Secured Obligations is rescinded or must be restored or returned, all costs and expenses (including, without limitation, reasonable attorneys’ fees and disbursements) incurred by the Administrative Agent or any Secured Party in defending and enforcing such reinstatement shall be deemed to be included as a part of the Secured Obligations.</w:t>
      </w:r>
    </w:p>
    <w:p>
      <w:pPr>
        <w:spacing w:after="0" w:line="164" w:lineRule="exact"/>
        <w:rPr>
          <w:rFonts w:ascii="Arial" w:cs="Arial" w:eastAsia="Arial" w:hAnsi="Arial"/>
          <w:sz w:val="16"/>
          <w:szCs w:val="16"/>
          <w:color w:val="auto"/>
        </w:rPr>
      </w:pPr>
    </w:p>
    <w:p>
      <w:pPr>
        <w:ind w:right="780" w:firstLine="656"/>
        <w:spacing w:after="0" w:line="277" w:lineRule="auto"/>
        <w:tabs>
          <w:tab w:leader="none" w:pos="129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This Security Agreement and the provisions hereof may not be amended, waived, modified, changed, discharged or terminated except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Credit Agreement.</w:t>
      </w:r>
    </w:p>
    <w:p>
      <w:pPr>
        <w:spacing w:after="0" w:line="170" w:lineRule="exact"/>
        <w:rPr>
          <w:rFonts w:ascii="Arial" w:cs="Arial" w:eastAsia="Arial" w:hAnsi="Arial"/>
          <w:sz w:val="18"/>
          <w:szCs w:val="18"/>
          <w:color w:val="auto"/>
        </w:rPr>
      </w:pPr>
    </w:p>
    <w:p>
      <w:pPr>
        <w:ind w:right="140" w:firstLine="656"/>
        <w:spacing w:after="0" w:line="302" w:lineRule="auto"/>
        <w:tabs>
          <w:tab w:leader="none" w:pos="1292"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xml:space="preserve">. This Security Agreement shall create a continuing security interest in the Collateral and shall be binding upon each Grantor, its successors and assigns, and shall inure, together with the rights and remedies of the Administrative Agent and the Secured Parties hereunder, to the benefit of the Administrative Agent and the Secured Parties and their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none of the Grantors may assign its rights or delegate its duties hereunder without the prior written consent of the requisite Lenders under the Credit Agreement.</w:t>
      </w:r>
    </w:p>
    <w:p>
      <w:pPr>
        <w:spacing w:after="0" w:line="154" w:lineRule="exact"/>
        <w:rPr>
          <w:rFonts w:ascii="Arial" w:cs="Arial" w:eastAsia="Arial" w:hAnsi="Arial"/>
          <w:sz w:val="16"/>
          <w:szCs w:val="16"/>
          <w:color w:val="auto"/>
        </w:rPr>
      </w:pPr>
    </w:p>
    <w:p>
      <w:pPr>
        <w:ind w:right="380" w:firstLine="656"/>
        <w:spacing w:after="0" w:line="277" w:lineRule="auto"/>
        <w:tabs>
          <w:tab w:leader="none" w:pos="129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required or permitted to be given under this Security Agreement shall be given as provided in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656"/>
        <w:spacing w:after="0" w:line="259" w:lineRule="auto"/>
        <w:tabs>
          <w:tab w:leader="none" w:pos="129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facsimile or other electronic imaging means (e.g. “pdf” or “tif”) shall be effective as delivery of a manually executed counterpart of this Security Agreement.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herein are included for convenience of reference only and shall not affect the interpretation of this Security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100" w:firstLine="656"/>
        <w:spacing w:after="0" w:line="312" w:lineRule="auto"/>
        <w:tabs>
          <w:tab w:leader="none" w:pos="1292"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Waiver of Venue, Service of Process, Waiver of Right to Jury Trial</w:t>
      </w:r>
      <w:r>
        <w:rPr>
          <w:rFonts w:ascii="Arial" w:cs="Arial" w:eastAsia="Arial" w:hAnsi="Arial"/>
          <w:sz w:val="16"/>
          <w:szCs w:val="16"/>
          <w:color w:val="auto"/>
        </w:rPr>
        <w:t xml:space="preserve">.The terms of Section 11.14 of the Credit Agreement and Section 11.15 of the Credit Agreement with respect to governing law, submission to jurisdiction, waiver of venue, service of process and waiver of the right to a jury trial are each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and the parties hereto agree to such terms.</w:t>
      </w:r>
    </w:p>
    <w:p>
      <w:pPr>
        <w:spacing w:after="0" w:line="146" w:lineRule="exact"/>
        <w:rPr>
          <w:rFonts w:ascii="Arial" w:cs="Arial" w:eastAsia="Arial" w:hAnsi="Arial"/>
          <w:sz w:val="16"/>
          <w:szCs w:val="16"/>
          <w:color w:val="auto"/>
        </w:rPr>
      </w:pPr>
    </w:p>
    <w:p>
      <w:pPr>
        <w:ind w:right="20" w:firstLine="656"/>
        <w:spacing w:after="0" w:line="257" w:lineRule="auto"/>
        <w:tabs>
          <w:tab w:leader="none" w:pos="129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Security Agreement is held to be illegal, invalid or unenforceable, (a) the legality, validity and enforceability of the remaining provisions of this Security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rFonts w:ascii="Arial" w:cs="Arial" w:eastAsia="Arial" w:hAnsi="Arial"/>
          <w:sz w:val="18"/>
          <w:szCs w:val="18"/>
          <w:color w:val="auto"/>
        </w:rPr>
      </w:pPr>
    </w:p>
    <w:p>
      <w:pPr>
        <w:ind w:right="20" w:firstLine="656"/>
        <w:spacing w:after="0" w:line="259" w:lineRule="auto"/>
        <w:tabs>
          <w:tab w:leader="none" w:pos="129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Entirety</w:t>
      </w:r>
      <w:r>
        <w:rPr>
          <w:rFonts w:ascii="Arial" w:cs="Arial" w:eastAsia="Arial" w:hAnsi="Arial"/>
          <w:sz w:val="18"/>
          <w:szCs w:val="18"/>
          <w:color w:val="auto"/>
        </w:rPr>
        <w:t>. This Security Agreement, the other Loan Documents and the other documents relating to the Secured Obligations represent the entire agreement of the parties hereto and thereto, and supersede all prior agreements and understandings, oral or written, if any, including any proposal letters or correspondence relating to the Loan Documents, any other documents relating to the Secured Obligations, or the transactions contemplated herein and therein.</w:t>
      </w:r>
    </w:p>
    <w:p>
      <w:pPr>
        <w:spacing w:after="0" w:line="186" w:lineRule="exact"/>
        <w:rPr>
          <w:rFonts w:ascii="Arial" w:cs="Arial" w:eastAsia="Arial" w:hAnsi="Arial"/>
          <w:sz w:val="18"/>
          <w:szCs w:val="18"/>
          <w:color w:val="auto"/>
        </w:rPr>
      </w:pPr>
    </w:p>
    <w:p>
      <w:pPr>
        <w:jc w:val="both"/>
        <w:ind w:right="60" w:firstLine="656"/>
        <w:spacing w:after="0" w:line="264" w:lineRule="auto"/>
        <w:tabs>
          <w:tab w:leader="none" w:pos="129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of the Grantors hereunder shall survive the execution and delivery of this Security Agreement, the other Loan Documents and the other documents relating to the Secured Obligations, the delivery of the Notes and the extension of credit thereunder or in connection therewith.</w:t>
      </w:r>
    </w:p>
    <w:p>
      <w:pPr>
        <w:spacing w:after="0" w:line="181" w:lineRule="exact"/>
        <w:rPr>
          <w:rFonts w:ascii="Arial" w:cs="Arial" w:eastAsia="Arial" w:hAnsi="Arial"/>
          <w:sz w:val="18"/>
          <w:szCs w:val="18"/>
          <w:color w:val="auto"/>
        </w:rPr>
      </w:pPr>
    </w:p>
    <w:p>
      <w:pPr>
        <w:ind w:right="260" w:firstLine="656"/>
        <w:spacing w:after="0" w:line="312" w:lineRule="auto"/>
        <w:tabs>
          <w:tab w:leader="none" w:pos="1292"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Other Security</w:t>
      </w:r>
      <w:r>
        <w:rPr>
          <w:rFonts w:ascii="Arial" w:cs="Arial" w:eastAsia="Arial" w:hAnsi="Arial"/>
          <w:sz w:val="16"/>
          <w:szCs w:val="16"/>
          <w:color w:val="auto"/>
        </w:rPr>
        <w:t>. To the extent that any of the Secured Obligations are now or hereafter secured by property other than the Collateral (including, without limitation, real and other personal property and securities owned by a Grantor) or by a guarantee, endorsement or property of any other Person, then to the extent permitted by applicable law the Administrative Agent shall have the right to proceed against such other property, guarantee or</w:t>
      </w:r>
    </w:p>
    <w:p>
      <w:pPr>
        <w:sectPr>
          <w:pgSz w:w="11900" w:h="16952" w:orient="portrait"/>
          <w:cols w:equalWidth="0" w:num="1">
            <w:col w:w="11420"/>
          </w:cols>
          <w:pgMar w:left="240" w:top="125" w:right="239" w:bottom="0" w:gutter="0" w:footer="0" w:header="0"/>
        </w:sectPr>
      </w:pPr>
    </w:p>
    <w:bookmarkStart w:id="114" w:name="page115"/>
    <w:bookmarkEnd w:id="114"/>
    <w:p>
      <w:pPr>
        <w:ind w:right="80"/>
        <w:spacing w:after="0" w:line="257" w:lineRule="auto"/>
        <w:rPr>
          <w:sz w:val="20"/>
          <w:szCs w:val="20"/>
          <w:color w:val="auto"/>
        </w:rPr>
      </w:pPr>
      <w:r>
        <w:rPr>
          <w:rFonts w:ascii="Arial" w:cs="Arial" w:eastAsia="Arial" w:hAnsi="Arial"/>
          <w:sz w:val="18"/>
          <w:szCs w:val="18"/>
          <w:color w:val="auto"/>
        </w:rPr>
        <w:t>endorsement upon the occurrence and during the continuation of any Event of Default, and the Administrative Agent shall have the right, in its sole discretion, to determine which rights, security, liens, security interests or remedies the Administrative Agent shall at any time pursue, relinquish, subordinate, modify or take with respect thereto, without in any way modifying or affecting any of them or the Secured Obligations or any of the rights of the Administrative Agent or the Secured Parties under this Security Agreement, under any of the other Loan Documents or under any other document relating to the Secured Obligations.</w:t>
      </w:r>
    </w:p>
    <w:p>
      <w:pPr>
        <w:spacing w:after="0" w:line="188" w:lineRule="exact"/>
        <w:rPr>
          <w:sz w:val="20"/>
          <w:szCs w:val="20"/>
          <w:color w:val="auto"/>
        </w:rPr>
      </w:pPr>
    </w:p>
    <w:p>
      <w:pPr>
        <w:ind w:right="560" w:firstLine="656"/>
        <w:spacing w:after="0" w:line="277" w:lineRule="auto"/>
        <w:tabs>
          <w:tab w:leader="none" w:pos="129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Rights of Required Lenders</w:t>
      </w:r>
      <w:r>
        <w:rPr>
          <w:rFonts w:ascii="Arial" w:cs="Arial" w:eastAsia="Arial" w:hAnsi="Arial"/>
          <w:sz w:val="18"/>
          <w:szCs w:val="18"/>
          <w:color w:val="auto"/>
        </w:rPr>
        <w:t>. All rights of the Administrative Agent hereunder, if not exercised by the Administrative Agent, may be exercised by the Required Lenders.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 of Grantors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20" w:firstLine="645"/>
        <w:spacing w:after="0" w:line="312" w:lineRule="auto"/>
        <w:tabs>
          <w:tab w:leader="none" w:pos="1954" w:val="left"/>
        </w:tabs>
        <w:numPr>
          <w:ilvl w:val="1"/>
          <w:numId w:val="233"/>
        </w:numPr>
        <w:rPr>
          <w:rFonts w:ascii="Arial" w:cs="Arial" w:eastAsia="Arial" w:hAnsi="Arial"/>
          <w:sz w:val="16"/>
          <w:szCs w:val="16"/>
          <w:color w:val="auto"/>
        </w:rPr>
      </w:pPr>
      <w:r>
        <w:rPr>
          <w:rFonts w:ascii="Arial" w:cs="Arial" w:eastAsia="Arial" w:hAnsi="Arial"/>
          <w:sz w:val="16"/>
          <w:szCs w:val="16"/>
          <w:color w:val="auto"/>
        </w:rPr>
        <w:t xml:space="preserve">Subject to subsection (c) of this </w:t>
      </w:r>
      <w:r>
        <w:rPr>
          <w:rFonts w:ascii="Arial" w:cs="Arial" w:eastAsia="Arial" w:hAnsi="Arial"/>
          <w:sz w:val="16"/>
          <w:szCs w:val="16"/>
          <w:u w:val="single" w:color="auto"/>
          <w:color w:val="auto"/>
        </w:rPr>
        <w:t>Section 23</w:t>
      </w:r>
      <w:r>
        <w:rPr>
          <w:rFonts w:ascii="Arial" w:cs="Arial" w:eastAsia="Arial" w:hAnsi="Arial"/>
          <w:sz w:val="16"/>
          <w:szCs w:val="16"/>
          <w:color w:val="auto"/>
        </w:rPr>
        <w:t>, each of the Grantors is accepting joint and several liability hereunder in consideration of the financial accommodation to be provided by the Secured Parties, for the mutual benefit, directly and indirectly, of each of the Grantors and in consideration of the undertakings of each of the Grantors to accept joint and several liability for the obligations of each of them.</w:t>
      </w:r>
    </w:p>
    <w:p>
      <w:pPr>
        <w:spacing w:after="0" w:line="146" w:lineRule="exact"/>
        <w:rPr>
          <w:rFonts w:ascii="Arial" w:cs="Arial" w:eastAsia="Arial" w:hAnsi="Arial"/>
          <w:sz w:val="16"/>
          <w:szCs w:val="16"/>
          <w:color w:val="auto"/>
        </w:rPr>
      </w:pPr>
    </w:p>
    <w:p>
      <w:pPr>
        <w:ind w:left="660" w:firstLine="645"/>
        <w:spacing w:after="0" w:line="257" w:lineRule="auto"/>
        <w:tabs>
          <w:tab w:leader="none" w:pos="1964"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Subject to subsection (c) of this </w:t>
      </w:r>
      <w:r>
        <w:rPr>
          <w:rFonts w:ascii="Arial" w:cs="Arial" w:eastAsia="Arial" w:hAnsi="Arial"/>
          <w:sz w:val="18"/>
          <w:szCs w:val="18"/>
          <w:u w:val="single" w:color="auto"/>
          <w:color w:val="auto"/>
        </w:rPr>
        <w:t>Section 23</w:t>
      </w:r>
      <w:r>
        <w:rPr>
          <w:rFonts w:ascii="Arial" w:cs="Arial" w:eastAsia="Arial" w:hAnsi="Arial"/>
          <w:sz w:val="18"/>
          <w:szCs w:val="18"/>
          <w:color w:val="auto"/>
        </w:rPr>
        <w:t>, each of the Grantors jointly and severally hereby irrevocably and unconditionally accepts, not merely as a surety but also as a co-debtor, joint and several liability with the other Grantors with respect to the payment and performance of all of the Secured Obligations arising under this Security Agreement, the other Loan Documents and any other documents relating to the Secured Obligations, it being the intention of the parties hereto that all the Secured Obligations shall be the joint and several obligations of each of the Grantors without preferences or distinction among them.</w:t>
      </w:r>
    </w:p>
    <w:p>
      <w:pPr>
        <w:spacing w:after="0" w:line="188" w:lineRule="exact"/>
        <w:rPr>
          <w:rFonts w:ascii="Arial" w:cs="Arial" w:eastAsia="Arial" w:hAnsi="Arial"/>
          <w:sz w:val="18"/>
          <w:szCs w:val="18"/>
          <w:color w:val="auto"/>
        </w:rPr>
      </w:pPr>
    </w:p>
    <w:p>
      <w:pPr>
        <w:ind w:left="660" w:right="140" w:firstLine="645"/>
        <w:spacing w:after="0" w:line="302" w:lineRule="auto"/>
        <w:tabs>
          <w:tab w:leader="none" w:pos="1967" w:val="left"/>
        </w:tabs>
        <w:numPr>
          <w:ilvl w:val="1"/>
          <w:numId w:val="233"/>
        </w:numPr>
        <w:rPr>
          <w:rFonts w:ascii="Arial" w:cs="Arial" w:eastAsia="Arial" w:hAnsi="Arial"/>
          <w:sz w:val="16"/>
          <w:szCs w:val="16"/>
          <w:color w:val="auto"/>
        </w:rPr>
      </w:pPr>
      <w:r>
        <w:rPr>
          <w:rFonts w:ascii="Arial" w:cs="Arial" w:eastAsia="Arial" w:hAnsi="Arial"/>
          <w:sz w:val="16"/>
          <w:szCs w:val="16"/>
          <w:color w:val="auto"/>
        </w:rPr>
        <w:t>Notwithstanding any provision to the contrary contained herein, in any other of the Loan Documents or in any other documents relating to the Secured Obligations, the obligations of each Guarantor under the Credit Agreement, the other Loan Documents and the other documents relating to the Secured Obligations shall be limited to an aggregate amount equal to the largest amount that would not render such obligations subject to avoidance under Section 548 of the United States Bankruptcy Code or any comparable provisions of any applicable state law.</w:t>
      </w:r>
    </w:p>
    <w:p>
      <w:pPr>
        <w:spacing w:after="0" w:line="154" w:lineRule="exact"/>
        <w:rPr>
          <w:rFonts w:ascii="Arial" w:cs="Arial" w:eastAsia="Arial" w:hAnsi="Arial"/>
          <w:sz w:val="16"/>
          <w:szCs w:val="16"/>
          <w:color w:val="auto"/>
        </w:rPr>
      </w:pPr>
    </w:p>
    <w:p>
      <w:pPr>
        <w:jc w:val="both"/>
        <w:ind w:right="160" w:firstLine="656"/>
        <w:spacing w:after="0" w:line="302" w:lineRule="auto"/>
        <w:tabs>
          <w:tab w:leader="none" w:pos="1292"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Joinder</w:t>
      </w:r>
      <w:r>
        <w:rPr>
          <w:rFonts w:ascii="Arial" w:cs="Arial" w:eastAsia="Arial" w:hAnsi="Arial"/>
          <w:sz w:val="16"/>
          <w:szCs w:val="16"/>
          <w:color w:val="auto"/>
        </w:rPr>
        <w:t>. At any time after the date of this Security Agreement, one or more additional Domestic Subsidiaries may become party hereto by executing and delivering to the Administrative Agent a Joinder Agreement. Immediately upon such execution and delivery of such Joinder Agreement (and without any further action), each such additional Domestic Subsidiary will become a party to this Security Agreement as a “Grantor” and have all the rights and obligations of a Grantor hereunder and this Security Agreement and the schedules hereto shall be deemed amended by such Joinder Agreement.</w:t>
      </w:r>
    </w:p>
    <w:p>
      <w:pPr>
        <w:spacing w:after="0" w:line="154" w:lineRule="exact"/>
        <w:rPr>
          <w:rFonts w:ascii="Arial" w:cs="Arial" w:eastAsia="Arial" w:hAnsi="Arial"/>
          <w:sz w:val="16"/>
          <w:szCs w:val="16"/>
          <w:color w:val="auto"/>
        </w:rPr>
      </w:pPr>
    </w:p>
    <w:p>
      <w:pPr>
        <w:ind w:right="200" w:firstLine="656"/>
        <w:spacing w:after="0" w:line="308" w:lineRule="auto"/>
        <w:tabs>
          <w:tab w:leader="none" w:pos="1292"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Intercreditor Agreement</w:t>
      </w:r>
      <w:r>
        <w:rPr>
          <w:rFonts w:ascii="Arial" w:cs="Arial" w:eastAsia="Arial" w:hAnsi="Arial"/>
          <w:sz w:val="17"/>
          <w:szCs w:val="17"/>
          <w:color w:val="auto"/>
        </w:rPr>
        <w:t>. The Liens, security interests and rights granted pursuant to this Security Agreement are subject to the terms and conditions of any intercreditor agreement entered into by and between the Administrative Agent and the Revolving Credit Lender, if any.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Each of the parties hereto has caused a counterpart of this Security Agreement to be duly executed and delivered as of the date first above written.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color w:val="auto"/>
              </w:rPr>
              <w:t>GRANTOR:</w:t>
            </w: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VERACYTE, INC.,</w:t>
            </w:r>
          </w:p>
        </w:tc>
      </w:tr>
      <w:tr>
        <w:trPr>
          <w:trHeight w:val="237"/>
        </w:trPr>
        <w:tc>
          <w:tcPr>
            <w:tcW w:w="88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a Delaware corporation</w:t>
            </w:r>
          </w:p>
        </w:tc>
      </w:tr>
      <w:tr>
        <w:trPr>
          <w:trHeight w:val="432"/>
        </w:trPr>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By:   /s/ Bonnie Anderson</w:t>
            </w:r>
          </w:p>
        </w:tc>
      </w:tr>
      <w:tr>
        <w:trPr>
          <w:trHeight w:val="182"/>
        </w:trPr>
        <w:tc>
          <w:tcPr>
            <w:tcW w:w="8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880" w:type="dxa"/>
            <w:vAlign w:val="bottom"/>
          </w:tcPr>
          <w:p>
            <w:pPr>
              <w:ind w:left="2400"/>
              <w:spacing w:after="0" w:line="182" w:lineRule="exact"/>
              <w:rPr>
                <w:sz w:val="20"/>
                <w:szCs w:val="20"/>
                <w:color w:val="auto"/>
              </w:rPr>
            </w:pPr>
            <w:r>
              <w:rPr>
                <w:rFonts w:ascii="Arial" w:cs="Arial" w:eastAsia="Arial" w:hAnsi="Arial"/>
                <w:sz w:val="18"/>
                <w:szCs w:val="18"/>
                <w:color w:val="auto"/>
                <w:w w:val="86"/>
              </w:rPr>
              <w:t>Name:</w:t>
            </w:r>
          </w:p>
        </w:tc>
        <w:tc>
          <w:tcPr>
            <w:tcW w:w="5220" w:type="dxa"/>
            <w:vAlign w:val="bottom"/>
            <w:tcBorders>
              <w:top w:val="single" w:sz="8" w:color="auto"/>
            </w:tcBorders>
          </w:tcPr>
          <w:p>
            <w:pPr>
              <w:ind w:left="40"/>
              <w:spacing w:after="0" w:line="182" w:lineRule="exact"/>
              <w:rPr>
                <w:sz w:val="20"/>
                <w:szCs w:val="20"/>
                <w:color w:val="auto"/>
              </w:rPr>
            </w:pPr>
            <w:r>
              <w:rPr>
                <w:rFonts w:ascii="Arial" w:cs="Arial" w:eastAsia="Arial" w:hAnsi="Arial"/>
                <w:sz w:val="18"/>
                <w:szCs w:val="18"/>
                <w:color w:val="auto"/>
              </w:rPr>
              <w:t>Bonnie Anderson</w:t>
            </w:r>
          </w:p>
        </w:tc>
      </w:tr>
      <w:tr>
        <w:trPr>
          <w:trHeight w:val="230"/>
        </w:trPr>
        <w:tc>
          <w:tcPr>
            <w:tcW w:w="8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Title: President &amp; CEO</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ind w:left="9380"/>
        <w:spacing w:after="0"/>
        <w:rPr>
          <w:sz w:val="20"/>
          <w:szCs w:val="20"/>
          <w:color w:val="auto"/>
        </w:rPr>
      </w:pPr>
      <w:r>
        <w:rPr>
          <w:rFonts w:ascii="Arial" w:cs="Arial" w:eastAsia="Arial" w:hAnsi="Arial"/>
          <w:sz w:val="17"/>
          <w:szCs w:val="17"/>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Accepted and agreed to as of the date first above written.</w:t>
            </w:r>
          </w:p>
        </w:tc>
        <w:tc>
          <w:tcPr>
            <w:tcW w:w="2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ADMINISTRATIVE AGENT:</w:t>
            </w:r>
          </w:p>
        </w:tc>
        <w:tc>
          <w:tcPr>
            <w:tcW w:w="6500" w:type="dxa"/>
            <w:vAlign w:val="bottom"/>
            <w:gridSpan w:val="3"/>
          </w:tcPr>
          <w:p>
            <w:pPr>
              <w:ind w:left="800"/>
              <w:spacing w:after="0"/>
              <w:rPr>
                <w:sz w:val="20"/>
                <w:szCs w:val="20"/>
                <w:color w:val="auto"/>
              </w:rPr>
            </w:pPr>
            <w:r>
              <w:rPr>
                <w:rFonts w:ascii="Arial" w:cs="Arial" w:eastAsia="Arial" w:hAnsi="Arial"/>
                <w:sz w:val="18"/>
                <w:szCs w:val="18"/>
                <w:color w:val="auto"/>
              </w:rPr>
              <w:t>VISIUM HEALTHCARE PARTNERS, LP,</w:t>
            </w:r>
          </w:p>
        </w:tc>
      </w:tr>
      <w:tr>
        <w:trPr>
          <w:trHeight w:val="230"/>
        </w:trPr>
        <w:tc>
          <w:tcPr>
            <w:tcW w:w="4920" w:type="dxa"/>
            <w:vAlign w:val="bottom"/>
          </w:tcPr>
          <w:p>
            <w:pPr>
              <w:spacing w:after="0"/>
              <w:rPr>
                <w:sz w:val="20"/>
                <w:szCs w:val="20"/>
                <w:color w:val="auto"/>
              </w:rPr>
            </w:pPr>
          </w:p>
        </w:tc>
        <w:tc>
          <w:tcPr>
            <w:tcW w:w="6500" w:type="dxa"/>
            <w:vAlign w:val="bottom"/>
            <w:gridSpan w:val="3"/>
          </w:tcPr>
          <w:p>
            <w:pPr>
              <w:ind w:left="1160"/>
              <w:spacing w:after="0"/>
              <w:rPr>
                <w:sz w:val="20"/>
                <w:szCs w:val="20"/>
                <w:color w:val="auto"/>
              </w:rPr>
            </w:pPr>
            <w:r>
              <w:rPr>
                <w:rFonts w:ascii="Arial" w:cs="Arial" w:eastAsia="Arial" w:hAnsi="Arial"/>
                <w:sz w:val="18"/>
                <w:szCs w:val="18"/>
                <w:color w:val="auto"/>
              </w:rPr>
              <w:t>a Delaware limited partnership</w:t>
            </w:r>
          </w:p>
        </w:tc>
      </w:tr>
      <w:tr>
        <w:trPr>
          <w:trHeight w:val="418"/>
        </w:trPr>
        <w:tc>
          <w:tcPr>
            <w:tcW w:w="4920" w:type="dxa"/>
            <w:vAlign w:val="bottom"/>
          </w:tcPr>
          <w:p>
            <w:pPr>
              <w:spacing w:after="0"/>
              <w:rPr>
                <w:sz w:val="24"/>
                <w:szCs w:val="24"/>
                <w:color w:val="auto"/>
              </w:rPr>
            </w:pPr>
          </w:p>
        </w:tc>
        <w:tc>
          <w:tcPr>
            <w:tcW w:w="6500" w:type="dxa"/>
            <w:vAlign w:val="bottom"/>
            <w:gridSpan w:val="3"/>
          </w:tcPr>
          <w:p>
            <w:pPr>
              <w:ind w:left="1160"/>
              <w:spacing w:after="0"/>
              <w:rPr>
                <w:sz w:val="20"/>
                <w:szCs w:val="20"/>
                <w:color w:val="auto"/>
              </w:rPr>
            </w:pPr>
            <w:r>
              <w:rPr>
                <w:rFonts w:ascii="Arial" w:cs="Arial" w:eastAsia="Arial" w:hAnsi="Arial"/>
                <w:sz w:val="18"/>
                <w:szCs w:val="18"/>
                <w:color w:val="auto"/>
              </w:rPr>
              <w:t>By:   VISIUM HEALTHCARE ADVISORS, LP,</w:t>
            </w:r>
          </w:p>
        </w:tc>
      </w:tr>
      <w:tr>
        <w:trPr>
          <w:trHeight w:val="230"/>
        </w:trPr>
        <w:tc>
          <w:tcPr>
            <w:tcW w:w="4920" w:type="dxa"/>
            <w:vAlign w:val="bottom"/>
          </w:tcPr>
          <w:p>
            <w:pPr>
              <w:spacing w:after="0"/>
              <w:rPr>
                <w:sz w:val="20"/>
                <w:szCs w:val="20"/>
                <w:color w:val="auto"/>
              </w:rPr>
            </w:pPr>
          </w:p>
        </w:tc>
        <w:tc>
          <w:tcPr>
            <w:tcW w:w="6500" w:type="dxa"/>
            <w:vAlign w:val="bottom"/>
            <w:gridSpan w:val="3"/>
          </w:tcPr>
          <w:p>
            <w:pPr>
              <w:ind w:left="1700"/>
              <w:spacing w:after="0"/>
              <w:rPr>
                <w:sz w:val="20"/>
                <w:szCs w:val="20"/>
                <w:color w:val="auto"/>
              </w:rPr>
            </w:pPr>
            <w:r>
              <w:rPr>
                <w:rFonts w:ascii="Arial" w:cs="Arial" w:eastAsia="Arial" w:hAnsi="Arial"/>
                <w:sz w:val="18"/>
                <w:szCs w:val="18"/>
                <w:color w:val="auto"/>
              </w:rPr>
              <w:t>its General Partner</w:t>
            </w:r>
          </w:p>
        </w:tc>
      </w:tr>
      <w:tr>
        <w:trPr>
          <w:trHeight w:val="634"/>
        </w:trPr>
        <w:tc>
          <w:tcPr>
            <w:tcW w:w="4920" w:type="dxa"/>
            <w:vAlign w:val="bottom"/>
          </w:tcPr>
          <w:p>
            <w:pPr>
              <w:spacing w:after="0"/>
              <w:rPr>
                <w:sz w:val="24"/>
                <w:szCs w:val="24"/>
                <w:color w:val="auto"/>
              </w:rPr>
            </w:pPr>
          </w:p>
        </w:tc>
        <w:tc>
          <w:tcPr>
            <w:tcW w:w="2760" w:type="dxa"/>
            <w:vAlign w:val="bottom"/>
          </w:tcPr>
          <w:p>
            <w:pPr>
              <w:ind w:left="1700"/>
              <w:spacing w:after="0"/>
              <w:rPr>
                <w:sz w:val="20"/>
                <w:szCs w:val="20"/>
                <w:color w:val="auto"/>
              </w:rPr>
            </w:pPr>
            <w:r>
              <w:rPr>
                <w:rFonts w:ascii="Arial" w:cs="Arial" w:eastAsia="Arial" w:hAnsi="Arial"/>
                <w:sz w:val="18"/>
                <w:szCs w:val="18"/>
                <w:color w:val="auto"/>
              </w:rPr>
              <w:t>By:</w:t>
            </w:r>
          </w:p>
        </w:tc>
        <w:tc>
          <w:tcPr>
            <w:tcW w:w="3740" w:type="dxa"/>
            <w:vAlign w:val="bottom"/>
            <w:gridSpan w:val="2"/>
          </w:tcPr>
          <w:p>
            <w:pPr>
              <w:ind w:left="440"/>
              <w:spacing w:after="0"/>
              <w:rPr>
                <w:sz w:val="20"/>
                <w:szCs w:val="20"/>
                <w:color w:val="auto"/>
              </w:rPr>
            </w:pPr>
            <w:r>
              <w:rPr>
                <w:rFonts w:ascii="Arial" w:cs="Arial" w:eastAsia="Arial" w:hAnsi="Arial"/>
                <w:sz w:val="18"/>
                <w:szCs w:val="18"/>
                <w:color w:val="auto"/>
              </w:rPr>
              <w:t>JG ASSET II, LLC,</w:t>
            </w:r>
          </w:p>
        </w:tc>
      </w:tr>
      <w:tr>
        <w:trPr>
          <w:trHeight w:val="230"/>
        </w:trPr>
        <w:tc>
          <w:tcPr>
            <w:tcW w:w="4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648"/>
        </w:trPr>
        <w:tc>
          <w:tcPr>
            <w:tcW w:w="4920" w:type="dxa"/>
            <w:vAlign w:val="bottom"/>
          </w:tcPr>
          <w:p>
            <w:pPr>
              <w:spacing w:after="0"/>
              <w:rPr>
                <w:sz w:val="24"/>
                <w:szCs w:val="24"/>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Gottlieb</w:t>
            </w:r>
          </w:p>
        </w:tc>
      </w:tr>
      <w:tr>
        <w:trPr>
          <w:trHeight w:val="210"/>
        </w:trPr>
        <w:tc>
          <w:tcPr>
            <w:tcW w:w="4920" w:type="dxa"/>
            <w:vAlign w:val="bottom"/>
          </w:tcPr>
          <w:p>
            <w:pPr>
              <w:spacing w:after="0"/>
              <w:rPr>
                <w:sz w:val="18"/>
                <w:szCs w:val="18"/>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Name:</w:t>
            </w:r>
          </w:p>
        </w:tc>
        <w:tc>
          <w:tcPr>
            <w:tcW w:w="680" w:type="dxa"/>
            <w:vAlign w:val="bottom"/>
          </w:tcPr>
          <w:p>
            <w:pPr>
              <w:spacing w:after="0"/>
              <w:rPr>
                <w:sz w:val="18"/>
                <w:szCs w:val="18"/>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Mark </w:t>
            </w:r>
            <w:r>
              <w:rPr>
                <w:rFonts w:ascii="Arial" w:cs="Arial" w:eastAsia="Arial" w:hAnsi="Arial"/>
                <w:sz w:val="17"/>
                <w:szCs w:val="17"/>
                <w:color w:val="auto"/>
              </w:rPr>
              <w:t>Gottlieb</w:t>
            </w:r>
          </w:p>
        </w:tc>
      </w:tr>
      <w:tr>
        <w:trPr>
          <w:trHeight w:val="224"/>
        </w:trPr>
        <w:tc>
          <w:tcPr>
            <w:tcW w:w="4920" w:type="dxa"/>
            <w:vAlign w:val="bottom"/>
          </w:tcPr>
          <w:p>
            <w:pPr>
              <w:spacing w:after="0"/>
              <w:rPr>
                <w:sz w:val="19"/>
                <w:szCs w:val="19"/>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Title:</w:t>
            </w:r>
          </w:p>
        </w:tc>
        <w:tc>
          <w:tcPr>
            <w:tcW w:w="68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1420"/>
          </w:cols>
          <w:pgMar w:left="240" w:top="125" w:right="239" w:bottom="0" w:gutter="0" w:footer="0" w:header="0"/>
        </w:sectPr>
      </w:pPr>
    </w:p>
    <w:bookmarkStart w:id="115" w:name="page116"/>
    <w:bookmarkEnd w:id="115"/>
    <w:p>
      <w:pPr>
        <w:ind w:left="8820"/>
        <w:spacing w:after="0"/>
        <w:rPr>
          <w:sz w:val="20"/>
          <w:szCs w:val="20"/>
          <w:color w:val="auto"/>
        </w:rPr>
      </w:pPr>
      <w:r>
        <w:rPr>
          <w:rFonts w:ascii="Arial" w:cs="Arial" w:eastAsia="Arial" w:hAnsi="Arial"/>
          <w:sz w:val="17"/>
          <w:szCs w:val="17"/>
          <w:color w:val="auto"/>
        </w:rPr>
        <w:t>VERACYTE, INC.</w:t>
      </w:r>
    </w:p>
    <w:p>
      <w:pPr>
        <w:spacing w:after="0" w:line="35"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16" w:name="page117"/>
    <w:bookmarkEnd w:id="116"/>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AGREEMENT</w:t>
      </w: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THIS PLEDGE AGREEMENT </w:t>
      </w:r>
      <w:r>
        <w:rPr>
          <w:rFonts w:ascii="Arial" w:cs="Arial" w:eastAsia="Arial" w:hAnsi="Arial"/>
          <w:sz w:val="18"/>
          <w:szCs w:val="18"/>
          <w:color w:val="auto"/>
        </w:rPr>
        <w:t>dated as of March 30, 2016 (as amended, modified, restated or supplemented from time to time, this “</w:t>
      </w:r>
      <w:r>
        <w:rPr>
          <w:rFonts w:ascii="Arial" w:cs="Arial" w:eastAsia="Arial" w:hAnsi="Arial"/>
          <w:sz w:val="18"/>
          <w:szCs w:val="18"/>
          <w:u w:val="single" w:color="auto"/>
          <w:color w:val="auto"/>
        </w:rPr>
        <w:t>Pledge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among the parties identified as “Pledgors” on the signature pages hereto and such other parties as may become Pledgors hereunder after the date hereof (individually a “</w:t>
      </w:r>
      <w:r>
        <w:rPr>
          <w:rFonts w:ascii="Arial" w:cs="Arial" w:eastAsia="Arial" w:hAnsi="Arial"/>
          <w:sz w:val="18"/>
          <w:szCs w:val="18"/>
          <w:u w:val="single" w:color="auto"/>
          <w:color w:val="auto"/>
        </w:rPr>
        <w:t>Pledgor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Pledgors</w:t>
      </w:r>
      <w:r>
        <w:rPr>
          <w:rFonts w:ascii="Arial" w:cs="Arial" w:eastAsia="Arial" w:hAnsi="Arial"/>
          <w:sz w:val="18"/>
          <w:szCs w:val="18"/>
          <w:color w:val="auto"/>
        </w:rPr>
        <w:t>”) and Visium Healthcare Partners, LP,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Secured Parties (defined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1"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 credit facility has been established in favor of Veracyte,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pursuant to the terms of that</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Credit Agreement dated as of March 25, 2016 (as amended, modified, restated, supplemented or extended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Guarantors from time to time party thereto, the Lenders from time to time party thereto and the Administrative Agent;</w:t>
      </w:r>
    </w:p>
    <w:p>
      <w:pPr>
        <w:spacing w:after="0" w:line="14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it is required under the terms of the Credit Agreement that the Pledgors shall have granted, pledged and assigned the security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undertaken the obligations contemplated by this Pledge Agreement;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Pledge Agreement is required under the terms of the Credit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these premises and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hereto agree as follows:</w:t>
      </w:r>
    </w:p>
    <w:p>
      <w:pPr>
        <w:spacing w:after="0" w:line="166"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Capitalized terms used and not otherwise defined herein shall have the meanings provided in the Credit Agreement.</w:t>
      </w:r>
    </w:p>
    <w:p>
      <w:pPr>
        <w:spacing w:after="0" w:line="225" w:lineRule="exact"/>
        <w:rPr>
          <w:rFonts w:ascii="Arial" w:cs="Arial" w:eastAsia="Arial" w:hAnsi="Arial"/>
          <w:sz w:val="18"/>
          <w:szCs w:val="18"/>
          <w:color w:val="auto"/>
        </w:rPr>
      </w:pPr>
    </w:p>
    <w:p>
      <w:pPr>
        <w:ind w:left="660" w:right="260" w:firstLine="645"/>
        <w:spacing w:after="0" w:line="277" w:lineRule="auto"/>
        <w:tabs>
          <w:tab w:leader="none" w:pos="196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assigned thereto in the UCC (defined below): Accession, Financial Asset, Investment Company Security, Proceeds and Security.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As used herein, the following terms shall have the meanings set forth below:</w:t>
      </w:r>
    </w:p>
    <w:p>
      <w:pPr>
        <w:spacing w:after="0" w:line="225" w:lineRule="exact"/>
        <w:rPr>
          <w:rFonts w:ascii="Arial" w:cs="Arial" w:eastAsia="Arial" w:hAnsi="Arial"/>
          <w:sz w:val="18"/>
          <w:szCs w:val="18"/>
          <w:color w:val="auto"/>
        </w:rPr>
      </w:pPr>
    </w:p>
    <w:p>
      <w:pPr>
        <w:ind w:left="1960" w:right="3140"/>
        <w:spacing w:after="0" w:line="50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provided in the introductory paragraph hereof. “</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provided in the recitals hereof.</w:t>
      </w:r>
    </w:p>
    <w:p>
      <w:pPr>
        <w:jc w:val="both"/>
        <w:ind w:left="1960" w:right="4540"/>
        <w:spacing w:after="0" w:line="563"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has the meaning provided in the recitals hereof. “</w:t>
      </w:r>
      <w:r>
        <w:rPr>
          <w:rFonts w:ascii="Arial" w:cs="Arial" w:eastAsia="Arial" w:hAnsi="Arial"/>
          <w:sz w:val="16"/>
          <w:szCs w:val="16"/>
          <w:u w:val="single" w:color="auto"/>
          <w:color w:val="auto"/>
        </w:rPr>
        <w:t>Non-Voting Equity</w:t>
      </w:r>
      <w:r>
        <w:rPr>
          <w:rFonts w:ascii="Arial" w:cs="Arial" w:eastAsia="Arial" w:hAnsi="Arial"/>
          <w:sz w:val="16"/>
          <w:szCs w:val="16"/>
          <w:color w:val="auto"/>
        </w:rPr>
        <w:t xml:space="preserve">” has the meaning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w:t>
      </w:r>
    </w:p>
    <w:p>
      <w:pPr>
        <w:spacing w:after="0" w:line="1" w:lineRule="exact"/>
        <w:rPr>
          <w:rFonts w:ascii="Arial" w:cs="Arial" w:eastAsia="Arial" w:hAnsi="Arial"/>
          <w:sz w:val="18"/>
          <w:szCs w:val="18"/>
          <w:color w:val="auto"/>
        </w:rPr>
      </w:pPr>
    </w:p>
    <w:p>
      <w:pPr>
        <w:ind w:left="1960" w:right="3380"/>
        <w:spacing w:after="0" w:line="573"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Agreement</w:t>
      </w:r>
      <w:r>
        <w:rPr>
          <w:rFonts w:ascii="Arial" w:cs="Arial" w:eastAsia="Arial" w:hAnsi="Arial"/>
          <w:sz w:val="17"/>
          <w:szCs w:val="17"/>
          <w:color w:val="auto"/>
        </w:rPr>
        <w:t>” has the meaning provided in the introductory paragraph hereof. “</w:t>
      </w:r>
      <w:r>
        <w:rPr>
          <w:rFonts w:ascii="Arial" w:cs="Arial" w:eastAsia="Arial" w:hAnsi="Arial"/>
          <w:sz w:val="17"/>
          <w:szCs w:val="17"/>
          <w:u w:val="single" w:color="auto"/>
          <w:color w:val="auto"/>
        </w:rPr>
        <w:t>Pledged Collateral</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Shares</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1300"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without duplication, (a) all Obligations and (b) all costs and expenses incurred in connection with enforcement and collection of the Obligations, including the fees, charges and disbursements of counsel.</w:t>
      </w:r>
    </w:p>
    <w:p>
      <w:pPr>
        <w:spacing w:after="0" w:line="170" w:lineRule="exact"/>
        <w:rPr>
          <w:sz w:val="20"/>
          <w:szCs w:val="20"/>
          <w:color w:val="auto"/>
        </w:rPr>
      </w:pPr>
    </w:p>
    <w:p>
      <w:pPr>
        <w:ind w:left="1300"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collectively, the Administrative Agent, the Lenders and any holder of the Secured Obligations and “</w:t>
      </w:r>
      <w:r>
        <w:rPr>
          <w:rFonts w:ascii="Arial" w:cs="Arial" w:eastAsia="Arial" w:hAnsi="Arial"/>
          <w:sz w:val="18"/>
          <w:szCs w:val="18"/>
          <w:u w:val="single" w:color="auto"/>
          <w:color w:val="auto"/>
        </w:rPr>
        <w:t>Secured Party</w:t>
      </w:r>
      <w:r>
        <w:rPr>
          <w:rFonts w:ascii="Arial" w:cs="Arial" w:eastAsia="Arial" w:hAnsi="Arial"/>
          <w:sz w:val="18"/>
          <w:szCs w:val="18"/>
          <w:color w:val="auto"/>
        </w:rPr>
        <w:t>” means any one of them.</w:t>
      </w:r>
    </w:p>
    <w:p>
      <w:pPr>
        <w:spacing w:after="0" w:line="170" w:lineRule="exact"/>
        <w:rPr>
          <w:sz w:val="20"/>
          <w:szCs w:val="20"/>
          <w:color w:val="auto"/>
        </w:rPr>
      </w:pPr>
    </w:p>
    <w:p>
      <w:pPr>
        <w:ind w:left="1300"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except as such term may be used in connection with the perfection of the Pledged Collateral and then the applicable jurisdiction with respect to such affected Pledged Collateral shall apply.</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Equity</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225" w:lineRule="exact"/>
        <w:rPr>
          <w:sz w:val="20"/>
          <w:szCs w:val="20"/>
          <w:color w:val="auto"/>
        </w:rPr>
      </w:pPr>
    </w:p>
    <w:p>
      <w:pPr>
        <w:ind w:right="60" w:firstLine="656"/>
        <w:spacing w:after="0" w:line="259" w:lineRule="auto"/>
        <w:tabs>
          <w:tab w:leader="none" w:pos="1296"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Pledge and Grant of Security Interest</w:t>
      </w:r>
      <w:r>
        <w:rPr>
          <w:rFonts w:ascii="Arial" w:cs="Arial" w:eastAsia="Arial" w:hAnsi="Arial"/>
          <w:sz w:val="18"/>
          <w:szCs w:val="18"/>
          <w:color w:val="auto"/>
        </w:rPr>
        <w:t>. To secure the prompt payment and performance in full when due, whether by lapse of time, acceleration, mandatory prepayment or otherwise, of the Secured Obligations, each Pledgor hereby grants, pledges and assigns to the Administrative Agent, for the benefit of the Secured Parties, a continuing security interest in any and all right, title and interest of such Pledgor in and to the following, whether now owned or existing or owned, acquired, or arising hereafter (collectively, the “</w:t>
      </w:r>
      <w:r>
        <w:rPr>
          <w:rFonts w:ascii="Arial" w:cs="Arial" w:eastAsia="Arial" w:hAnsi="Arial"/>
          <w:sz w:val="18"/>
          <w:szCs w:val="18"/>
          <w:u w:val="single" w:color="auto"/>
          <w:color w:val="auto"/>
        </w:rPr>
        <w:t>Pledged Collateral</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firstLine="645"/>
        <w:spacing w:after="0" w:line="290" w:lineRule="auto"/>
        <w:tabs>
          <w:tab w:leader="none" w:pos="1954"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Pledged Shares</w:t>
      </w:r>
      <w:r>
        <w:rPr>
          <w:rFonts w:ascii="Arial" w:cs="Arial" w:eastAsia="Arial" w:hAnsi="Arial"/>
          <w:sz w:val="16"/>
          <w:szCs w:val="16"/>
          <w:color w:val="auto"/>
        </w:rPr>
        <w:t xml:space="preserve">. (i) One hundred percent (100%) of the issued and outstanding Equity Interests of each Domestic Subsidiary (other than a Foreign Subsidiary Holding Company) owned directly by such Pledgor set forth on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attached hereto and (ii) sixty-five percent (65%) (or such greater percentage that, due to a change in an applicable Law after the date hereof, (1) could not reasonably be expected to cause the undistributed earnings of such Foreign Subsidiary or any Foreign Subsidiary of a Foreign Subsidiary Holding Company as determined for United States federal income tax purposes to be treated as a deemed dividend to such Foreign Subsidiary’s United States parent, such Foreign Subsidiary Holding Company or such Foreign Subsidiary Holding Company’s United States parent and (2) could not reasonably be expected to cause any material adverse tax consequences) of the issued and outstanding Equity Interests entitled to vote (within the meaning of Treas. Reg. Section 1.956-2(c)(2)) (“</w:t>
      </w:r>
      <w:r>
        <w:rPr>
          <w:rFonts w:ascii="Arial" w:cs="Arial" w:eastAsia="Arial" w:hAnsi="Arial"/>
          <w:sz w:val="16"/>
          <w:szCs w:val="16"/>
          <w:u w:val="single" w:color="auto"/>
          <w:color w:val="auto"/>
        </w:rPr>
        <w:t>Voting Equity</w:t>
      </w:r>
      <w:r>
        <w:rPr>
          <w:rFonts w:ascii="Arial" w:cs="Arial" w:eastAsia="Arial" w:hAnsi="Arial"/>
          <w:sz w:val="16"/>
          <w:szCs w:val="16"/>
          <w:color w:val="auto"/>
        </w:rPr>
        <w:t>”) and one hundred percent (100%) of the issued and outstanding Equity Interests not entitled to vote (within the meaning of</w:t>
      </w:r>
    </w:p>
    <w:p>
      <w:pPr>
        <w:sectPr>
          <w:pgSz w:w="11900" w:h="16865" w:orient="portrait"/>
          <w:cols w:equalWidth="0" w:num="1">
            <w:col w:w="11420"/>
          </w:cols>
          <w:pgMar w:left="240" w:top="121" w:right="239" w:bottom="0" w:gutter="0" w:footer="0" w:header="0"/>
        </w:sectPr>
      </w:pPr>
    </w:p>
    <w:bookmarkStart w:id="117" w:name="page118"/>
    <w:bookmarkEnd w:id="117"/>
    <w:p>
      <w:pPr>
        <w:spacing w:after="0" w:line="50"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Treas. Reg. Section 1.956-2(c)(2)) (“</w:t>
      </w:r>
      <w:r>
        <w:rPr>
          <w:rFonts w:ascii="Arial" w:cs="Arial" w:eastAsia="Arial" w:hAnsi="Arial"/>
          <w:sz w:val="18"/>
          <w:szCs w:val="18"/>
          <w:u w:val="single" w:color="auto"/>
          <w:color w:val="auto"/>
        </w:rPr>
        <w:t>Non-Voting Equity</w:t>
      </w:r>
      <w:r>
        <w:rPr>
          <w:rFonts w:ascii="Arial" w:cs="Arial" w:eastAsia="Arial" w:hAnsi="Arial"/>
          <w:sz w:val="18"/>
          <w:szCs w:val="18"/>
          <w:color w:val="auto"/>
        </w:rPr>
        <w:t xml:space="preserve">”) owned by such Pledgor of each Foreign Subsidiary and each Foreign Subsidiary Holding Company, in each case, directly owned by such Pledgor set forth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attached hereto, in each case together with the certificates (or other agreements or instruments), if any, representing such Equity Interests, and all options and other rights, contractual or otherwise, with respect thereto (collectively, together with the Equity Interests described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2(c)</w:t>
      </w:r>
      <w:r>
        <w:rPr>
          <w:rFonts w:ascii="Arial" w:cs="Arial" w:eastAsia="Arial" w:hAnsi="Arial"/>
          <w:sz w:val="18"/>
          <w:szCs w:val="18"/>
          <w:color w:val="auto"/>
        </w:rPr>
        <w:t xml:space="preserve"> below, the “</w:t>
      </w:r>
      <w:r>
        <w:rPr>
          <w:rFonts w:ascii="Arial" w:cs="Arial" w:eastAsia="Arial" w:hAnsi="Arial"/>
          <w:sz w:val="18"/>
          <w:szCs w:val="18"/>
          <w:u w:val="single" w:color="auto"/>
          <w:color w:val="auto"/>
        </w:rPr>
        <w:t>Pledged Shares</w:t>
      </w:r>
      <w:r>
        <w:rPr>
          <w:rFonts w:ascii="Arial" w:cs="Arial" w:eastAsia="Arial" w:hAnsi="Arial"/>
          <w:sz w:val="18"/>
          <w:szCs w:val="18"/>
          <w:color w:val="auto"/>
        </w:rPr>
        <w:t>”), including, but not limited to, the following:</w:t>
      </w:r>
    </w:p>
    <w:p>
      <w:pPr>
        <w:spacing w:after="0" w:line="188" w:lineRule="exact"/>
        <w:rPr>
          <w:sz w:val="20"/>
          <w:szCs w:val="20"/>
          <w:color w:val="auto"/>
        </w:rPr>
      </w:pPr>
    </w:p>
    <w:p>
      <w:pPr>
        <w:ind w:left="1300" w:right="20" w:firstLine="653"/>
        <w:spacing w:after="0" w:line="257" w:lineRule="auto"/>
        <w:tabs>
          <w:tab w:leader="none" w:pos="261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shares, securities, membership interests and other Equity Interests or other property representing a dividend or other distribution on or in respect of any of the Pledged Shares, or representing a distribution or return of capital upon or in respect of the Pledged Shares, or resulting from a stock split, revision, reclassification or other exchange therefor, and any other dividends, distributions, subscriptions, warrants, cash, securities, instruments, rights, options or other property issued to or received or receivable by the holder of, or otherwise in respect of, the Pledged Shares;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firstLine="653"/>
        <w:spacing w:after="0" w:line="302" w:lineRule="auto"/>
        <w:tabs>
          <w:tab w:leader="none" w:pos="2627" w:val="left"/>
        </w:tabs>
        <w:numPr>
          <w:ilvl w:val="1"/>
          <w:numId w:val="238"/>
        </w:numPr>
        <w:rPr>
          <w:rFonts w:ascii="Arial" w:cs="Arial" w:eastAsia="Arial" w:hAnsi="Arial"/>
          <w:sz w:val="16"/>
          <w:szCs w:val="16"/>
          <w:color w:val="auto"/>
        </w:rPr>
      </w:pPr>
      <w:r>
        <w:rPr>
          <w:rFonts w:ascii="Arial" w:cs="Arial" w:eastAsia="Arial" w:hAnsi="Arial"/>
          <w:sz w:val="16"/>
          <w:szCs w:val="16"/>
          <w:color w:val="auto"/>
        </w:rPr>
        <w:t>without affecting the obligations of the Pledgors under any provision prohibiting such action hereunder or under the Credit Agreement, in the event of any consolidation or merger involving the issuer of any Pledged Shares and in which such issuer is not the surviving Person, all Equity Interests of the successor Person (or such lower amount as specified above in the case of successor Persons that are Foreign Subsidiaries or Foreign Subsidiary Holding Companies) formed by or resulting from such consolidation or merger.</w:t>
      </w:r>
    </w:p>
    <w:p>
      <w:pPr>
        <w:spacing w:after="0" w:line="154" w:lineRule="exact"/>
        <w:rPr>
          <w:rFonts w:ascii="Arial" w:cs="Arial" w:eastAsia="Arial" w:hAnsi="Arial"/>
          <w:sz w:val="16"/>
          <w:szCs w:val="16"/>
          <w:color w:val="auto"/>
        </w:rPr>
      </w:pPr>
    </w:p>
    <w:p>
      <w:pPr>
        <w:ind w:left="660" w:right="60" w:firstLine="645"/>
        <w:spacing w:after="0" w:line="270" w:lineRule="auto"/>
        <w:tabs>
          <w:tab w:leader="none" w:pos="1964"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Additional Shares</w:t>
      </w:r>
      <w:r>
        <w:rPr>
          <w:rFonts w:ascii="Arial" w:cs="Arial" w:eastAsia="Arial" w:hAnsi="Arial"/>
          <w:sz w:val="17"/>
          <w:szCs w:val="17"/>
          <w:color w:val="auto"/>
        </w:rPr>
        <w:t>. (i) One hundred percent (100%) of the issued and outstanding Equity Interests of any Person that hereafter becomes a Domestic Subsidiary (other than a Foreign Subsidiary Holding Company) directly owned by such Pledgor and (ii) sixty-five percent (65%) (or such greater percentage that, due to a change in an applicable Law after the date hereof, (1) could not reasonably be expected to cause the undistributed earnings of such Foreign Subsidiary or any Foreign Subsidiary of a Foreign Subsidiary Holding Company as determined for United States federal income tax purposes to be treated as a deemed dividend to such Foreign Subsidiary’s United States parent, such Foreign Subsidiary Holding Company or such Foreign Subsidiary Holding Company’s United States parent and (2) could not reasonably be expected to cause any material adverse tax consequences) of the Voting Equity and one hundred percent (100%) of the Non-Voting Equity owned by such Pledgor of any Person that hereafter becomes a Foreign Subsidiary or a Foreign Subsidiary Holding Company, in each case, directly owned by such Pledgor, including, without limitation, the certificates (or other agreements or instruments) representing such Equity Interests and all options and other rights, contractual or otherwise, with respect thereto.</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Accessions and Proceeds</w:t>
      </w:r>
      <w:r>
        <w:rPr>
          <w:rFonts w:ascii="Arial" w:cs="Arial" w:eastAsia="Arial" w:hAnsi="Arial"/>
          <w:sz w:val="18"/>
          <w:szCs w:val="18"/>
          <w:color w:val="auto"/>
        </w:rPr>
        <w:t>. All Accessions and all Proceeds of any and all of the foregoing.</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Without limiting the generality of the foregoing, it is hereby specifically understood and agreed that a Pledgor may from time to time hereafter deliver additional Equity Interests to the Administrative Agent as collateral security for the Secured Obligations. Upon delivery to the Administrative Agent, such additional Equity Interests shall be deemed to be part of the Pledged Collateral of such Pledgor and shall be subject to the terms of this Pledge Agreement whether or not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is amended to refer to such additional Equity Interests.</w:t>
      </w:r>
    </w:p>
    <w:p>
      <w:pPr>
        <w:spacing w:after="0" w:line="187" w:lineRule="exact"/>
        <w:rPr>
          <w:sz w:val="20"/>
          <w:szCs w:val="20"/>
          <w:color w:val="auto"/>
        </w:rPr>
      </w:pPr>
    </w:p>
    <w:p>
      <w:pPr>
        <w:ind w:right="420" w:firstLine="656"/>
        <w:spacing w:after="0" w:line="277" w:lineRule="auto"/>
        <w:tabs>
          <w:tab w:leader="none" w:pos="1296"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Security for Secured Obligations</w:t>
      </w:r>
      <w:r>
        <w:rPr>
          <w:rFonts w:ascii="Arial" w:cs="Arial" w:eastAsia="Arial" w:hAnsi="Arial"/>
          <w:sz w:val="18"/>
          <w:szCs w:val="18"/>
          <w:color w:val="auto"/>
        </w:rPr>
        <w:t>. The security interest created hereby in the Pledged Collateral of each Pledgor constitutes continuing collateral security for all of the Secured Obligations, whether now existing or hereinafter arising.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Delivery of the Pledged Collateral</w:t>
      </w:r>
      <w:r>
        <w:rPr>
          <w:rFonts w:ascii="Arial" w:cs="Arial" w:eastAsia="Arial" w:hAnsi="Arial"/>
          <w:sz w:val="18"/>
          <w:szCs w:val="18"/>
          <w:color w:val="auto"/>
        </w:rPr>
        <w:t>. Each Pledgor hereby agrees that:</w:t>
      </w:r>
    </w:p>
    <w:p>
      <w:pPr>
        <w:spacing w:after="0" w:line="225" w:lineRule="exact"/>
        <w:rPr>
          <w:rFonts w:ascii="Arial" w:cs="Arial" w:eastAsia="Arial" w:hAnsi="Arial"/>
          <w:sz w:val="18"/>
          <w:szCs w:val="18"/>
          <w:color w:val="auto"/>
        </w:rPr>
      </w:pPr>
    </w:p>
    <w:p>
      <w:pPr>
        <w:ind w:left="660" w:right="60" w:firstLine="645"/>
        <w:spacing w:after="0" w:line="284" w:lineRule="auto"/>
        <w:tabs>
          <w:tab w:leader="none" w:pos="1954"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Delivery of Certificates</w:t>
      </w:r>
      <w:r>
        <w:rPr>
          <w:rFonts w:ascii="Arial" w:cs="Arial" w:eastAsia="Arial" w:hAnsi="Arial"/>
          <w:sz w:val="16"/>
          <w:szCs w:val="16"/>
          <w:color w:val="auto"/>
        </w:rPr>
        <w:t>. Each Pledgor shall deliver to the Administrative Agent (i) simultaneously with or promptly following the execution and delivery of this Pledge Agreement, all certificates (if any) representing the Pledged Shares of such Pledgor and (ii) promptly upon the receipt thereof by or on behalf of a Pledgor, all other certificates and instruments constituting Pledged Collateral of a Pledgor. Prior to delivery to the Administrative Agent, all such certificates and instruments constituting Pledged Collateral of a Pledgor shall be held in trust by such Pledgor for the benefit of the Administrative Agent pursuant hereto. All such certificates and instruments shall be delivered in suitable form for transfer by delivery or shall be accompanied by duly executed instruments of transfer or assignment in blank, substantially in the form provided in</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Exhibit 4(a)</w:t>
      </w:r>
      <w:r>
        <w:rPr>
          <w:rFonts w:ascii="Arial" w:cs="Arial" w:eastAsia="Arial" w:hAnsi="Arial"/>
          <w:sz w:val="18"/>
          <w:szCs w:val="18"/>
          <w:color w:val="auto"/>
        </w:rPr>
        <w:t xml:space="preserve"> attached 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85" w:lineRule="auto"/>
        <w:tabs>
          <w:tab w:leader="none" w:pos="1964"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Additional Securities</w:t>
      </w:r>
      <w:r>
        <w:rPr>
          <w:rFonts w:ascii="Arial" w:cs="Arial" w:eastAsia="Arial" w:hAnsi="Arial"/>
          <w:sz w:val="16"/>
          <w:szCs w:val="16"/>
          <w:color w:val="auto"/>
        </w:rPr>
        <w:t>. If such Pledgor shall receive (or become entitled to receive) by virtue of its being or having been the owner of any Pledged Collateral, any (i) certificate or instrument, including without limitation, any certificate representing a dividend or distribution in connection with any increase or reduction of capital, reclassification, merger, consolidation, sale of assets, combination of shares or membership or other Equity Interests, stock splits, spin-off or split-off, promissory notes or other instruments, (ii) option or right, whether as an addition to, substitution for, conversion of, or an exchange for, any Pledged Collateral or otherwise in respect thereof, (iii) dividends payable in securities or</w:t>
      </w:r>
    </w:p>
    <w:p>
      <w:pPr>
        <w:spacing w:after="0" w:line="2" w:lineRule="exact"/>
        <w:rPr>
          <w:rFonts w:ascii="Arial" w:cs="Arial" w:eastAsia="Arial" w:hAnsi="Arial"/>
          <w:sz w:val="16"/>
          <w:szCs w:val="16"/>
          <w:color w:val="auto"/>
        </w:rPr>
      </w:pPr>
    </w:p>
    <w:p>
      <w:pPr>
        <w:ind w:left="660" w:right="120" w:hanging="4"/>
        <w:spacing w:after="0" w:line="252" w:lineRule="auto"/>
        <w:tabs>
          <w:tab w:leader="none" w:pos="96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distributions of securities or other Equity Interests, cash or other property in connection with a partial or total liquidation, dissolution or reduction of capital, capital surplus or paid-in surplus, then such Pledgor shall accept and receive each such certificate, instrument, option, right, dividend or distribution in trust for the benefit of the Administrative Agent, shall segregate it from such Pledgor’s other property and shall deliver it forthwith to the Administrative Agent in the exact form received together with any necessary endorsement and/or appropriate stock power duly executed in blank, substantially in the form provided in </w:t>
      </w:r>
      <w:r>
        <w:rPr>
          <w:rFonts w:ascii="Arial" w:cs="Arial" w:eastAsia="Arial" w:hAnsi="Arial"/>
          <w:sz w:val="18"/>
          <w:szCs w:val="18"/>
          <w:u w:val="single" w:color="auto"/>
          <w:color w:val="auto"/>
        </w:rPr>
        <w:t>Exhibit 4(a)</w:t>
      </w:r>
      <w:r>
        <w:rPr>
          <w:rFonts w:ascii="Arial" w:cs="Arial" w:eastAsia="Arial" w:hAnsi="Arial"/>
          <w:sz w:val="18"/>
          <w:szCs w:val="18"/>
          <w:color w:val="auto"/>
        </w:rPr>
        <w:t>, to be held by the Administrative Agent as Pledged Collateral and as further collateral security for the Secured Obligations.</w:t>
      </w:r>
    </w:p>
    <w:p>
      <w:pPr>
        <w:spacing w:after="0" w:line="194" w:lineRule="exact"/>
        <w:rPr>
          <w:rFonts w:ascii="Arial" w:cs="Arial" w:eastAsia="Arial" w:hAnsi="Arial"/>
          <w:sz w:val="18"/>
          <w:szCs w:val="18"/>
          <w:color w:val="auto"/>
        </w:rPr>
      </w:pPr>
    </w:p>
    <w:p>
      <w:pPr>
        <w:ind w:left="660" w:firstLine="645"/>
        <w:spacing w:after="0" w:line="257" w:lineRule="auto"/>
        <w:tabs>
          <w:tab w:leader="none" w:pos="1967"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Financing Statements</w:t>
      </w:r>
      <w:r>
        <w:rPr>
          <w:rFonts w:ascii="Arial" w:cs="Arial" w:eastAsia="Arial" w:hAnsi="Arial"/>
          <w:sz w:val="18"/>
          <w:szCs w:val="18"/>
          <w:color w:val="auto"/>
        </w:rPr>
        <w:t>. Each Pledgor authorizes the Administrative Agent to file one or more financing statements (including authorization to describe the Pledged Collateral as “all assets” or words of similar meaning) disclosing the Administrative Agent’s security interest in the Pledged Collateral. Each Pledgor agrees to execute and deliver to the Administrative Agent such financing statements and other filings as may be reasonably requested by the Administrative Agent in order to perfect and protect the security interest created hereby in the Pledged Collateral of such Pledgor.</w:t>
      </w:r>
    </w:p>
    <w:p>
      <w:pPr>
        <w:spacing w:after="0" w:line="188" w:lineRule="exact"/>
        <w:rPr>
          <w:sz w:val="20"/>
          <w:szCs w:val="20"/>
          <w:color w:val="auto"/>
        </w:rPr>
      </w:pPr>
    </w:p>
    <w:p>
      <w:pPr>
        <w:ind w:left="1300" w:hanging="644"/>
        <w:spacing w:after="0"/>
        <w:tabs>
          <w:tab w:leader="none" w:pos="130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Pledgor hereby represents and warrants to the Administrative Agent, for the benefit of the Secured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that:</w:t>
      </w:r>
    </w:p>
    <w:p>
      <w:pPr>
        <w:sectPr>
          <w:pgSz w:w="11900" w:h="16888" w:orient="portrait"/>
          <w:cols w:equalWidth="0" w:num="1">
            <w:col w:w="11420"/>
          </w:cols>
          <w:pgMar w:left="240" w:top="125" w:right="239" w:bottom="0" w:gutter="0" w:footer="0" w:header="0"/>
        </w:sectPr>
      </w:pPr>
    </w:p>
    <w:bookmarkStart w:id="118" w:name="page119"/>
    <w:bookmarkEnd w:id="118"/>
    <w:p>
      <w:pPr>
        <w:spacing w:after="0" w:line="137" w:lineRule="exact"/>
        <w:rPr>
          <w:sz w:val="20"/>
          <w:szCs w:val="20"/>
          <w:color w:val="auto"/>
        </w:rPr>
      </w:pPr>
    </w:p>
    <w:p>
      <w:pPr>
        <w:ind w:left="640" w:right="40" w:firstLine="645"/>
        <w:spacing w:after="0" w:line="277" w:lineRule="auto"/>
        <w:tabs>
          <w:tab w:leader="none" w:pos="1934"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Authorization of Pledged Shares</w:t>
      </w:r>
      <w:r>
        <w:rPr>
          <w:rFonts w:ascii="Arial" w:cs="Arial" w:eastAsia="Arial" w:hAnsi="Arial"/>
          <w:sz w:val="18"/>
          <w:szCs w:val="18"/>
          <w:color w:val="auto"/>
        </w:rPr>
        <w:t>. The Pledged Shares are duly authorized and validly issued, are fully paid and nonassessable and are not subject to the preemptive rights of any Person.</w:t>
      </w:r>
    </w:p>
    <w:p>
      <w:pPr>
        <w:spacing w:after="0" w:line="170" w:lineRule="exact"/>
        <w:rPr>
          <w:rFonts w:ascii="Arial" w:cs="Arial" w:eastAsia="Arial" w:hAnsi="Arial"/>
          <w:sz w:val="18"/>
          <w:szCs w:val="18"/>
          <w:color w:val="auto"/>
        </w:rPr>
      </w:pPr>
    </w:p>
    <w:p>
      <w:pPr>
        <w:jc w:val="both"/>
        <w:ind w:left="640" w:right="80" w:firstLine="645"/>
        <w:spacing w:after="0" w:line="264" w:lineRule="auto"/>
        <w:tabs>
          <w:tab w:leader="none" w:pos="1944"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Each Pledgor has good and indefeasible title to the Pledged Collateral of such Pledgor and is the legal and beneficial owner of such Pledged Collateral free and clear of any Lien, other than Permitted Liens. There exists no “adverse claim” within the meaning of Section 8-102 of the UCC with respect to the Pledged Shares of such Pledgor, other than Permitted Liens.</w:t>
      </w:r>
    </w:p>
    <w:p>
      <w:pPr>
        <w:spacing w:after="0" w:line="181" w:lineRule="exact"/>
        <w:rPr>
          <w:rFonts w:ascii="Arial" w:cs="Arial" w:eastAsia="Arial" w:hAnsi="Arial"/>
          <w:sz w:val="18"/>
          <w:szCs w:val="18"/>
          <w:color w:val="auto"/>
        </w:rPr>
      </w:pPr>
    </w:p>
    <w:p>
      <w:pPr>
        <w:ind w:left="640" w:right="160" w:firstLine="645"/>
        <w:spacing w:after="0" w:line="276" w:lineRule="auto"/>
        <w:tabs>
          <w:tab w:leader="none" w:pos="1947"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Exercising of Rights</w:t>
      </w:r>
      <w:r>
        <w:rPr>
          <w:rFonts w:ascii="Arial" w:cs="Arial" w:eastAsia="Arial" w:hAnsi="Arial"/>
          <w:sz w:val="17"/>
          <w:szCs w:val="17"/>
          <w:color w:val="auto"/>
        </w:rPr>
        <w:t>. The exercise by the Administrative Agent of its rights and remedies hereunder will not violate any Law or governmental regulation applicable to such Pledgor or any material contractual restriction binding on or affecting a Pledgor or any of its property. There are no restrictions in any Organization Document governing any Pledged Collateral or any document related thereto which would limit or restrict the grant of a Lien pursuant to this Pledge Agreement on such Pledged Collateral, the perfection of such Lien or the exercise of remedies in respect of such perfected Lien in the Pledged Collateral as contemplated by this Pledge Agreement.</w:t>
      </w:r>
    </w:p>
    <w:p>
      <w:pPr>
        <w:spacing w:after="0" w:line="172" w:lineRule="exact"/>
        <w:rPr>
          <w:rFonts w:ascii="Arial" w:cs="Arial" w:eastAsia="Arial" w:hAnsi="Arial"/>
          <w:sz w:val="17"/>
          <w:szCs w:val="17"/>
          <w:color w:val="auto"/>
        </w:rPr>
      </w:pPr>
    </w:p>
    <w:p>
      <w:pPr>
        <w:ind w:left="640" w:right="40" w:firstLine="645"/>
        <w:spacing w:after="0" w:line="277" w:lineRule="auto"/>
        <w:tabs>
          <w:tab w:leader="none" w:pos="1944"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Pledgor’s Authority</w:t>
      </w:r>
      <w:r>
        <w:rPr>
          <w:rFonts w:ascii="Arial" w:cs="Arial" w:eastAsia="Arial" w:hAnsi="Arial"/>
          <w:sz w:val="18"/>
          <w:szCs w:val="18"/>
          <w:color w:val="auto"/>
        </w:rPr>
        <w:t>. No authorization, approval or action by, and no notice or filing with any Governmental Authority or with the issuer of any Pledged Shares or any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40"/>
        <w:spacing w:after="0" w:line="312" w:lineRule="auto"/>
        <w:rPr>
          <w:sz w:val="20"/>
          <w:szCs w:val="20"/>
          <w:color w:val="auto"/>
        </w:rPr>
      </w:pPr>
      <w:r>
        <w:rPr>
          <w:rFonts w:ascii="Arial" w:cs="Arial" w:eastAsia="Arial" w:hAnsi="Arial"/>
          <w:sz w:val="16"/>
          <w:szCs w:val="16"/>
          <w:color w:val="auto"/>
        </w:rPr>
        <w:t>Person is required either (i) for the pledge made by a Pledgor or for the granting of the security interest by a Pledgor pursuant to this Pledge Agreement (except as have been already obtained) or (ii) for the exercise by the Administrative Agent or the Secured Parties of their rights and remedies hereunder (except as may be required by the UCC or applicable foreign laws or laws affecting the offering and sale of securities).</w:t>
      </w:r>
    </w:p>
    <w:p>
      <w:pPr>
        <w:spacing w:after="0" w:line="147" w:lineRule="exact"/>
        <w:rPr>
          <w:sz w:val="20"/>
          <w:szCs w:val="20"/>
          <w:color w:val="auto"/>
        </w:rPr>
      </w:pPr>
    </w:p>
    <w:p>
      <w:pPr>
        <w:ind w:left="640" w:right="20" w:firstLine="645"/>
        <w:spacing w:after="0" w:line="255" w:lineRule="auto"/>
        <w:tabs>
          <w:tab w:leader="none" w:pos="1947"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Security Interest/Priority</w:t>
      </w:r>
      <w:r>
        <w:rPr>
          <w:rFonts w:ascii="Arial" w:cs="Arial" w:eastAsia="Arial" w:hAnsi="Arial"/>
          <w:sz w:val="18"/>
          <w:szCs w:val="18"/>
          <w:color w:val="auto"/>
        </w:rPr>
        <w:t xml:space="preserve">. This Pledge Agreement creates a valid security interest in favor of the Administrative Agent for the benefit of the Secured Parties, in the Pledged Collateral. The taking of possession by the Administrative Agent of the certificates representing the Pledged Shares and all other certificates and instruments constituting Pledged Collateral will perfect and establish the first priority of the Administrative Agent’s security interest in the Pledged Shares and, when properly perfected by filing a UCC financing statement or registration, in all other Pledged Collateral represented by such Pledged Shares and instruments securing the Secured Obligations to the extent such security interest can be perfected by filing a UCC financing statement. Except as set forth in this </w:t>
      </w:r>
      <w:r>
        <w:rPr>
          <w:rFonts w:ascii="Arial" w:cs="Arial" w:eastAsia="Arial" w:hAnsi="Arial"/>
          <w:sz w:val="18"/>
          <w:szCs w:val="18"/>
          <w:u w:val="single" w:color="auto"/>
          <w:color w:val="auto"/>
        </w:rPr>
        <w:t>Section 5(e)</w:t>
      </w:r>
      <w:r>
        <w:rPr>
          <w:rFonts w:ascii="Arial" w:cs="Arial" w:eastAsia="Arial" w:hAnsi="Arial"/>
          <w:sz w:val="18"/>
          <w:szCs w:val="18"/>
          <w:color w:val="auto"/>
        </w:rPr>
        <w:t>, no action is necessary to perfect or otherwise protect such security interest.</w:t>
      </w:r>
    </w:p>
    <w:p>
      <w:pPr>
        <w:spacing w:after="0" w:line="189" w:lineRule="exact"/>
        <w:rPr>
          <w:rFonts w:ascii="Arial" w:cs="Arial" w:eastAsia="Arial" w:hAnsi="Arial"/>
          <w:sz w:val="18"/>
          <w:szCs w:val="18"/>
          <w:color w:val="auto"/>
        </w:rPr>
      </w:pPr>
    </w:p>
    <w:p>
      <w:pPr>
        <w:ind w:left="640" w:right="320" w:firstLine="645"/>
        <w:spacing w:after="0" w:line="291" w:lineRule="auto"/>
        <w:tabs>
          <w:tab w:leader="none" w:pos="1941"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Partnership and Membership Interests</w:t>
      </w:r>
      <w:r>
        <w:rPr>
          <w:rFonts w:ascii="Arial" w:cs="Arial" w:eastAsia="Arial" w:hAnsi="Arial"/>
          <w:sz w:val="16"/>
          <w:szCs w:val="16"/>
          <w:color w:val="auto"/>
        </w:rPr>
        <w:t>. Except as disclosed to the Administrative Agent by written notice, none of the Pledged Shares consisting of partnership or limited liability company interests (i) is dealt in or traded on a securities exchange or in a securities market,</w:t>
      </w:r>
    </w:p>
    <w:p>
      <w:pPr>
        <w:ind w:left="640" w:right="240" w:hanging="4"/>
        <w:spacing w:after="0" w:line="261" w:lineRule="auto"/>
        <w:tabs>
          <w:tab w:leader="none" w:pos="90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by its terms expressly provides that it is a security governed by Article 8 of the UCC, (iii) is an Investment Company Security, (iv) is held in a securities account or (v) constitutes a Security or a Financial Asset.</w:t>
      </w:r>
    </w:p>
    <w:p>
      <w:pPr>
        <w:spacing w:after="0" w:line="183" w:lineRule="exact"/>
        <w:rPr>
          <w:rFonts w:ascii="Arial" w:cs="Arial" w:eastAsia="Arial" w:hAnsi="Arial"/>
          <w:sz w:val="18"/>
          <w:szCs w:val="18"/>
          <w:color w:val="auto"/>
        </w:rPr>
      </w:pPr>
    </w:p>
    <w:p>
      <w:pPr>
        <w:ind w:left="640" w:right="540" w:firstLine="645"/>
        <w:spacing w:after="0" w:line="277" w:lineRule="auto"/>
        <w:tabs>
          <w:tab w:leader="none" w:pos="1957"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No Other Interests</w:t>
      </w:r>
      <w:r>
        <w:rPr>
          <w:rFonts w:ascii="Arial" w:cs="Arial" w:eastAsia="Arial" w:hAnsi="Arial"/>
          <w:sz w:val="18"/>
          <w:szCs w:val="18"/>
          <w:color w:val="auto"/>
        </w:rPr>
        <w:t xml:space="preserve">. As of the date hereof, no Pledgor owns any Equity Interests in any Subsidiary other than as set forth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left="-20" w:right="220" w:firstLine="656"/>
        <w:spacing w:after="0" w:line="264" w:lineRule="auto"/>
        <w:tabs>
          <w:tab w:leader="none" w:pos="127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Pledgor hereby covenants, that so long as any of the Secured Obligations (other than contingent indemnification obligations for which no claim has been asserted) remain outstanding and until all of the Commitments relating thereto have been terminated, such Pledgor shall:</w:t>
      </w:r>
    </w:p>
    <w:p>
      <w:pPr>
        <w:spacing w:after="0" w:line="181" w:lineRule="exact"/>
        <w:rPr>
          <w:rFonts w:ascii="Arial" w:cs="Arial" w:eastAsia="Arial" w:hAnsi="Arial"/>
          <w:sz w:val="18"/>
          <w:szCs w:val="18"/>
          <w:color w:val="auto"/>
        </w:rPr>
      </w:pPr>
    </w:p>
    <w:p>
      <w:pPr>
        <w:jc w:val="both"/>
        <w:ind w:left="640" w:right="140" w:firstLine="645"/>
        <w:spacing w:after="0" w:line="259" w:lineRule="auto"/>
        <w:tabs>
          <w:tab w:leader="none" w:pos="1934"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Defense of Title</w:t>
      </w:r>
      <w:r>
        <w:rPr>
          <w:rFonts w:ascii="Arial" w:cs="Arial" w:eastAsia="Arial" w:hAnsi="Arial"/>
          <w:sz w:val="18"/>
          <w:szCs w:val="18"/>
          <w:color w:val="auto"/>
        </w:rPr>
        <w:t>. Warrant and defend title to and ownership of the Pledged Collateral of such Pledgor at its own expense against the claims and demands of all other parties claiming an interest therein, keep the Pledged Collateral free from all Liens, except for Permitted Liens, and not sell, exchange, transfer, assign, lease or otherwise dispose of Pledged Collateral of such Pledgor or any interest therein, except as permitted under the Credit Agreement and the other Loan Documents.</w:t>
      </w:r>
    </w:p>
    <w:p>
      <w:pPr>
        <w:spacing w:after="0" w:line="186" w:lineRule="exact"/>
        <w:rPr>
          <w:rFonts w:ascii="Arial" w:cs="Arial" w:eastAsia="Arial" w:hAnsi="Arial"/>
          <w:sz w:val="18"/>
          <w:szCs w:val="18"/>
          <w:color w:val="auto"/>
        </w:rPr>
      </w:pPr>
    </w:p>
    <w:p>
      <w:pPr>
        <w:jc w:val="both"/>
        <w:ind w:left="640" w:right="120" w:firstLine="645"/>
        <w:spacing w:after="0" w:line="285" w:lineRule="auto"/>
        <w:tabs>
          <w:tab w:leader="none" w:pos="1944"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Promptly execute and deliver at its expense all further instruments and documents and take all further action that may be necessary and desirable or that the Administrative Agent may reasonably request in order to (i) perfect and protect the security interest created hereby in the Pledged Collateral of such Pledgor (including, without limitation, any and all other action reasonably necessary to satisfy the Administrative Agent that the Administrative Agent has obtained a first priority perfected security interest in all Pledged Collateral), (ii) enable the Administrative Agent to exercise and enforce its rights and remedies hereunder in respect of the Pledged Collateral of such Pledgor and</w:t>
      </w:r>
    </w:p>
    <w:p>
      <w:pPr>
        <w:spacing w:after="0" w:line="2" w:lineRule="exact"/>
        <w:rPr>
          <w:rFonts w:ascii="Arial" w:cs="Arial" w:eastAsia="Arial" w:hAnsi="Arial"/>
          <w:sz w:val="16"/>
          <w:szCs w:val="16"/>
          <w:color w:val="auto"/>
        </w:rPr>
      </w:pPr>
    </w:p>
    <w:p>
      <w:pPr>
        <w:ind w:left="640"/>
        <w:spacing w:after="0" w:line="261" w:lineRule="auto"/>
        <w:rPr>
          <w:rFonts w:ascii="Arial" w:cs="Arial" w:eastAsia="Arial" w:hAnsi="Arial"/>
          <w:sz w:val="16"/>
          <w:szCs w:val="16"/>
          <w:color w:val="auto"/>
        </w:rPr>
      </w:pPr>
      <w:r>
        <w:rPr>
          <w:rFonts w:ascii="Arial" w:cs="Arial" w:eastAsia="Arial" w:hAnsi="Arial"/>
          <w:sz w:val="18"/>
          <w:szCs w:val="18"/>
          <w:color w:val="auto"/>
        </w:rPr>
        <w:t>(iii) otherwise effect the purposes of this Pledge Agreement, including, without limitation and if requested by the Administrative Agent, delivering to the Administrative Agent upon its request following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occurrence and continuation of an Event of Default, irrevocable proxies in respect of the Pledged Collateral of such Pledgor.</w:t>
      </w:r>
    </w:p>
    <w:p>
      <w:pPr>
        <w:spacing w:after="0" w:line="225" w:lineRule="exact"/>
        <w:rPr>
          <w:sz w:val="20"/>
          <w:szCs w:val="20"/>
          <w:color w:val="auto"/>
        </w:rPr>
      </w:pPr>
    </w:p>
    <w:p>
      <w:pPr>
        <w:ind w:left="640" w:right="120" w:firstLine="645"/>
        <w:spacing w:after="0" w:line="264" w:lineRule="auto"/>
        <w:tabs>
          <w:tab w:leader="none" w:pos="1947"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Not make or consent to any amendment or other modification or waiver with respect to any of the Pledged Collateral of such Pledgor or enter into any agreement or allow to exist any restriction with respect to any of the Pledged Collateral of such Pledgor other than as may be permitted under the Credit Agreement.</w:t>
      </w:r>
    </w:p>
    <w:p>
      <w:pPr>
        <w:spacing w:after="0" w:line="181" w:lineRule="exact"/>
        <w:rPr>
          <w:rFonts w:ascii="Arial" w:cs="Arial" w:eastAsia="Arial" w:hAnsi="Arial"/>
          <w:sz w:val="18"/>
          <w:szCs w:val="18"/>
          <w:color w:val="auto"/>
        </w:rPr>
      </w:pPr>
    </w:p>
    <w:p>
      <w:pPr>
        <w:ind w:left="640" w:firstLine="645"/>
        <w:spacing w:after="0" w:line="308" w:lineRule="auto"/>
        <w:tabs>
          <w:tab w:leader="none" w:pos="1944"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Compliance with Securities Laws</w:t>
      </w:r>
      <w:r>
        <w:rPr>
          <w:rFonts w:ascii="Arial" w:cs="Arial" w:eastAsia="Arial" w:hAnsi="Arial"/>
          <w:sz w:val="17"/>
          <w:szCs w:val="17"/>
          <w:color w:val="auto"/>
        </w:rPr>
        <w:t>. File all reports and other information now or hereafter required to be filed by such Pledgor with the SEC and any other state, federal or foreign agency in connection with the ownership of the Pledged Collateral of such Pledgor.</w:t>
      </w:r>
    </w:p>
    <w:p>
      <w:pPr>
        <w:spacing w:after="0" w:line="146" w:lineRule="exact"/>
        <w:rPr>
          <w:rFonts w:ascii="Arial" w:cs="Arial" w:eastAsia="Arial" w:hAnsi="Arial"/>
          <w:sz w:val="17"/>
          <w:szCs w:val="17"/>
          <w:color w:val="auto"/>
        </w:rPr>
      </w:pPr>
    </w:p>
    <w:p>
      <w:pPr>
        <w:ind w:left="640" w:right="420" w:firstLine="645"/>
        <w:spacing w:after="0" w:line="277" w:lineRule="auto"/>
        <w:tabs>
          <w:tab w:leader="none" w:pos="1947"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Mark its books and records (and shall cause the issuer of the Pledged Shares of such Pledgor to mark its books and records) to reflect the security interest granted pursuant to this Pledge Agreement.</w:t>
      </w:r>
    </w:p>
    <w:p>
      <w:pPr>
        <w:spacing w:after="0" w:line="170" w:lineRule="exact"/>
        <w:rPr>
          <w:rFonts w:ascii="Arial" w:cs="Arial" w:eastAsia="Arial" w:hAnsi="Arial"/>
          <w:sz w:val="18"/>
          <w:szCs w:val="18"/>
          <w:color w:val="auto"/>
        </w:rPr>
      </w:pPr>
    </w:p>
    <w:p>
      <w:pPr>
        <w:ind w:left="640" w:right="400" w:firstLine="645"/>
        <w:spacing w:after="0" w:line="342" w:lineRule="auto"/>
        <w:tabs>
          <w:tab w:leader="none" w:pos="1941"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Issuance or Acquisition of Equity Interests</w:t>
      </w:r>
      <w:r>
        <w:rPr>
          <w:rFonts w:ascii="Arial" w:cs="Arial" w:eastAsia="Arial" w:hAnsi="Arial"/>
          <w:sz w:val="16"/>
          <w:szCs w:val="16"/>
          <w:color w:val="auto"/>
        </w:rPr>
        <w:t>. Not, without promptly executing and delivering, or causing to be executed and delivered, to the Administrative Agent such agreements, documents and instruments as the Administrative Agent may reasonably request (or as</w:t>
      </w:r>
    </w:p>
    <w:p>
      <w:pPr>
        <w:sectPr>
          <w:pgSz w:w="11900" w:h="16975" w:orient="portrait"/>
          <w:cols w:equalWidth="0" w:num="1">
            <w:col w:w="11380"/>
          </w:cols>
          <w:pgMar w:left="260" w:top="341" w:right="259" w:bottom="0" w:gutter="0" w:footer="0" w:header="0"/>
        </w:sectPr>
      </w:pPr>
    </w:p>
    <w:bookmarkStart w:id="119" w:name="page120"/>
    <w:bookmarkEnd w:id="119"/>
    <w:p>
      <w:pPr>
        <w:ind w:left="640" w:right="60"/>
        <w:spacing w:after="0" w:line="259" w:lineRule="auto"/>
        <w:rPr>
          <w:sz w:val="20"/>
          <w:szCs w:val="20"/>
          <w:color w:val="auto"/>
        </w:rPr>
      </w:pPr>
      <w:r>
        <w:rPr>
          <w:rFonts w:ascii="Arial" w:cs="Arial" w:eastAsia="Arial" w:hAnsi="Arial"/>
          <w:sz w:val="18"/>
          <w:szCs w:val="18"/>
          <w:color w:val="auto"/>
        </w:rPr>
        <w:t>required under the Credit Agreement) for the purpose of perfecting its security interest therein, issue or acquire any Equity Interests constituting Pledged Collateral consisting of an interest in a partnership or a limited liability company that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187" w:lineRule="exact"/>
        <w:rPr>
          <w:sz w:val="20"/>
          <w:szCs w:val="20"/>
          <w:color w:val="auto"/>
        </w:rPr>
      </w:pPr>
    </w:p>
    <w:p>
      <w:pPr>
        <w:ind w:left="-20" w:right="40" w:firstLine="656"/>
        <w:spacing w:after="0" w:line="287" w:lineRule="auto"/>
        <w:tabs>
          <w:tab w:leader="none" w:pos="1276" w:val="left"/>
        </w:tabs>
        <w:numPr>
          <w:ilvl w:val="0"/>
          <w:numId w:val="249"/>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xml:space="preserve">. On failure of any Pledgor to perform any of the covenants and agreements contained herein or in any other Loan Document, the Administrative Agent may, at its sole option and in its sole discretion, perform the same and in so doing may expend such sums as the Administrative Agent may reasonably deem advisable in the performance thereof, including, without limitation, the payment of any insurance premiums, the payment of any taxes, a payment to obtain a release of a Lien or potential Lien, expenditures made in defending against any adverse claim and all other expenditures that the Administrative Agent may make for the protection of the security hereof or may be compelled to make by operation of law. All such sums and amounts so expended shall be repayable by the Pledgors on a joint and several basis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promptly upon timely notice thereof and demand therefor, shall constitute additional Secured Obligations and shall bear interest from the date said amounts are expended at the Default Rate. No such performance of any covenant or agreement by the Administrative Agent on behalf of any Pledgor, and no such advance or expenditure therefor, shall relieve the Pledgors of any Default or Event of Default. The Administrative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 Pledgor in appropriate proceedings and against which adequate reserves are being maintained in accordance with GAAP.</w:t>
      </w:r>
    </w:p>
    <w:p>
      <w:pPr>
        <w:spacing w:after="0" w:line="168" w:lineRule="exact"/>
        <w:rPr>
          <w:rFonts w:ascii="Arial" w:cs="Arial" w:eastAsia="Arial" w:hAnsi="Arial"/>
          <w:sz w:val="16"/>
          <w:szCs w:val="16"/>
          <w:color w:val="auto"/>
        </w:rPr>
      </w:pPr>
    </w:p>
    <w:p>
      <w:pPr>
        <w:ind w:left="1280" w:hanging="644"/>
        <w:spacing w:after="0"/>
        <w:tabs>
          <w:tab w:leader="none" w:pos="12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360" w:firstLine="645"/>
        <w:spacing w:after="0" w:line="342" w:lineRule="auto"/>
        <w:tabs>
          <w:tab w:leader="none" w:pos="1934"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General Remedies</w:t>
      </w:r>
      <w:r>
        <w:rPr>
          <w:rFonts w:ascii="Arial" w:cs="Arial" w:eastAsia="Arial" w:hAnsi="Arial"/>
          <w:sz w:val="16"/>
          <w:szCs w:val="16"/>
          <w:color w:val="auto"/>
        </w:rPr>
        <w:t>. Upon the occurrence of an Event of Default and during the continuation thereof, the Administrative Agent shall have, in addition to the rights and remedies provided herein, in the Loan Documents, in any other documents relating to the Secured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Obligations, or by law (including, without limitation, levy of attachment and garnishment), the rights and remedies of a secured party under the Uniform Commercial Code of the jurisdiction applicable to the affected Pledged Collateral.</w:t>
      </w:r>
    </w:p>
    <w:p>
      <w:pPr>
        <w:spacing w:after="0" w:line="170" w:lineRule="exact"/>
        <w:rPr>
          <w:sz w:val="20"/>
          <w:szCs w:val="20"/>
          <w:color w:val="auto"/>
        </w:rPr>
      </w:pPr>
    </w:p>
    <w:p>
      <w:pPr>
        <w:ind w:left="640" w:firstLine="645"/>
        <w:spacing w:after="0" w:line="284" w:lineRule="auto"/>
        <w:tabs>
          <w:tab w:leader="none" w:pos="1944"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Sale of Pledged Collateral</w:t>
      </w:r>
      <w:r>
        <w:rPr>
          <w:rFonts w:ascii="Arial" w:cs="Arial" w:eastAsia="Arial" w:hAnsi="Arial"/>
          <w:sz w:val="16"/>
          <w:szCs w:val="16"/>
          <w:color w:val="auto"/>
        </w:rPr>
        <w:t xml:space="preserve">. Upon the occurrence of an Event of Default and during the continuation thereof, without limiting the generality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without notice, the Administrative Agent may, in its sole discretion, sell or otherwise dispose of or realize upon the Pledged Collateral, or any part thereof, in one or more parcels, at public or private sale, at any exchange or broker’s board or elsewhere, at such price or prices and on such other terms as the Administrative Agent may deem commercially reasonable, for cash, credit or for future delivery or otherwise in accordance with applicable law. To the extent permitted by law, any Secured Party may in such event, bid for the purchase of such securities. Each Pledgor agrees that, to the extent notice of sale shall be required by law and has not been waived by such Pledgor, any requirement of reasonable notice shall be met if notice, specifying the place of any public sale or the time after which any private sale is to be made, is personally served on or mailed, postage prepaid, to such Pledgor, in accordance with the notice provisions of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of the Credit Agreement at least ten</w:t>
      </w:r>
    </w:p>
    <w:p>
      <w:pPr>
        <w:spacing w:after="0" w:line="1" w:lineRule="exact"/>
        <w:rPr>
          <w:rFonts w:ascii="Arial" w:cs="Arial" w:eastAsia="Arial" w:hAnsi="Arial"/>
          <w:sz w:val="16"/>
          <w:szCs w:val="16"/>
          <w:color w:val="auto"/>
        </w:rPr>
      </w:pPr>
    </w:p>
    <w:p>
      <w:pPr>
        <w:ind w:left="640" w:right="320" w:hanging="4"/>
        <w:spacing w:after="0" w:line="254" w:lineRule="auto"/>
        <w:tabs>
          <w:tab w:leader="none" w:pos="98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Business Days before the time of such sale. The Administrative Agent shall not be obligated to make any sale of Pledged Collateral of such Pledgor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89" w:lineRule="exact"/>
        <w:rPr>
          <w:rFonts w:ascii="Arial" w:cs="Arial" w:eastAsia="Arial" w:hAnsi="Arial"/>
          <w:sz w:val="18"/>
          <w:szCs w:val="18"/>
          <w:color w:val="auto"/>
        </w:rPr>
      </w:pPr>
    </w:p>
    <w:p>
      <w:pPr>
        <w:ind w:left="640" w:right="20" w:firstLine="645"/>
        <w:spacing w:after="0" w:line="286" w:lineRule="auto"/>
        <w:tabs>
          <w:tab w:leader="none" w:pos="1947"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Private Sale</w:t>
      </w:r>
      <w:r>
        <w:rPr>
          <w:rFonts w:ascii="Arial" w:cs="Arial" w:eastAsia="Arial" w:hAnsi="Arial"/>
          <w:sz w:val="16"/>
          <w:szCs w:val="16"/>
          <w:color w:val="auto"/>
        </w:rPr>
        <w:t>. Upon the occurrence of an Event of Default and during the continuation thereof, the Pledgors recognize that the Administrative Agent may be unable or deem it impracticable to effect a public sale of all or any part of the Pledged Shares or any of the securities constituting Pledged Collateral and that the Administrative Agent may, therefore, determine to make one or more private sales of any such Pledged Collateral to a restricted group of purchasers who will be obligated to agree, among other things, to acquire such Pledged Collateral for their own account, for investment and not with a view to the distribution or resale thereof. Each Pledgor acknowledges and agrees that any such private sale may be at prices and on other terms less favorable than the prices and other terms that might have been obtained at a public sale and, notwithstanding the foregoing, agrees that such private sale shall be deemed to have been made in a commercially reasonable manner and that the Administrative Agent shall have no obligation to delay sale of any such Pledged Collateral for the period of time necessary to permit the issuer of such Pledged Collateral to register such Pledged Collateral for public sale under the Securities Act or under applicable state securities laws. Each Pledgor further acknowledges and agrees that any offer to sell such Pledged Collateral that has been publicly advertised on a bona fide basis in a newspaper or other publication of general circulation in the financial community of New York, New York (to the extent that such offer may be advertised without prior registration under the Securities Act) shall be deemed to involve a “public sale” under the UCC, notwithstanding that such sale may not constitute a “public offering” under the Securities Act, and the Administrative Agent may, in such event, bid for the purchase of such Pledged Collateral.</w:t>
      </w:r>
    </w:p>
    <w:p>
      <w:pPr>
        <w:spacing w:after="0" w:line="174" w:lineRule="exact"/>
        <w:rPr>
          <w:rFonts w:ascii="Arial" w:cs="Arial" w:eastAsia="Arial" w:hAnsi="Arial"/>
          <w:sz w:val="16"/>
          <w:szCs w:val="16"/>
          <w:color w:val="auto"/>
        </w:rPr>
      </w:pPr>
    </w:p>
    <w:p>
      <w:pPr>
        <w:ind w:left="640" w:right="100" w:firstLine="645"/>
        <w:spacing w:after="0" w:line="259" w:lineRule="auto"/>
        <w:tabs>
          <w:tab w:leader="none" w:pos="1944"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Retention of Pledged Collateral</w:t>
      </w:r>
      <w:r>
        <w:rPr>
          <w:rFonts w:ascii="Arial" w:cs="Arial" w:eastAsia="Arial" w:hAnsi="Arial"/>
          <w:sz w:val="18"/>
          <w:szCs w:val="18"/>
          <w:color w:val="auto"/>
        </w:rPr>
        <w:t>. To the extent permitted by applicable law, in addition to the rights and remedies hereunder, upon the occurrence of an Event of Default and during the continuation thereof, the Administrative Agent may, after providing the notices required by Sections 9-620 and 9-621 of the UCC (or any successor section) or otherwise complying with the requirements of applicable law of the relevant jurisdiction, retain all or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color w:val="auto"/>
        </w:rPr>
        <w:t>portion of the Pledged Collateral in satisfaction of the Secured Obligations. Unless and until the Administrative Agent shall have provided such notices, however, the Administrative Agent shall not be deemed to have retained any Pledged Collateral in satisfaction of any Secured Obligations for any reason.</w:t>
      </w:r>
    </w:p>
    <w:p>
      <w:pPr>
        <w:spacing w:after="0" w:line="181" w:lineRule="exact"/>
        <w:rPr>
          <w:sz w:val="20"/>
          <w:szCs w:val="20"/>
          <w:color w:val="auto"/>
        </w:rPr>
      </w:pPr>
    </w:p>
    <w:p>
      <w:pPr>
        <w:ind w:left="640" w:right="60" w:firstLine="645"/>
        <w:spacing w:after="0" w:line="257" w:lineRule="auto"/>
        <w:tabs>
          <w:tab w:leader="none" w:pos="1947"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Deficiency</w:t>
      </w:r>
      <w:r>
        <w:rPr>
          <w:rFonts w:ascii="Arial" w:cs="Arial" w:eastAsia="Arial" w:hAnsi="Arial"/>
          <w:sz w:val="18"/>
          <w:szCs w:val="18"/>
          <w:color w:val="auto"/>
        </w:rPr>
        <w:t xml:space="preserve">. In the event that the proceeds of any sale, collection or realization are insufficient to pay all amounts to which the Administrative Agent or the Secured Parties are legally entitled, the Pledgors shall be jointly and severally liable (subject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for the deficiency, together with interest thereon at the Default Rate, together with the costs of collection and the reasonable fees, charges and disbursements of counsel. Any surplus remaining after the full payment and satisfaction of the Secured Obligations shall be returned to the Pledgors or to whomsoever a court of competent jurisdiction shall determine to be entitled thereto.</w:t>
      </w:r>
    </w:p>
    <w:p>
      <w:pPr>
        <w:sectPr>
          <w:pgSz w:w="11900" w:h="16838" w:orient="portrait"/>
          <w:cols w:equalWidth="0" w:num="1">
            <w:col w:w="11400"/>
          </w:cols>
          <w:pgMar w:left="260" w:top="125" w:right="239" w:bottom="0" w:gutter="0" w:footer="0" w:header="0"/>
        </w:sectPr>
      </w:pPr>
    </w:p>
    <w:bookmarkStart w:id="120" w:name="page121"/>
    <w:bookmarkEnd w:id="120"/>
    <w:p>
      <w:pPr>
        <w:ind w:left="644" w:hanging="644"/>
        <w:spacing w:after="0"/>
        <w:tabs>
          <w:tab w:leader="none" w:pos="644"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Rights of the Administrative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645"/>
        <w:spacing w:after="0" w:line="264" w:lineRule="auto"/>
        <w:tabs>
          <w:tab w:leader="none" w:pos="1297"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Power of Attorney</w:t>
      </w:r>
      <w:r>
        <w:rPr>
          <w:rFonts w:ascii="Arial" w:cs="Arial" w:eastAsia="Arial" w:hAnsi="Arial"/>
          <w:sz w:val="18"/>
          <w:szCs w:val="18"/>
          <w:color w:val="auto"/>
        </w:rPr>
        <w:t>. Each Pledgor hereby designates and appoints the Administrative Agent, on behalf of the Secured Parties, and each of its designees or agents, as attorney-in-fact of such Pledgor, irrevocably and with power of substitution, with authority to take any or all of the following actions upon the occurrence and during the continuation of an Event of Default:</w:t>
      </w:r>
    </w:p>
    <w:p>
      <w:pPr>
        <w:spacing w:after="0" w:line="181" w:lineRule="exact"/>
        <w:rPr>
          <w:rFonts w:ascii="Arial" w:cs="Arial" w:eastAsia="Arial" w:hAnsi="Arial"/>
          <w:sz w:val="18"/>
          <w:szCs w:val="18"/>
          <w:color w:val="auto"/>
        </w:rPr>
      </w:pPr>
    </w:p>
    <w:p>
      <w:pPr>
        <w:ind w:left="644" w:right="60" w:firstLine="653"/>
        <w:spacing w:after="0" w:line="277" w:lineRule="auto"/>
        <w:tabs>
          <w:tab w:leader="none" w:pos="1962"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to demand, collect, settle, compromise and adjust, and give discharges and releases concerning the Pledged Collateral, all as the Administrative Agent may deem reasonably appropriate;</w:t>
      </w:r>
    </w:p>
    <w:p>
      <w:pPr>
        <w:spacing w:after="0" w:line="170" w:lineRule="exact"/>
        <w:rPr>
          <w:rFonts w:ascii="Arial" w:cs="Arial" w:eastAsia="Arial" w:hAnsi="Arial"/>
          <w:sz w:val="18"/>
          <w:szCs w:val="18"/>
          <w:color w:val="auto"/>
        </w:rPr>
      </w:pPr>
    </w:p>
    <w:p>
      <w:pPr>
        <w:ind w:left="644" w:right="420" w:firstLine="653"/>
        <w:spacing w:after="0" w:line="277" w:lineRule="auto"/>
        <w:tabs>
          <w:tab w:leader="none" w:pos="1971"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to commence and prosecute any actions at any court for the purposes of collecting any of the Pledged Collateral and enforcing any other right in respect thereof;</w:t>
      </w:r>
    </w:p>
    <w:p>
      <w:pPr>
        <w:spacing w:after="0" w:line="170" w:lineRule="exact"/>
        <w:rPr>
          <w:rFonts w:ascii="Arial" w:cs="Arial" w:eastAsia="Arial" w:hAnsi="Arial"/>
          <w:sz w:val="18"/>
          <w:szCs w:val="18"/>
          <w:color w:val="auto"/>
        </w:rPr>
      </w:pPr>
    </w:p>
    <w:p>
      <w:pPr>
        <w:ind w:left="644" w:right="40" w:firstLine="653"/>
        <w:spacing w:after="0" w:line="277" w:lineRule="auto"/>
        <w:tabs>
          <w:tab w:leader="none" w:pos="1981"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to defend, settle or compromise any action brought in respect of the Pledged Collateral and, in connection therewith, give such discharge or release as the Administrative Agent may deem reasonably appropriate;</w:t>
      </w:r>
    </w:p>
    <w:p>
      <w:pPr>
        <w:spacing w:after="0" w:line="170" w:lineRule="exact"/>
        <w:rPr>
          <w:rFonts w:ascii="Arial" w:cs="Arial" w:eastAsia="Arial" w:hAnsi="Arial"/>
          <w:sz w:val="18"/>
          <w:szCs w:val="18"/>
          <w:color w:val="auto"/>
        </w:rPr>
      </w:pPr>
    </w:p>
    <w:p>
      <w:pPr>
        <w:ind w:left="644" w:right="360" w:firstLine="653"/>
        <w:spacing w:after="0" w:line="277" w:lineRule="auto"/>
        <w:tabs>
          <w:tab w:leader="none" w:pos="1957"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to pay or discharge taxes, liens, security interests or other encumbrances levied or placed on or threatened against the Pledged Collateral;</w:t>
      </w:r>
    </w:p>
    <w:p>
      <w:pPr>
        <w:spacing w:after="0" w:line="170" w:lineRule="exact"/>
        <w:rPr>
          <w:rFonts w:ascii="Arial" w:cs="Arial" w:eastAsia="Arial" w:hAnsi="Arial"/>
          <w:sz w:val="18"/>
          <w:szCs w:val="18"/>
          <w:color w:val="auto"/>
        </w:rPr>
      </w:pPr>
    </w:p>
    <w:p>
      <w:pPr>
        <w:ind w:left="644" w:right="100" w:firstLine="653"/>
        <w:spacing w:after="0" w:line="308" w:lineRule="auto"/>
        <w:tabs>
          <w:tab w:leader="none" w:pos="1947" w:val="left"/>
        </w:tabs>
        <w:numPr>
          <w:ilvl w:val="2"/>
          <w:numId w:val="253"/>
        </w:numPr>
        <w:rPr>
          <w:rFonts w:ascii="Arial" w:cs="Arial" w:eastAsia="Arial" w:hAnsi="Arial"/>
          <w:sz w:val="17"/>
          <w:szCs w:val="17"/>
          <w:color w:val="auto"/>
        </w:rPr>
      </w:pPr>
      <w:r>
        <w:rPr>
          <w:rFonts w:ascii="Arial" w:cs="Arial" w:eastAsia="Arial" w:hAnsi="Arial"/>
          <w:sz w:val="17"/>
          <w:szCs w:val="17"/>
          <w:color w:val="auto"/>
        </w:rPr>
        <w:t>to direct any parties liable for any payment in connection with any of the Pledged Collateral to make payment of any and all monies due and to become due thereunder directly to the Administrative Agent or as the Administrative Agent shall direct;</w:t>
      </w:r>
    </w:p>
    <w:p>
      <w:pPr>
        <w:spacing w:after="0" w:line="146" w:lineRule="exact"/>
        <w:rPr>
          <w:rFonts w:ascii="Arial" w:cs="Arial" w:eastAsia="Arial" w:hAnsi="Arial"/>
          <w:sz w:val="17"/>
          <w:szCs w:val="17"/>
          <w:color w:val="auto"/>
        </w:rPr>
      </w:pPr>
    </w:p>
    <w:p>
      <w:pPr>
        <w:ind w:left="644" w:right="80" w:firstLine="653"/>
        <w:spacing w:after="0" w:line="277" w:lineRule="auto"/>
        <w:tabs>
          <w:tab w:leader="none" w:pos="1957"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to receive payment of and receipt for any and all monies, claims and other amounts due and to become due at any time in respect of or arising out of any Pledged Collateral;</w:t>
      </w:r>
    </w:p>
    <w:p>
      <w:pPr>
        <w:spacing w:after="0" w:line="170" w:lineRule="exact"/>
        <w:rPr>
          <w:rFonts w:ascii="Arial" w:cs="Arial" w:eastAsia="Arial" w:hAnsi="Arial"/>
          <w:sz w:val="18"/>
          <w:szCs w:val="18"/>
          <w:color w:val="auto"/>
        </w:rPr>
      </w:pPr>
    </w:p>
    <w:p>
      <w:pPr>
        <w:ind w:left="644" w:right="100" w:firstLine="653"/>
        <w:spacing w:after="0" w:line="277" w:lineRule="auto"/>
        <w:tabs>
          <w:tab w:leader="none" w:pos="1966"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to sign and endorse any drafts, assignments, proxies, stock powers, verifications, notices and other documents relating to the Pledged Collateral;</w:t>
      </w:r>
    </w:p>
    <w:p>
      <w:pPr>
        <w:spacing w:after="0" w:line="170" w:lineRule="exact"/>
        <w:rPr>
          <w:rFonts w:ascii="Arial" w:cs="Arial" w:eastAsia="Arial" w:hAnsi="Arial"/>
          <w:sz w:val="18"/>
          <w:szCs w:val="18"/>
          <w:color w:val="auto"/>
        </w:rPr>
      </w:pPr>
    </w:p>
    <w:p>
      <w:pPr>
        <w:ind w:left="644" w:right="380" w:firstLine="653"/>
        <w:spacing w:after="0" w:line="277" w:lineRule="auto"/>
        <w:tabs>
          <w:tab w:leader="none" w:pos="1976"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to execute and deliver all assignments, conveyances, statements, financing statements, renewal financing statements, security and pledge agreements,</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40"/>
        <w:spacing w:after="0" w:line="264" w:lineRule="auto"/>
        <w:rPr>
          <w:sz w:val="20"/>
          <w:szCs w:val="20"/>
          <w:color w:val="auto"/>
        </w:rPr>
      </w:pPr>
      <w:r>
        <w:rPr>
          <w:rFonts w:ascii="Arial" w:cs="Arial" w:eastAsia="Arial" w:hAnsi="Arial"/>
          <w:sz w:val="18"/>
          <w:szCs w:val="18"/>
          <w:color w:val="auto"/>
        </w:rPr>
        <w:t>affidavits, notices and other agreements, instruments and documents that the Administrative Agent may deem reasonably appropriate in order to perfect and maintain the security interests and liens granted in this Pledge Agreement and in order to fully consummate all of the transactions contemplated therein;</w:t>
      </w:r>
    </w:p>
    <w:p>
      <w:pPr>
        <w:spacing w:after="0" w:line="181" w:lineRule="exact"/>
        <w:rPr>
          <w:sz w:val="20"/>
          <w:szCs w:val="20"/>
          <w:color w:val="auto"/>
        </w:rPr>
      </w:pPr>
    </w:p>
    <w:p>
      <w:pPr>
        <w:ind w:left="1964" w:hanging="667"/>
        <w:spacing w:after="0"/>
        <w:tabs>
          <w:tab w:leader="none" w:pos="196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institute any foreclosure proceedings that the Administrative Agent may deem appropriate;</w:t>
      </w:r>
    </w:p>
    <w:p>
      <w:pPr>
        <w:spacing w:after="0" w:line="225" w:lineRule="exact"/>
        <w:rPr>
          <w:rFonts w:ascii="Arial" w:cs="Arial" w:eastAsia="Arial" w:hAnsi="Arial"/>
          <w:sz w:val="18"/>
          <w:szCs w:val="18"/>
          <w:color w:val="auto"/>
        </w:rPr>
      </w:pPr>
    </w:p>
    <w:p>
      <w:pPr>
        <w:ind w:left="644" w:right="420" w:firstLine="653"/>
        <w:spacing w:after="0" w:line="259" w:lineRule="auto"/>
        <w:tabs>
          <w:tab w:leader="none" w:pos="194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exchange any of the Pledged Collateral or other property upon any merger, consolidation, reorganization, recapitalization or other readjustment of the issuer thereof and, in connection therewith, deposit any of the Pledged Collateral with any committee, depository, transfer agent, registrar or other designated agency upon such terms as the Administrative Agent may deem reasonably appropriate;</w:t>
      </w:r>
    </w:p>
    <w:p>
      <w:pPr>
        <w:spacing w:after="0" w:line="186" w:lineRule="exact"/>
        <w:rPr>
          <w:rFonts w:ascii="Arial" w:cs="Arial" w:eastAsia="Arial" w:hAnsi="Arial"/>
          <w:sz w:val="18"/>
          <w:szCs w:val="18"/>
          <w:color w:val="auto"/>
        </w:rPr>
      </w:pPr>
    </w:p>
    <w:p>
      <w:pPr>
        <w:jc w:val="both"/>
        <w:ind w:left="644" w:firstLine="653"/>
        <w:spacing w:after="0" w:line="264" w:lineRule="auto"/>
        <w:tabs>
          <w:tab w:leader="none" w:pos="195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to vote for a shareholder or member resolution, or to sign an instrument in writing, sanctioning the transfer of any or all of the Pledged Collateral into the name of the Administrative Agent or one or more of the Secured Parties or into the name of any transferee to whom the Pledged Collateral or any part thereof may be sold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and</w:t>
      </w:r>
    </w:p>
    <w:p>
      <w:pPr>
        <w:spacing w:after="0" w:line="181" w:lineRule="exact"/>
        <w:rPr>
          <w:rFonts w:ascii="Arial" w:cs="Arial" w:eastAsia="Arial" w:hAnsi="Arial"/>
          <w:sz w:val="18"/>
          <w:szCs w:val="18"/>
          <w:color w:val="auto"/>
        </w:rPr>
      </w:pPr>
    </w:p>
    <w:p>
      <w:pPr>
        <w:ind w:left="644" w:right="740" w:firstLine="653"/>
        <w:spacing w:after="0" w:line="277" w:lineRule="auto"/>
        <w:tabs>
          <w:tab w:leader="none" w:pos="196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to do and perform all such other acts and things as the Administrative Agent may deem reasonably necessary or appropriate in connection with the Pledged Collateral.</w:t>
      </w:r>
    </w:p>
    <w:p>
      <w:pPr>
        <w:spacing w:after="0" w:line="170" w:lineRule="exact"/>
        <w:rPr>
          <w:sz w:val="20"/>
          <w:szCs w:val="20"/>
          <w:color w:val="auto"/>
        </w:rPr>
      </w:pPr>
    </w:p>
    <w:p>
      <w:pPr>
        <w:ind w:left="4" w:right="40" w:firstLine="648"/>
        <w:spacing w:after="0" w:line="254" w:lineRule="auto"/>
        <w:rPr>
          <w:sz w:val="20"/>
          <w:szCs w:val="20"/>
          <w:color w:val="auto"/>
        </w:rPr>
      </w:pPr>
      <w:r>
        <w:rPr>
          <w:rFonts w:ascii="Arial" w:cs="Arial" w:eastAsia="Arial" w:hAnsi="Arial"/>
          <w:sz w:val="18"/>
          <w:szCs w:val="18"/>
          <w:color w:val="auto"/>
        </w:rPr>
        <w:t>This power of attorney is a power coupled with an interest and shall be irrevocable for so long as any of the Secured Obligations (other than contingent indemnification obligations for which no claim has been asserted) shall remain outstanding and until all of the Commitments relating thereto shall have been terminated. The Administrative Agent shall be under no duty to exercise or withhold the exercise of any of the rights, powers, privileges and options expressly or implicitly granted to the Administrative Agent in this Pledge Agreement, and shall not be liable for any failure to do so or any delay in doing so. The Administrative Agent shall not be liable for any act or omission or for any error of judgment or any mistake of fact or law in its individual capacity or its capacity as attorney-in-fact except acts or omissions resulting from its gross negligence or willful misconduct. This power of attorney is conferred on the Administrative Agent solely to protect, preserve and realize upon its security interest in the Pledged Collateral.</w:t>
      </w:r>
    </w:p>
    <w:p>
      <w:pPr>
        <w:spacing w:after="0" w:line="192" w:lineRule="exact"/>
        <w:rPr>
          <w:sz w:val="20"/>
          <w:szCs w:val="20"/>
          <w:color w:val="auto"/>
        </w:rPr>
      </w:pPr>
    </w:p>
    <w:p>
      <w:pPr>
        <w:ind w:left="4" w:right="120" w:firstLine="645"/>
        <w:spacing w:after="0" w:line="264" w:lineRule="auto"/>
        <w:tabs>
          <w:tab w:leader="none" w:pos="1308"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Assignment by the Administrative Agent</w:t>
      </w:r>
      <w:r>
        <w:rPr>
          <w:rFonts w:ascii="Arial" w:cs="Arial" w:eastAsia="Arial" w:hAnsi="Arial"/>
          <w:sz w:val="18"/>
          <w:szCs w:val="18"/>
          <w:color w:val="auto"/>
        </w:rPr>
        <w:t>. The Administrative Agent may from time to time assign the Secured Obligations to a successor administrative agent in accordance with the Credit Agreement, and such successor shall be entitled to all of the rights and remedies of the Administrative Agent under this Pledge Agreement in relation thereto.</w:t>
      </w:r>
    </w:p>
    <w:p>
      <w:pPr>
        <w:spacing w:after="0" w:line="181" w:lineRule="exact"/>
        <w:rPr>
          <w:rFonts w:ascii="Arial" w:cs="Arial" w:eastAsia="Arial" w:hAnsi="Arial"/>
          <w:sz w:val="18"/>
          <w:szCs w:val="18"/>
          <w:color w:val="auto"/>
        </w:rPr>
      </w:pPr>
    </w:p>
    <w:p>
      <w:pPr>
        <w:ind w:left="4" w:right="40" w:firstLine="645"/>
        <w:spacing w:after="0" w:line="293" w:lineRule="auto"/>
        <w:tabs>
          <w:tab w:leader="none" w:pos="1311"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The Administrative Agent’s Duty of Care</w:t>
      </w:r>
      <w:r>
        <w:rPr>
          <w:rFonts w:ascii="Arial" w:cs="Arial" w:eastAsia="Arial" w:hAnsi="Arial"/>
          <w:sz w:val="16"/>
          <w:szCs w:val="16"/>
          <w:color w:val="auto"/>
        </w:rPr>
        <w:t>. Other than the exercise of reasonable care to assure the safe custody of the Pledged Collateral while being held by the Administrative Agent hereunder and to account for all proceeds thereof, the Administrative Agent shall have no duty or liability to preserve rights pertaining thereto, it being understood and agreed that the Pledgors shall be responsible for preservation of all rights in the Pledged Collateral, and the Administrative Agent shall be relieved of all responsibility for the Pledged Collateral upon surrendering it or tendering the surrender of it to the Pledgors. The Administrative Agent shall be deemed to have exercised reasonable care in the custody and preservation of the Pledged Collateral in its possession if such Pledged Collateral is accorded treatment substantially equal to</w:t>
      </w:r>
    </w:p>
    <w:p>
      <w:pPr>
        <w:spacing w:after="0" w:line="16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25" w:right="239" w:bottom="316" w:gutter="0" w:footer="0" w:header="0"/>
        </w:sectPr>
      </w:pPr>
    </w:p>
    <w:bookmarkStart w:id="121" w:name="page122"/>
    <w:bookmarkEnd w:id="121"/>
    <w:p>
      <w:pPr>
        <w:spacing w:after="0" w:line="28" w:lineRule="exact"/>
        <w:rPr>
          <w:sz w:val="20"/>
          <w:szCs w:val="20"/>
          <w:color w:val="auto"/>
        </w:rPr>
      </w:pPr>
    </w:p>
    <w:p>
      <w:pPr>
        <w:ind w:left="640" w:right="60"/>
        <w:spacing w:after="0" w:line="255" w:lineRule="auto"/>
        <w:rPr>
          <w:sz w:val="20"/>
          <w:szCs w:val="20"/>
          <w:color w:val="auto"/>
        </w:rPr>
      </w:pPr>
      <w:r>
        <w:rPr>
          <w:rFonts w:ascii="Arial" w:cs="Arial" w:eastAsia="Arial" w:hAnsi="Arial"/>
          <w:sz w:val="18"/>
          <w:szCs w:val="18"/>
          <w:color w:val="auto"/>
        </w:rPr>
        <w:t xml:space="preserve">that which the Administrative Agent accords its own property, which shall be no less than the treatment employed by a reasonable and prudent agent in the industry, it being understood that the Administrative Agent shall not have responsibility for taking any necessary steps to preserve rights against any parties with respect to any of the Pledged Collateral. In the event of a public or private sale of the Pledged Collateral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 the Administrative Agent shall have no responsibility for ascertaining or taking action with respect to calls, conversions, exchanges, maturities, tenders or other matters relating to any Pledged Collateral, whether or not the Administrative Agent has or is deemed to have knowledge of such matters.</w:t>
      </w:r>
    </w:p>
    <w:p>
      <w:pPr>
        <w:spacing w:after="0" w:line="193" w:lineRule="exact"/>
        <w:rPr>
          <w:sz w:val="20"/>
          <w:szCs w:val="20"/>
          <w:color w:val="auto"/>
        </w:rPr>
      </w:pPr>
    </w:p>
    <w:p>
      <w:pPr>
        <w:ind w:left="1940" w:hanging="655"/>
        <w:spacing w:after="0"/>
        <w:tabs>
          <w:tab w:leader="none" w:pos="194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Voting Rights in Respect of the Pledged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140" w:firstLine="653"/>
        <w:spacing w:after="0" w:line="264" w:lineRule="auto"/>
        <w:tabs>
          <w:tab w:leader="none" w:pos="259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each Pledgor may exercise any and all voting and other consensual rights pertaining to the Pledged Collateral of such Pledgor or any part thereof for any purpose not inconsistent with the terms of this Pledge Agreement or the Credit Agreement; and</w:t>
      </w:r>
    </w:p>
    <w:p>
      <w:pPr>
        <w:spacing w:after="0" w:line="181" w:lineRule="exact"/>
        <w:rPr>
          <w:rFonts w:ascii="Arial" w:cs="Arial" w:eastAsia="Arial" w:hAnsi="Arial"/>
          <w:sz w:val="18"/>
          <w:szCs w:val="18"/>
          <w:color w:val="auto"/>
        </w:rPr>
      </w:pPr>
    </w:p>
    <w:p>
      <w:pPr>
        <w:ind w:left="1280" w:right="80" w:firstLine="653"/>
        <w:spacing w:after="0" w:line="257" w:lineRule="auto"/>
        <w:tabs>
          <w:tab w:leader="none" w:pos="260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continuance of an Event of Default, and delivery by the Administrative Agent to the applicable Pledgor of notice of its intent to exercise its rights under this </w:t>
      </w:r>
      <w:r>
        <w:rPr>
          <w:rFonts w:ascii="Arial" w:cs="Arial" w:eastAsia="Arial" w:hAnsi="Arial"/>
          <w:sz w:val="18"/>
          <w:szCs w:val="18"/>
          <w:u w:val="single" w:color="auto"/>
          <w:color w:val="auto"/>
        </w:rPr>
        <w:t>Section 9(d)</w:t>
      </w:r>
      <w:r>
        <w:rPr>
          <w:rFonts w:ascii="Arial" w:cs="Arial" w:eastAsia="Arial" w:hAnsi="Arial"/>
          <w:sz w:val="18"/>
          <w:szCs w:val="18"/>
          <w:color w:val="auto"/>
        </w:rPr>
        <w:t xml:space="preserve">, all rights of a Pledgor to exercise the voting and other consensual rights that it would otherwise be entitled to exercise pursuant to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of this subsection shall cease and all such rights shall thereupon become vested in the Administrative Agent, which shall then have the sole right to exercise such voting and other consensual rights.</w:t>
      </w:r>
    </w:p>
    <w:p>
      <w:pPr>
        <w:spacing w:after="0" w:line="188" w:lineRule="exact"/>
        <w:rPr>
          <w:rFonts w:ascii="Arial" w:cs="Arial" w:eastAsia="Arial" w:hAnsi="Arial"/>
          <w:sz w:val="18"/>
          <w:szCs w:val="18"/>
          <w:color w:val="auto"/>
        </w:rPr>
      </w:pPr>
    </w:p>
    <w:p>
      <w:pPr>
        <w:ind w:left="1940" w:hanging="655"/>
        <w:spacing w:after="0"/>
        <w:tabs>
          <w:tab w:leader="none" w:pos="194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Dividend Rights in Respect of the Pledged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right="40" w:firstLine="653"/>
        <w:spacing w:after="0" w:line="259" w:lineRule="auto"/>
        <w:tabs>
          <w:tab w:leader="none" w:pos="259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and subject to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hereof, each Pledgor may receive and retain any and all dividends and distributions (other than stock dividends and other dividends and distributions constituting Pledged Collateral addressed hereinabove) or interest paid in respect of the Pledged Collateral to the extent permitted under the Credit Agreement.</w:t>
      </w:r>
    </w:p>
    <w:p>
      <w:pPr>
        <w:spacing w:after="0" w:line="186" w:lineRule="exact"/>
        <w:rPr>
          <w:rFonts w:ascii="Arial" w:cs="Arial" w:eastAsia="Arial" w:hAnsi="Arial"/>
          <w:sz w:val="18"/>
          <w:szCs w:val="18"/>
          <w:color w:val="auto"/>
        </w:rPr>
      </w:pPr>
    </w:p>
    <w:p>
      <w:pPr>
        <w:ind w:left="1280" w:right="100" w:firstLine="653"/>
        <w:spacing w:after="0" w:line="277" w:lineRule="auto"/>
        <w:tabs>
          <w:tab w:leader="none" w:pos="2607"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continuance of an Event of Default, and delivery by the Administrative Agent to the applicable Pledgor of notice of its intent to exercise its rights under this </w:t>
      </w:r>
      <w:r>
        <w:rPr>
          <w:rFonts w:ascii="Arial" w:cs="Arial" w:eastAsia="Arial" w:hAnsi="Arial"/>
          <w:sz w:val="18"/>
          <w:szCs w:val="18"/>
          <w:u w:val="single" w:color="auto"/>
          <w:color w:val="auto"/>
        </w:rPr>
        <w:t>Section 9(e)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940" w:right="20" w:firstLine="641"/>
        <w:spacing w:after="0" w:line="259" w:lineRule="auto"/>
        <w:tabs>
          <w:tab w:leader="none" w:pos="3257" w:val="left"/>
        </w:tabs>
        <w:numPr>
          <w:ilvl w:val="2"/>
          <w:numId w:val="256"/>
        </w:numPr>
        <w:rPr>
          <w:rFonts w:ascii="Arial" w:cs="Arial" w:eastAsia="Arial" w:hAnsi="Arial"/>
          <w:sz w:val="18"/>
          <w:szCs w:val="18"/>
          <w:color w:val="auto"/>
        </w:rPr>
      </w:pPr>
      <w:r>
        <w:rPr>
          <w:rFonts w:ascii="Arial" w:cs="Arial" w:eastAsia="Arial" w:hAnsi="Arial"/>
          <w:sz w:val="18"/>
          <w:szCs w:val="18"/>
          <w:color w:val="auto"/>
        </w:rPr>
        <w:t xml:space="preserve">all rights of a Pledgor to receive the dividends, distributions and interest payments that it would otherwise be authorized to receive and retain pursuant to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of this subsection shall cease and all such rights shall thereupon be vested in the Administrative Agent, which shall then have the sole right to receive and hold as Pledged Collateral such dividends, distributions and interest payments; and</w:t>
      </w:r>
    </w:p>
    <w:p>
      <w:pPr>
        <w:spacing w:after="0" w:line="186" w:lineRule="exact"/>
        <w:rPr>
          <w:rFonts w:ascii="Arial" w:cs="Arial" w:eastAsia="Arial" w:hAnsi="Arial"/>
          <w:sz w:val="18"/>
          <w:szCs w:val="18"/>
          <w:color w:val="auto"/>
        </w:rPr>
      </w:pPr>
    </w:p>
    <w:p>
      <w:pPr>
        <w:ind w:left="3240" w:hanging="659"/>
        <w:spacing w:after="0"/>
        <w:tabs>
          <w:tab w:leader="none" w:pos="3240" w:val="left"/>
        </w:tabs>
        <w:numPr>
          <w:ilvl w:val="2"/>
          <w:numId w:val="256"/>
        </w:numPr>
        <w:rPr>
          <w:rFonts w:ascii="Arial" w:cs="Arial" w:eastAsia="Arial" w:hAnsi="Arial"/>
          <w:sz w:val="16"/>
          <w:szCs w:val="16"/>
          <w:color w:val="auto"/>
        </w:rPr>
      </w:pPr>
      <w:r>
        <w:rPr>
          <w:rFonts w:ascii="Arial" w:cs="Arial" w:eastAsia="Arial" w:hAnsi="Arial"/>
          <w:sz w:val="16"/>
          <w:szCs w:val="16"/>
          <w:color w:val="auto"/>
        </w:rPr>
        <w:t xml:space="preserve">all dividends and interest payments that are received by a Pledgor contrary to the provisions of </w:t>
      </w:r>
      <w:r>
        <w:rPr>
          <w:rFonts w:ascii="Arial" w:cs="Arial" w:eastAsia="Arial" w:hAnsi="Arial"/>
          <w:sz w:val="16"/>
          <w:szCs w:val="16"/>
          <w:u w:val="single" w:color="auto"/>
          <w:color w:val="auto"/>
        </w:rPr>
        <w:t>paragraph (ii)</w:t>
      </w:r>
    </w:p>
    <w:p>
      <w:pPr>
        <w:spacing w:after="0" w:line="46" w:lineRule="exact"/>
        <w:rPr>
          <w:rFonts w:ascii="Arial" w:cs="Arial" w:eastAsia="Arial" w:hAnsi="Arial"/>
          <w:sz w:val="16"/>
          <w:szCs w:val="16"/>
          <w:color w:val="auto"/>
        </w:rPr>
      </w:pPr>
    </w:p>
    <w:p>
      <w:pPr>
        <w:ind w:left="1940" w:right="4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(A)</w:t>
      </w:r>
      <w:r>
        <w:rPr>
          <w:rFonts w:ascii="Arial" w:cs="Arial" w:eastAsia="Arial" w:hAnsi="Arial"/>
          <w:sz w:val="18"/>
          <w:szCs w:val="18"/>
          <w:color w:val="auto"/>
        </w:rPr>
        <w:t xml:space="preserve"> of this subsection shall be received in trust for the benefit of the Administrative Agent, shall be segregated from other property or funds of such Pledgor, and shall be promptly paid over to the Administrative Agent as Pledged Collateral in the exact form received, to be held by the Administrative Agent as Pledged Collateral and as further collateral security for the Secured Obligations.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00" w:firstLine="645"/>
        <w:spacing w:after="0" w:line="272" w:lineRule="auto"/>
        <w:tabs>
          <w:tab w:leader="none" w:pos="1941" w:val="left"/>
        </w:tabs>
        <w:numPr>
          <w:ilvl w:val="1"/>
          <w:numId w:val="257"/>
        </w:numPr>
        <w:rPr>
          <w:rFonts w:ascii="Arial" w:cs="Arial" w:eastAsia="Arial" w:hAnsi="Arial"/>
          <w:sz w:val="17"/>
          <w:szCs w:val="17"/>
          <w:color w:val="auto"/>
        </w:rPr>
      </w:pPr>
      <w:r>
        <w:rPr>
          <w:rFonts w:ascii="Arial" w:cs="Arial" w:eastAsia="Arial" w:hAnsi="Arial"/>
          <w:sz w:val="17"/>
          <w:szCs w:val="17"/>
          <w:u w:val="single" w:color="auto"/>
          <w:color w:val="auto"/>
        </w:rPr>
        <w:t>Release of Pledged Collateral</w:t>
      </w:r>
      <w:r>
        <w:rPr>
          <w:rFonts w:ascii="Arial" w:cs="Arial" w:eastAsia="Arial" w:hAnsi="Arial"/>
          <w:sz w:val="17"/>
          <w:szCs w:val="17"/>
          <w:color w:val="auto"/>
        </w:rPr>
        <w:t>. The Administrative Agent may release any of the Pledged Collateral from this Pledge Agreement or may substitute any of the Pledged Collateral for other Pledged Collateral without altering, varying or diminishing in any way the force, effect, lien, pledge or security interest of this Pledge Agreement as to any Pledged Collateral not expressly released or substituted, and this Pledge Agreement shall continue as a first priority lien on all Pledged Collateral not expressly released or substituted. If any of the Pledged Collateral shall be sold, transferred or otherwise disposed of by any Pledgor in a transaction permitted by the Credit Agreement, then the Administrative Agent, at the request and sole expense of such Pledgor, shall execute and deliver to such Pledgor all releases or other documents reasonably necessary for the release of the Liens created hereby on such Pledged Collateral.</w:t>
      </w:r>
    </w:p>
    <w:p>
      <w:pPr>
        <w:spacing w:after="0" w:line="177" w:lineRule="exact"/>
        <w:rPr>
          <w:rFonts w:ascii="Arial" w:cs="Arial" w:eastAsia="Arial" w:hAnsi="Arial"/>
          <w:sz w:val="17"/>
          <w:szCs w:val="17"/>
          <w:color w:val="auto"/>
        </w:rPr>
      </w:pPr>
    </w:p>
    <w:p>
      <w:pPr>
        <w:ind w:left="-20" w:right="80" w:firstLine="656"/>
        <w:spacing w:after="0" w:line="273" w:lineRule="auto"/>
        <w:tabs>
          <w:tab w:leader="none" w:pos="1272"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Application of Proceeds</w:t>
      </w:r>
      <w:r>
        <w:rPr>
          <w:rFonts w:ascii="Arial" w:cs="Arial" w:eastAsia="Arial" w:hAnsi="Arial"/>
          <w:sz w:val="17"/>
          <w:szCs w:val="17"/>
          <w:color w:val="auto"/>
        </w:rPr>
        <w:t xml:space="preserve">. Upon the acceleration of the Obligations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of the Credit Agreement, any payments in respect of the Secured Obligations and any proceeds of the Pledged Collateral, when received by the Administrative Agent or any of the Secured Parties in cash or its equivalent, will be applied in reduction of the Secured Obligations in the order set forth in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of the Credit Agreement, and each Pledgor irrevocably waives the right to direct the application of such payments and proceeds and acknowledges and agrees that the Administrative Agent shall have the continuing and exclusive right to apply and reapply any and all such payments and proceeds in the Administrative Agent’s sole discretion, notwithstanding any entry to the contrary upon any of its books and records.</w:t>
      </w:r>
    </w:p>
    <w:p>
      <w:pPr>
        <w:spacing w:after="0" w:line="178" w:lineRule="exact"/>
        <w:rPr>
          <w:rFonts w:ascii="Arial" w:cs="Arial" w:eastAsia="Arial" w:hAnsi="Arial"/>
          <w:sz w:val="17"/>
          <w:szCs w:val="17"/>
          <w:color w:val="auto"/>
        </w:rPr>
      </w:pPr>
    </w:p>
    <w:p>
      <w:pPr>
        <w:ind w:left="1280" w:hanging="644"/>
        <w:spacing w:after="0"/>
        <w:tabs>
          <w:tab w:leader="none" w:pos="128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Continuing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645"/>
        <w:spacing w:after="0" w:line="290" w:lineRule="auto"/>
        <w:tabs>
          <w:tab w:leader="none" w:pos="1934" w:val="left"/>
        </w:tabs>
        <w:numPr>
          <w:ilvl w:val="1"/>
          <w:numId w:val="258"/>
        </w:numPr>
        <w:rPr>
          <w:rFonts w:ascii="Arial" w:cs="Arial" w:eastAsia="Arial" w:hAnsi="Arial"/>
          <w:sz w:val="16"/>
          <w:szCs w:val="16"/>
          <w:color w:val="auto"/>
        </w:rPr>
      </w:pPr>
      <w:r>
        <w:rPr>
          <w:rFonts w:ascii="Arial" w:cs="Arial" w:eastAsia="Arial" w:hAnsi="Arial"/>
          <w:sz w:val="16"/>
          <w:szCs w:val="16"/>
          <w:color w:val="auto"/>
        </w:rPr>
        <w:t>This Pledge Agreement shall be a continuing agreement in every respect and shall remain in full force and effect so long as any of the Secured Obligations (other than contingent indemnification obligations for which no claim has been asserted) remains outstanding and until all of the Commitments relating thereto have been terminated. Upon payment or other satisfaction of all Secured Obligations (other than contingent indemnification obligations for which no claim has been asserted) and termination of the Commitments related thereto, this Pledge Agreement and the liens and security interests of the Administrative Agent hereunder shall be automatically terminated and the Administrative Agent shall, upon the request and at the expense of the Pledgors, execute and deliver all UCC termination statements and/or other documents reasonably requested by the Pledgors evidencing such termination and return to Pledgors all Pledged Collateral in its possession. Notwithstanding the foregoing, all releases and indemnities provided hereunder shall survive termination of this Pledge Agreement.</w:t>
      </w:r>
    </w:p>
    <w:p>
      <w:pPr>
        <w:spacing w:after="0" w:line="166" w:lineRule="exact"/>
        <w:rPr>
          <w:rFonts w:ascii="Arial" w:cs="Arial" w:eastAsia="Arial" w:hAnsi="Arial"/>
          <w:sz w:val="16"/>
          <w:szCs w:val="16"/>
          <w:color w:val="auto"/>
        </w:rPr>
      </w:pPr>
    </w:p>
    <w:p>
      <w:pPr>
        <w:ind w:left="640" w:right="60" w:firstLine="645"/>
        <w:spacing w:after="0" w:line="293" w:lineRule="auto"/>
        <w:tabs>
          <w:tab w:leader="none" w:pos="1944"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This Pledge Agreement shall continue to be effective or be automatically reinstated, as the case may be, if at any time payment, in whole or in part, of any of the Secured Obligations is rescinded or must otherwise be restored or returned by the Administrative Agent or any Secured Party as a preference, fraudulent conveyance or otherwise under any bankruptcy, insolvency or similar law, all as though such payment had not been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payment of all or any part of the Secured Obligations is rescinded or must be restored or returned, all costs and expenses (including, without limitation, reasonable attorneys’ fees and disbursements) incurred by the Administrative Agent or any Secured Party in defending and enforcing such reinstatement shall be deemed to be included as a part of the Secured Obligations.</w:t>
      </w:r>
    </w:p>
    <w:p>
      <w:pPr>
        <w:sectPr>
          <w:pgSz w:w="11900" w:h="16867" w:orient="portrait"/>
          <w:cols w:equalWidth="0" w:num="1">
            <w:col w:w="11400"/>
          </w:cols>
          <w:pgMar w:left="260" w:top="125" w:right="239" w:bottom="0" w:gutter="0" w:footer="0" w:header="0"/>
        </w:sectPr>
      </w:pPr>
    </w:p>
    <w:bookmarkStart w:id="122" w:name="page123"/>
    <w:bookmarkEnd w:id="122"/>
    <w:p>
      <w:pPr>
        <w:spacing w:after="0" w:line="106" w:lineRule="exact"/>
        <w:rPr>
          <w:sz w:val="20"/>
          <w:szCs w:val="20"/>
          <w:color w:val="auto"/>
        </w:rPr>
      </w:pPr>
    </w:p>
    <w:p>
      <w:pPr>
        <w:ind w:right="80" w:firstLine="656"/>
        <w:spacing w:after="0" w:line="277" w:lineRule="auto"/>
        <w:tabs>
          <w:tab w:leader="none" w:pos="1292"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xml:space="preserve">. This Pledge Agreement and the provisions hereof may not be amended, waived, modified, changed, discharged or terminated except as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Credit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56"/>
        <w:spacing w:after="0" w:line="302" w:lineRule="auto"/>
        <w:tabs>
          <w:tab w:leader="none" w:pos="129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Successors in Interest</w:t>
      </w:r>
      <w:r>
        <w:rPr>
          <w:rFonts w:ascii="Arial" w:cs="Arial" w:eastAsia="Arial" w:hAnsi="Arial"/>
          <w:sz w:val="16"/>
          <w:szCs w:val="16"/>
          <w:color w:val="auto"/>
        </w:rPr>
        <w:t xml:space="preserve">. This Pledge Agreement shall create a continuing security interest in the Pledged Collateral and shall be binding upon each Pledgor, its successors and assigns, and shall inure, together with the rights and remedies of the Administrative Agent and the Secured Parties hereunder, to the benefit of the Administrative Agent and the Secured Parties and their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none of the Pledgors may assign its rights or delegate its duties hereunder without the prior written consent of the requisite Lenders under the Credit Agreement.</w:t>
      </w:r>
    </w:p>
    <w:p>
      <w:pPr>
        <w:spacing w:after="0" w:line="154" w:lineRule="exact"/>
        <w:rPr>
          <w:rFonts w:ascii="Arial" w:cs="Arial" w:eastAsia="Arial" w:hAnsi="Arial"/>
          <w:sz w:val="16"/>
          <w:szCs w:val="16"/>
          <w:color w:val="auto"/>
        </w:rPr>
      </w:pPr>
    </w:p>
    <w:p>
      <w:pPr>
        <w:ind w:right="500" w:firstLine="656"/>
        <w:spacing w:after="0" w:line="277" w:lineRule="auto"/>
        <w:tabs>
          <w:tab w:leader="none" w:pos="129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required or permitted to be given under this Pledge Agreement shall be given as provided in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of the Credit Agreement.</w:t>
      </w:r>
    </w:p>
    <w:p>
      <w:pPr>
        <w:spacing w:after="0" w:line="170" w:lineRule="exact"/>
        <w:rPr>
          <w:rFonts w:ascii="Arial" w:cs="Arial" w:eastAsia="Arial" w:hAnsi="Arial"/>
          <w:sz w:val="18"/>
          <w:szCs w:val="18"/>
          <w:color w:val="auto"/>
        </w:rPr>
      </w:pPr>
    </w:p>
    <w:p>
      <w:pPr>
        <w:ind w:right="200" w:firstLine="656"/>
        <w:spacing w:after="0" w:line="259" w:lineRule="auto"/>
        <w:tabs>
          <w:tab w:leader="none" w:pos="129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Pledge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Pledge Agreement by facsimile or other electronic imaging means (e.g. “pdf” or “tif”) shall be effective as delivery of a manually executed counterpart of this Pledge Agreement.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Section headings herein are included for convenience of reference only and shall not affect the interpretation of this Pledge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firstLine="656"/>
        <w:spacing w:after="0" w:line="312" w:lineRule="auto"/>
        <w:tabs>
          <w:tab w:leader="none" w:pos="129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Waiver of Venue, Service of Process, Waiver of Right to Jury Trial</w:t>
      </w:r>
      <w:r>
        <w:rPr>
          <w:rFonts w:ascii="Arial" w:cs="Arial" w:eastAsia="Arial" w:hAnsi="Arial"/>
          <w:sz w:val="16"/>
          <w:szCs w:val="16"/>
          <w:color w:val="auto"/>
        </w:rPr>
        <w:t xml:space="preserve">. The terms of Section 11.14 of the Credit Agreement and Section 11.15 of the Credit Agreement with respect to governing law, submission to jurisdiction, waiver of venue, service of process and waiver of the right to a jury trial are each incorporated herein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and the parties hereto agree to such terms.</w:t>
      </w:r>
    </w:p>
    <w:p>
      <w:pPr>
        <w:spacing w:after="0" w:line="146" w:lineRule="exact"/>
        <w:rPr>
          <w:rFonts w:ascii="Arial" w:cs="Arial" w:eastAsia="Arial" w:hAnsi="Arial"/>
          <w:sz w:val="16"/>
          <w:szCs w:val="16"/>
          <w:color w:val="auto"/>
        </w:rPr>
      </w:pPr>
    </w:p>
    <w:p>
      <w:pPr>
        <w:ind w:right="40" w:firstLine="656"/>
        <w:spacing w:after="0" w:line="257" w:lineRule="auto"/>
        <w:tabs>
          <w:tab w:leader="none" w:pos="129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Pledge Agreement is held to be illegal, invalid or unenforceable, (a) the legality, validity and enforceability of the remaining provisions of this Pledge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8" w:lineRule="exact"/>
        <w:rPr>
          <w:rFonts w:ascii="Arial" w:cs="Arial" w:eastAsia="Arial" w:hAnsi="Arial"/>
          <w:sz w:val="18"/>
          <w:szCs w:val="18"/>
          <w:color w:val="auto"/>
        </w:rPr>
      </w:pPr>
    </w:p>
    <w:p>
      <w:pPr>
        <w:ind w:right="20" w:firstLine="656"/>
        <w:spacing w:after="0" w:line="259" w:lineRule="auto"/>
        <w:tabs>
          <w:tab w:leader="none" w:pos="129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Entirety</w:t>
      </w:r>
      <w:r>
        <w:rPr>
          <w:rFonts w:ascii="Arial" w:cs="Arial" w:eastAsia="Arial" w:hAnsi="Arial"/>
          <w:sz w:val="18"/>
          <w:szCs w:val="18"/>
          <w:color w:val="auto"/>
        </w:rPr>
        <w:t>. This Pledge Agreement, the other Loan Documents and the other documents relating to the Secured Obligations represent the entire agreement of the parties hereto and thereto, and supersede all prior agreements and understandings, oral or written, if any, including any proposal letters or correspondence relating to the Loan Documents, any other documents relating to the Secured Obligations, or the transactions contemplated herein and therein.</w:t>
      </w:r>
    </w:p>
    <w:p>
      <w:pPr>
        <w:spacing w:after="0" w:line="186" w:lineRule="exact"/>
        <w:rPr>
          <w:rFonts w:ascii="Arial" w:cs="Arial" w:eastAsia="Arial" w:hAnsi="Arial"/>
          <w:sz w:val="18"/>
          <w:szCs w:val="18"/>
          <w:color w:val="auto"/>
        </w:rPr>
      </w:pPr>
    </w:p>
    <w:p>
      <w:pPr>
        <w:ind w:right="120" w:firstLine="656"/>
        <w:spacing w:after="0" w:line="264" w:lineRule="auto"/>
        <w:tabs>
          <w:tab w:leader="none" w:pos="129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of the Pledgors hereunder shall survive the execution and delivery of this Pledge Agreement, the other Loan Documents and the other documents relating to the Secured Obligations, the delivery of the Notes and the extension of credit thereunder or in connection therewith.</w:t>
      </w:r>
    </w:p>
    <w:p>
      <w:pPr>
        <w:spacing w:after="0" w:line="181" w:lineRule="exact"/>
        <w:rPr>
          <w:rFonts w:ascii="Arial" w:cs="Arial" w:eastAsia="Arial" w:hAnsi="Arial"/>
          <w:sz w:val="18"/>
          <w:szCs w:val="18"/>
          <w:color w:val="auto"/>
        </w:rPr>
      </w:pPr>
    </w:p>
    <w:p>
      <w:pPr>
        <w:ind w:right="20" w:firstLine="656"/>
        <w:spacing w:after="0" w:line="302" w:lineRule="auto"/>
        <w:tabs>
          <w:tab w:leader="none" w:pos="129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Other Security</w:t>
      </w:r>
      <w:r>
        <w:rPr>
          <w:rFonts w:ascii="Arial" w:cs="Arial" w:eastAsia="Arial" w:hAnsi="Arial"/>
          <w:sz w:val="16"/>
          <w:szCs w:val="16"/>
          <w:color w:val="auto"/>
        </w:rPr>
        <w:t>. To the extent that any of the Secured Obligations are now or hereafter secured by property other than the Pledged Collateral (including, without limitation, real and other personal property and securities owned by a Pledgor), or by a guarantee, endorsement or property of any other Person, then to the extent permitted by applicable law the Administrative Agent shall have the right to proceed against such other property, guarantee or endorsement upon the occurrence and during the continuation of any Event of Default, and the Administrative Agent shall have the right, in its sole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discretion, to determine which rights, security, liens, security interests or remedies the Administrative Agent shall at any time pursue, relinquish, subordinate, modify or take with respect thereto, without in any way modifying or affecting any of them or the Secured Obligations or any of the rights of the Administrative Agent or the Secured Parties under this Pledge Agreement, under any of the other Loan Documents or under any other document relating to the Secured Obligations.</w:t>
      </w:r>
    </w:p>
    <w:p>
      <w:pPr>
        <w:spacing w:after="0" w:line="187" w:lineRule="exact"/>
        <w:rPr>
          <w:sz w:val="20"/>
          <w:szCs w:val="20"/>
          <w:color w:val="auto"/>
        </w:rPr>
      </w:pPr>
    </w:p>
    <w:p>
      <w:pPr>
        <w:ind w:right="560" w:firstLine="656"/>
        <w:spacing w:after="0" w:line="277" w:lineRule="auto"/>
        <w:tabs>
          <w:tab w:leader="none" w:pos="1292"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Rights of Required Lenders</w:t>
      </w:r>
      <w:r>
        <w:rPr>
          <w:rFonts w:ascii="Arial" w:cs="Arial" w:eastAsia="Arial" w:hAnsi="Arial"/>
          <w:sz w:val="18"/>
          <w:szCs w:val="18"/>
          <w:color w:val="auto"/>
        </w:rPr>
        <w:t>. All rights of the Administrative Agent hereunder, if not exercised by the Administrative Agent, may be exercised by the Required Lenders.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 of Pledgors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120" w:firstLine="645"/>
        <w:spacing w:after="0" w:line="312" w:lineRule="auto"/>
        <w:tabs>
          <w:tab w:leader="none" w:pos="1954" w:val="left"/>
        </w:tabs>
        <w:numPr>
          <w:ilvl w:val="1"/>
          <w:numId w:val="261"/>
        </w:numPr>
        <w:rPr>
          <w:rFonts w:ascii="Arial" w:cs="Arial" w:eastAsia="Arial" w:hAnsi="Arial"/>
          <w:sz w:val="16"/>
          <w:szCs w:val="16"/>
          <w:color w:val="auto"/>
        </w:rPr>
      </w:pPr>
      <w:r>
        <w:rPr>
          <w:rFonts w:ascii="Arial" w:cs="Arial" w:eastAsia="Arial" w:hAnsi="Arial"/>
          <w:sz w:val="16"/>
          <w:szCs w:val="16"/>
          <w:color w:val="auto"/>
        </w:rPr>
        <w:t xml:space="preserve">Subject to subsection (c) of this </w:t>
      </w:r>
      <w:r>
        <w:rPr>
          <w:rFonts w:ascii="Arial" w:cs="Arial" w:eastAsia="Arial" w:hAnsi="Arial"/>
          <w:sz w:val="16"/>
          <w:szCs w:val="16"/>
          <w:u w:val="single" w:color="auto"/>
          <w:color w:val="auto"/>
        </w:rPr>
        <w:t>Section 23</w:t>
      </w:r>
      <w:r>
        <w:rPr>
          <w:rFonts w:ascii="Arial" w:cs="Arial" w:eastAsia="Arial" w:hAnsi="Arial"/>
          <w:sz w:val="16"/>
          <w:szCs w:val="16"/>
          <w:color w:val="auto"/>
        </w:rPr>
        <w:t>, each of the Pledgors is accepting joint and several liability hereunder in consideration of the financial accommodation to be provided by the Secured Parties, for the mutual benefit, directly and indirectly, of each of the Pledgors and in consideration of the undertakings of each of the Pledgors to accept joint and several liability for the obligations of each of them.</w:t>
      </w:r>
    </w:p>
    <w:p>
      <w:pPr>
        <w:spacing w:after="0" w:line="146" w:lineRule="exact"/>
        <w:rPr>
          <w:rFonts w:ascii="Arial" w:cs="Arial" w:eastAsia="Arial" w:hAnsi="Arial"/>
          <w:sz w:val="16"/>
          <w:szCs w:val="16"/>
          <w:color w:val="auto"/>
        </w:rPr>
      </w:pPr>
    </w:p>
    <w:p>
      <w:pPr>
        <w:ind w:left="660" w:firstLine="645"/>
        <w:spacing w:after="0" w:line="257" w:lineRule="auto"/>
        <w:tabs>
          <w:tab w:leader="none" w:pos="196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Subject to subsection (c) of this </w:t>
      </w:r>
      <w:r>
        <w:rPr>
          <w:rFonts w:ascii="Arial" w:cs="Arial" w:eastAsia="Arial" w:hAnsi="Arial"/>
          <w:sz w:val="18"/>
          <w:szCs w:val="18"/>
          <w:u w:val="single" w:color="auto"/>
          <w:color w:val="auto"/>
        </w:rPr>
        <w:t>Section 23</w:t>
      </w:r>
      <w:r>
        <w:rPr>
          <w:rFonts w:ascii="Arial" w:cs="Arial" w:eastAsia="Arial" w:hAnsi="Arial"/>
          <w:sz w:val="18"/>
          <w:szCs w:val="18"/>
          <w:color w:val="auto"/>
        </w:rPr>
        <w:t>, each of the Pledgors jointly and severally hereby irrevocably and unconditionally accepts, not merely as a surety but also as a co-debtor, joint and several liability with the other Pledgors with respect to the payment and performance of all of the Secured Obligations arising under this Pledge Agreement, the other Loan Documents and any other documents relating to the Secured Obligations, it being the intention of the parties hereto that all the Secured Obligations shall be the joint and several obligations of each of the Pledgors without preferences or distinction among them.</w:t>
      </w:r>
    </w:p>
    <w:p>
      <w:pPr>
        <w:spacing w:after="0" w:line="188" w:lineRule="exact"/>
        <w:rPr>
          <w:rFonts w:ascii="Arial" w:cs="Arial" w:eastAsia="Arial" w:hAnsi="Arial"/>
          <w:sz w:val="18"/>
          <w:szCs w:val="18"/>
          <w:color w:val="auto"/>
        </w:rPr>
      </w:pPr>
    </w:p>
    <w:p>
      <w:pPr>
        <w:ind w:left="660" w:right="140" w:firstLine="645"/>
        <w:spacing w:after="0" w:line="302" w:lineRule="auto"/>
        <w:tabs>
          <w:tab w:leader="none" w:pos="1967" w:val="left"/>
        </w:tabs>
        <w:numPr>
          <w:ilvl w:val="1"/>
          <w:numId w:val="261"/>
        </w:numPr>
        <w:rPr>
          <w:rFonts w:ascii="Arial" w:cs="Arial" w:eastAsia="Arial" w:hAnsi="Arial"/>
          <w:sz w:val="16"/>
          <w:szCs w:val="16"/>
          <w:color w:val="auto"/>
        </w:rPr>
      </w:pPr>
      <w:r>
        <w:rPr>
          <w:rFonts w:ascii="Arial" w:cs="Arial" w:eastAsia="Arial" w:hAnsi="Arial"/>
          <w:sz w:val="16"/>
          <w:szCs w:val="16"/>
          <w:color w:val="auto"/>
        </w:rPr>
        <w:t>Notwithstanding any provision to the contrary contained herein, in any other of the Loan Documents or in any other documents relating to the Secured Obligations, the obligations of each Guarantor under the Credit Agreement, the other Loan Documents and the other documents relating to the Secured Obligations shall be limited to an aggregate amount equal to the largest amount that would not render such obligations subject to avoidance under Section 548 of the United States Bankruptcy Code or any comparable provisions of any applicable state law.</w:t>
      </w:r>
    </w:p>
    <w:p>
      <w:pPr>
        <w:sectPr>
          <w:pgSz w:w="11900" w:h="16945" w:orient="portrait"/>
          <w:cols w:equalWidth="0" w:num="1">
            <w:col w:w="11420"/>
          </w:cols>
          <w:pgMar w:left="240" w:top="341" w:right="239" w:bottom="0" w:gutter="0" w:footer="0" w:header="0"/>
        </w:sectPr>
      </w:pPr>
    </w:p>
    <w:bookmarkStart w:id="123" w:name="page124"/>
    <w:bookmarkEnd w:id="123"/>
    <w:p>
      <w:pPr>
        <w:ind w:right="40" w:firstLine="656"/>
        <w:spacing w:after="0" w:line="302" w:lineRule="auto"/>
        <w:tabs>
          <w:tab w:leader="none" w:pos="1292"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Joinder</w:t>
      </w:r>
      <w:r>
        <w:rPr>
          <w:rFonts w:ascii="Arial" w:cs="Arial" w:eastAsia="Arial" w:hAnsi="Arial"/>
          <w:sz w:val="16"/>
          <w:szCs w:val="16"/>
          <w:color w:val="auto"/>
        </w:rPr>
        <w:t>. At any time after the date of this Pledge Agreement, one or more additional Domestic Subsidiaries may become party hereto by executing and delivering to the Administrative Agent a Joinder Agreement. Immediately upon such execution and delivery of such Joinder Agreement (and without any further action), each such additional Domestic Subsidiary will become a party to this Pledge Agreement as a “Pledgor” and have all the rights and obligations of a Pledgor hereunder and this Pledge Agreement and the schedules hereto shall be deemed amended by such Joinder Agreement.</w:t>
      </w:r>
    </w:p>
    <w:p>
      <w:pPr>
        <w:spacing w:after="0" w:line="154" w:lineRule="exact"/>
        <w:rPr>
          <w:rFonts w:ascii="Arial" w:cs="Arial" w:eastAsia="Arial" w:hAnsi="Arial"/>
          <w:sz w:val="16"/>
          <w:szCs w:val="16"/>
          <w:color w:val="auto"/>
        </w:rPr>
      </w:pPr>
    </w:p>
    <w:p>
      <w:pPr>
        <w:ind w:right="280" w:firstLine="656"/>
        <w:spacing w:after="0" w:line="279" w:lineRule="auto"/>
        <w:tabs>
          <w:tab w:leader="none" w:pos="1292"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Consent of Issuers of Pledged Shares</w:t>
      </w:r>
      <w:r>
        <w:rPr>
          <w:rFonts w:ascii="Arial" w:cs="Arial" w:eastAsia="Arial" w:hAnsi="Arial"/>
          <w:sz w:val="17"/>
          <w:szCs w:val="17"/>
          <w:color w:val="auto"/>
        </w:rPr>
        <w:t>. Each issuer of Pledged Shares party to this Pledge Agreement hereby acknowledges, consents and agrees to the grant of the security interest in such Pledged Shares by the applicable Pledgors pursuant to this Pledge Agreement, together with all rights accompanying such security interest as provided by this Pledge Agreement and applicable law, notwithstanding any anti-assignment provisions in any operating agreement, limited partnership agreement or similar organizational or governance documents of such issuer.</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the parties hereto has caused a counterpart of this Pledge Agreement to be duly executed and delivered as of the date first above written.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Arial" w:cs="Arial" w:eastAsia="Arial" w:hAnsi="Arial"/>
                <w:sz w:val="18"/>
                <w:szCs w:val="18"/>
                <w:color w:val="auto"/>
              </w:rPr>
              <w:t>PLEDGOR:</w:t>
            </w: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17"/>
                <w:szCs w:val="17"/>
                <w:color w:val="auto"/>
              </w:rPr>
            </w:pPr>
          </w:p>
        </w:tc>
      </w:tr>
      <w:tr>
        <w:trPr>
          <w:trHeight w:val="237"/>
        </w:trPr>
        <w:tc>
          <w:tcPr>
            <w:tcW w:w="840" w:type="dxa"/>
            <w:vAlign w:val="bottom"/>
            <w:tcBorders>
              <w:top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a Delaware corporation</w:t>
            </w:r>
          </w:p>
        </w:tc>
        <w:tc>
          <w:tcPr>
            <w:tcW w:w="4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By:  /s/ Bonnie Anderson</w:t>
            </w:r>
          </w:p>
        </w:tc>
        <w:tc>
          <w:tcPr>
            <w:tcW w:w="4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800" w:type="dxa"/>
            <w:vAlign w:val="bottom"/>
          </w:tcPr>
          <w:p>
            <w:pPr>
              <w:ind w:left="2420"/>
              <w:spacing w:after="0" w:line="182" w:lineRule="exact"/>
              <w:rPr>
                <w:sz w:val="20"/>
                <w:szCs w:val="20"/>
                <w:color w:val="auto"/>
              </w:rPr>
            </w:pPr>
            <w:r>
              <w:rPr>
                <w:rFonts w:ascii="Arial" w:cs="Arial" w:eastAsia="Arial" w:hAnsi="Arial"/>
                <w:sz w:val="17"/>
                <w:szCs w:val="17"/>
                <w:color w:val="auto"/>
                <w:w w:val="71"/>
              </w:rPr>
              <w:t>Name:</w:t>
            </w:r>
          </w:p>
        </w:tc>
        <w:tc>
          <w:tcPr>
            <w:tcW w:w="532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Bonnie Anderson</w:t>
            </w:r>
          </w:p>
        </w:tc>
        <w:tc>
          <w:tcPr>
            <w:tcW w:w="40" w:type="dxa"/>
            <w:vAlign w:val="bottom"/>
          </w:tcPr>
          <w:p>
            <w:pPr>
              <w:spacing w:after="0"/>
              <w:rPr>
                <w:sz w:val="15"/>
                <w:szCs w:val="15"/>
                <w:color w:val="auto"/>
              </w:rPr>
            </w:pPr>
          </w:p>
        </w:tc>
      </w:tr>
      <w:tr>
        <w:trPr>
          <w:trHeight w:val="230"/>
        </w:trPr>
        <w:tc>
          <w:tcPr>
            <w:tcW w:w="8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20" w:type="dxa"/>
            <w:vAlign w:val="bottom"/>
            <w:gridSpan w:val="2"/>
          </w:tcPr>
          <w:p>
            <w:pPr>
              <w:ind w:left="2420"/>
              <w:spacing w:after="0"/>
              <w:rPr>
                <w:sz w:val="20"/>
                <w:szCs w:val="20"/>
                <w:color w:val="auto"/>
              </w:rPr>
            </w:pPr>
            <w:r>
              <w:rPr>
                <w:rFonts w:ascii="Arial" w:cs="Arial" w:eastAsia="Arial" w:hAnsi="Arial"/>
                <w:sz w:val="18"/>
                <w:szCs w:val="18"/>
                <w:color w:val="auto"/>
              </w:rPr>
              <w:t>Title: President &amp; CEO</w:t>
            </w:r>
          </w:p>
        </w:tc>
        <w:tc>
          <w:tcPr>
            <w:tcW w:w="40" w:type="dxa"/>
            <w:vAlign w:val="bottom"/>
          </w:tcPr>
          <w:p>
            <w:pPr>
              <w:spacing w:after="0"/>
              <w:rPr>
                <w:sz w:val="20"/>
                <w:szCs w:val="20"/>
                <w:color w:val="auto"/>
              </w:rPr>
            </w:pPr>
          </w:p>
        </w:tc>
      </w:tr>
      <w:tr>
        <w:trPr>
          <w:trHeight w:val="348"/>
        </w:trPr>
        <w:tc>
          <w:tcPr>
            <w:tcW w:w="84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Accepted and agreed to as of the date first above written.</w:t>
            </w:r>
          </w:p>
        </w:tc>
        <w:tc>
          <w:tcPr>
            <w:tcW w:w="2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ADMINISTRATIVE AGENT:</w:t>
            </w:r>
          </w:p>
        </w:tc>
        <w:tc>
          <w:tcPr>
            <w:tcW w:w="6500" w:type="dxa"/>
            <w:vAlign w:val="bottom"/>
            <w:gridSpan w:val="3"/>
          </w:tcPr>
          <w:p>
            <w:pPr>
              <w:ind w:left="800"/>
              <w:spacing w:after="0"/>
              <w:rPr>
                <w:sz w:val="20"/>
                <w:szCs w:val="20"/>
                <w:color w:val="auto"/>
              </w:rPr>
            </w:pPr>
            <w:r>
              <w:rPr>
                <w:rFonts w:ascii="Arial" w:cs="Arial" w:eastAsia="Arial" w:hAnsi="Arial"/>
                <w:sz w:val="18"/>
                <w:szCs w:val="18"/>
                <w:color w:val="auto"/>
              </w:rPr>
              <w:t>VISIUM HEALTHCARE PARTNERS, LP,</w:t>
            </w:r>
          </w:p>
        </w:tc>
        <w:tc>
          <w:tcPr>
            <w:tcW w:w="40" w:type="dxa"/>
            <w:vAlign w:val="bottom"/>
          </w:tcPr>
          <w:p>
            <w:pPr>
              <w:spacing w:after="0"/>
              <w:rPr>
                <w:sz w:val="24"/>
                <w:szCs w:val="24"/>
                <w:color w:val="auto"/>
              </w:rPr>
            </w:pPr>
          </w:p>
        </w:tc>
      </w:tr>
      <w:tr>
        <w:trPr>
          <w:trHeight w:val="230"/>
        </w:trPr>
        <w:tc>
          <w:tcPr>
            <w:tcW w:w="4920" w:type="dxa"/>
            <w:vAlign w:val="bottom"/>
          </w:tcPr>
          <w:p>
            <w:pPr>
              <w:spacing w:after="0"/>
              <w:rPr>
                <w:sz w:val="20"/>
                <w:szCs w:val="20"/>
                <w:color w:val="auto"/>
              </w:rPr>
            </w:pPr>
          </w:p>
        </w:tc>
        <w:tc>
          <w:tcPr>
            <w:tcW w:w="6500" w:type="dxa"/>
            <w:vAlign w:val="bottom"/>
            <w:gridSpan w:val="3"/>
          </w:tcPr>
          <w:p>
            <w:pPr>
              <w:ind w:left="1160"/>
              <w:spacing w:after="0"/>
              <w:rPr>
                <w:sz w:val="20"/>
                <w:szCs w:val="20"/>
                <w:color w:val="auto"/>
              </w:rPr>
            </w:pPr>
            <w:r>
              <w:rPr>
                <w:rFonts w:ascii="Arial" w:cs="Arial" w:eastAsia="Arial" w:hAnsi="Arial"/>
                <w:sz w:val="18"/>
                <w:szCs w:val="18"/>
                <w:color w:val="auto"/>
              </w:rPr>
              <w:t>a Delaware limited partnership</w:t>
            </w:r>
          </w:p>
        </w:tc>
        <w:tc>
          <w:tcPr>
            <w:tcW w:w="40" w:type="dxa"/>
            <w:vAlign w:val="bottom"/>
          </w:tcPr>
          <w:p>
            <w:pPr>
              <w:spacing w:after="0"/>
              <w:rPr>
                <w:sz w:val="20"/>
                <w:szCs w:val="20"/>
                <w:color w:val="auto"/>
              </w:rPr>
            </w:pPr>
          </w:p>
        </w:tc>
      </w:tr>
      <w:tr>
        <w:trPr>
          <w:trHeight w:val="418"/>
        </w:trPr>
        <w:tc>
          <w:tcPr>
            <w:tcW w:w="4920" w:type="dxa"/>
            <w:vAlign w:val="bottom"/>
          </w:tcPr>
          <w:p>
            <w:pPr>
              <w:spacing w:after="0"/>
              <w:rPr>
                <w:sz w:val="24"/>
                <w:szCs w:val="24"/>
                <w:color w:val="auto"/>
              </w:rPr>
            </w:pPr>
          </w:p>
        </w:tc>
        <w:tc>
          <w:tcPr>
            <w:tcW w:w="6500" w:type="dxa"/>
            <w:vAlign w:val="bottom"/>
            <w:gridSpan w:val="3"/>
          </w:tcPr>
          <w:p>
            <w:pPr>
              <w:ind w:left="1160"/>
              <w:spacing w:after="0"/>
              <w:rPr>
                <w:sz w:val="20"/>
                <w:szCs w:val="20"/>
                <w:color w:val="auto"/>
              </w:rPr>
            </w:pPr>
            <w:r>
              <w:rPr>
                <w:rFonts w:ascii="Arial" w:cs="Arial" w:eastAsia="Arial" w:hAnsi="Arial"/>
                <w:sz w:val="18"/>
                <w:szCs w:val="18"/>
                <w:color w:val="auto"/>
              </w:rPr>
              <w:t>By:   VISIUM HEALTHCARE ADVISORS, LP,</w:t>
            </w:r>
          </w:p>
        </w:tc>
        <w:tc>
          <w:tcPr>
            <w:tcW w:w="40" w:type="dxa"/>
            <w:vAlign w:val="bottom"/>
          </w:tcPr>
          <w:p>
            <w:pPr>
              <w:spacing w:after="0"/>
              <w:rPr>
                <w:sz w:val="24"/>
                <w:szCs w:val="24"/>
                <w:color w:val="auto"/>
              </w:rPr>
            </w:pPr>
          </w:p>
        </w:tc>
      </w:tr>
      <w:tr>
        <w:trPr>
          <w:trHeight w:val="230"/>
        </w:trPr>
        <w:tc>
          <w:tcPr>
            <w:tcW w:w="4920" w:type="dxa"/>
            <w:vAlign w:val="bottom"/>
          </w:tcPr>
          <w:p>
            <w:pPr>
              <w:spacing w:after="0"/>
              <w:rPr>
                <w:sz w:val="20"/>
                <w:szCs w:val="20"/>
                <w:color w:val="auto"/>
              </w:rPr>
            </w:pPr>
          </w:p>
        </w:tc>
        <w:tc>
          <w:tcPr>
            <w:tcW w:w="6500" w:type="dxa"/>
            <w:vAlign w:val="bottom"/>
            <w:gridSpan w:val="3"/>
          </w:tcPr>
          <w:p>
            <w:pPr>
              <w:ind w:left="170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418"/>
        </w:trPr>
        <w:tc>
          <w:tcPr>
            <w:tcW w:w="4920" w:type="dxa"/>
            <w:vAlign w:val="bottom"/>
          </w:tcPr>
          <w:p>
            <w:pPr>
              <w:spacing w:after="0"/>
              <w:rPr>
                <w:sz w:val="24"/>
                <w:szCs w:val="24"/>
                <w:color w:val="auto"/>
              </w:rPr>
            </w:pPr>
          </w:p>
        </w:tc>
        <w:tc>
          <w:tcPr>
            <w:tcW w:w="2720" w:type="dxa"/>
            <w:vAlign w:val="bottom"/>
          </w:tcPr>
          <w:p>
            <w:pPr>
              <w:ind w:left="1700"/>
              <w:spacing w:after="0"/>
              <w:rPr>
                <w:sz w:val="20"/>
                <w:szCs w:val="20"/>
                <w:color w:val="auto"/>
              </w:rPr>
            </w:pPr>
            <w:r>
              <w:rPr>
                <w:rFonts w:ascii="Arial" w:cs="Arial" w:eastAsia="Arial" w:hAnsi="Arial"/>
                <w:sz w:val="18"/>
                <w:szCs w:val="18"/>
                <w:color w:val="auto"/>
              </w:rPr>
              <w:t>By:</w:t>
            </w:r>
          </w:p>
        </w:tc>
        <w:tc>
          <w:tcPr>
            <w:tcW w:w="3780" w:type="dxa"/>
            <w:vAlign w:val="bottom"/>
            <w:gridSpan w:val="2"/>
          </w:tcPr>
          <w:p>
            <w:pPr>
              <w:ind w:left="420"/>
              <w:spacing w:after="0"/>
              <w:rPr>
                <w:sz w:val="20"/>
                <w:szCs w:val="20"/>
                <w:color w:val="auto"/>
              </w:rPr>
            </w:pPr>
            <w:r>
              <w:rPr>
                <w:rFonts w:ascii="Arial" w:cs="Arial" w:eastAsia="Arial" w:hAnsi="Arial"/>
                <w:sz w:val="18"/>
                <w:szCs w:val="18"/>
                <w:color w:val="auto"/>
              </w:rPr>
              <w:t>JG ASSET II, LLC,</w:t>
            </w:r>
          </w:p>
        </w:tc>
        <w:tc>
          <w:tcPr>
            <w:tcW w:w="40" w:type="dxa"/>
            <w:vAlign w:val="bottom"/>
          </w:tcPr>
          <w:p>
            <w:pPr>
              <w:spacing w:after="0"/>
              <w:rPr>
                <w:sz w:val="24"/>
                <w:szCs w:val="24"/>
                <w:color w:val="auto"/>
              </w:rPr>
            </w:pPr>
          </w:p>
        </w:tc>
      </w:tr>
      <w:tr>
        <w:trPr>
          <w:trHeight w:val="230"/>
        </w:trPr>
        <w:tc>
          <w:tcPr>
            <w:tcW w:w="49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r>
      <w:tr>
        <w:trPr>
          <w:trHeight w:val="648"/>
        </w:trPr>
        <w:tc>
          <w:tcPr>
            <w:tcW w:w="4920" w:type="dxa"/>
            <w:vAlign w:val="bottom"/>
          </w:tcPr>
          <w:p>
            <w:pPr>
              <w:spacing w:after="0"/>
              <w:rPr>
                <w:sz w:val="24"/>
                <w:szCs w:val="24"/>
                <w:color w:val="auto"/>
              </w:rPr>
            </w:pPr>
          </w:p>
        </w:tc>
        <w:tc>
          <w:tcPr>
            <w:tcW w:w="2720" w:type="dxa"/>
            <w:vAlign w:val="bottom"/>
          </w:tcPr>
          <w:p>
            <w:pPr>
              <w:ind w:left="2120"/>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Gottlieb</w:t>
            </w:r>
          </w:p>
        </w:tc>
        <w:tc>
          <w:tcPr>
            <w:tcW w:w="40" w:type="dxa"/>
            <w:vAlign w:val="bottom"/>
          </w:tcPr>
          <w:p>
            <w:pPr>
              <w:spacing w:after="0"/>
              <w:rPr>
                <w:sz w:val="24"/>
                <w:szCs w:val="24"/>
                <w:color w:val="auto"/>
              </w:rPr>
            </w:pPr>
          </w:p>
        </w:tc>
      </w:tr>
      <w:tr>
        <w:trPr>
          <w:trHeight w:val="210"/>
        </w:trPr>
        <w:tc>
          <w:tcPr>
            <w:tcW w:w="4920" w:type="dxa"/>
            <w:vAlign w:val="bottom"/>
          </w:tcPr>
          <w:p>
            <w:pPr>
              <w:spacing w:after="0"/>
              <w:rPr>
                <w:sz w:val="18"/>
                <w:szCs w:val="18"/>
                <w:color w:val="auto"/>
              </w:rPr>
            </w:pPr>
          </w:p>
        </w:tc>
        <w:tc>
          <w:tcPr>
            <w:tcW w:w="2720" w:type="dxa"/>
            <w:vAlign w:val="bottom"/>
          </w:tcPr>
          <w:p>
            <w:pPr>
              <w:ind w:left="2120"/>
              <w:spacing w:after="0"/>
              <w:rPr>
                <w:sz w:val="20"/>
                <w:szCs w:val="20"/>
                <w:color w:val="auto"/>
              </w:rPr>
            </w:pPr>
            <w:r>
              <w:rPr>
                <w:rFonts w:ascii="Arial" w:cs="Arial" w:eastAsia="Arial" w:hAnsi="Arial"/>
                <w:sz w:val="18"/>
                <w:szCs w:val="18"/>
                <w:color w:val="auto"/>
              </w:rPr>
              <w:t>Name:</w:t>
            </w:r>
          </w:p>
        </w:tc>
        <w:tc>
          <w:tcPr>
            <w:tcW w:w="60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Gottlieb</w:t>
            </w:r>
          </w:p>
        </w:tc>
        <w:tc>
          <w:tcPr>
            <w:tcW w:w="40" w:type="dxa"/>
            <w:vAlign w:val="bottom"/>
          </w:tcPr>
          <w:p>
            <w:pPr>
              <w:spacing w:after="0"/>
              <w:rPr>
                <w:sz w:val="18"/>
                <w:szCs w:val="18"/>
                <w:color w:val="auto"/>
              </w:rPr>
            </w:pPr>
          </w:p>
        </w:tc>
      </w:tr>
      <w:tr>
        <w:trPr>
          <w:trHeight w:val="210"/>
        </w:trPr>
        <w:tc>
          <w:tcPr>
            <w:tcW w:w="4920" w:type="dxa"/>
            <w:vAlign w:val="bottom"/>
          </w:tcPr>
          <w:p>
            <w:pPr>
              <w:spacing w:after="0"/>
              <w:rPr>
                <w:sz w:val="18"/>
                <w:szCs w:val="18"/>
                <w:color w:val="auto"/>
              </w:rPr>
            </w:pPr>
          </w:p>
        </w:tc>
        <w:tc>
          <w:tcPr>
            <w:tcW w:w="2720" w:type="dxa"/>
            <w:vAlign w:val="bottom"/>
          </w:tcPr>
          <w:p>
            <w:pPr>
              <w:ind w:left="2120"/>
              <w:spacing w:after="0"/>
              <w:rPr>
                <w:sz w:val="20"/>
                <w:szCs w:val="20"/>
                <w:color w:val="auto"/>
              </w:rPr>
            </w:pPr>
            <w:r>
              <w:rPr>
                <w:rFonts w:ascii="Arial" w:cs="Arial" w:eastAsia="Arial" w:hAnsi="Arial"/>
                <w:sz w:val="18"/>
                <w:szCs w:val="18"/>
                <w:color w:val="auto"/>
              </w:rPr>
              <w:t>Title:</w:t>
            </w:r>
          </w:p>
        </w:tc>
        <w:tc>
          <w:tcPr>
            <w:tcW w:w="60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Member</w:t>
            </w:r>
          </w:p>
        </w:tc>
        <w:tc>
          <w:tcPr>
            <w:tcW w:w="40" w:type="dxa"/>
            <w:vAlign w:val="bottom"/>
          </w:tcPr>
          <w:p>
            <w:pPr>
              <w:spacing w:after="0"/>
              <w:rPr>
                <w:sz w:val="18"/>
                <w:szCs w:val="18"/>
                <w:color w:val="auto"/>
              </w:rPr>
            </w:pPr>
          </w:p>
        </w:tc>
      </w:tr>
      <w:tr>
        <w:trPr>
          <w:trHeight w:val="341"/>
        </w:trPr>
        <w:tc>
          <w:tcPr>
            <w:tcW w:w="49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4" w:name="page125"/>
    <w:bookmarkEnd w:id="124"/>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6000 Shoreline Court, Suite 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STRICTLY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Visium Healthcare Partners, LP</w:t>
      </w:r>
    </w:p>
    <w:p>
      <w:pPr>
        <w:spacing w:after="0" w:line="218" w:lineRule="auto"/>
        <w:rPr>
          <w:sz w:val="20"/>
          <w:szCs w:val="20"/>
          <w:color w:val="auto"/>
        </w:rPr>
      </w:pPr>
      <w:r>
        <w:rPr>
          <w:rFonts w:ascii="Arial" w:cs="Arial" w:eastAsia="Arial" w:hAnsi="Arial"/>
          <w:sz w:val="18"/>
          <w:szCs w:val="18"/>
          <w:color w:val="auto"/>
        </w:rPr>
        <w:t>888 7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Agreement Regarding Potential Opportunity to Purchase Common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Reference is made to the Credit Agreement (as amended, restated, supplemented or otherwise modified,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dated as of March 25, 2016 by and among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as Borrower under the Credit Agreement, each of the Guarantors party to the Credit Agreement, Visium Healthcare Partners, LP, a Delaware limited partnership, as Administrative Agent under the Credit Agreement, and each of the Lenders party to the Credit Agreement, including their successors and assigns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connection with entering into the Credit Agreement, the Company, the Administrative Agent, and each of the Purchasers desire to enter into this letter agreement (this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with respect to the potential opportunity to purchase Common Equity (as defined below) of the Company by the Purchasers in connection with one or more Equity Offerings (as defined below) for a period of one year following the Funding Date, subject to the terms and conditions of this Letter Agreement. As used in this Letter Agreement, “</w:t>
      </w:r>
      <w:r>
        <w:rPr>
          <w:rFonts w:ascii="Arial" w:cs="Arial" w:eastAsia="Arial" w:hAnsi="Arial"/>
          <w:sz w:val="18"/>
          <w:szCs w:val="18"/>
          <w:b w:val="1"/>
          <w:bCs w:val="1"/>
          <w:i w:val="1"/>
          <w:iCs w:val="1"/>
          <w:color w:val="auto"/>
        </w:rPr>
        <w:t>Common Equity</w:t>
      </w:r>
      <w:r>
        <w:rPr>
          <w:rFonts w:ascii="Arial" w:cs="Arial" w:eastAsia="Arial" w:hAnsi="Arial"/>
          <w:sz w:val="18"/>
          <w:szCs w:val="18"/>
          <w:i w:val="1"/>
          <w:iCs w:val="1"/>
          <w:color w:val="auto"/>
        </w:rPr>
        <w:t>”</w:t>
      </w:r>
      <w:r>
        <w:rPr>
          <w:rFonts w:ascii="Arial" w:cs="Arial" w:eastAsia="Arial" w:hAnsi="Arial"/>
          <w:sz w:val="18"/>
          <w:szCs w:val="18"/>
          <w:color w:val="auto"/>
        </w:rPr>
        <w:t xml:space="preserve"> means (i) shares of common stock of the Company, (ii) warrants, options or other rights for the purchase or acquisition from the Company of shares of common stock of the Company or (iii) securities convertible into or exchangeable for shares of common stock of the Company.</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Each of the parties to this Letter Agreement agree that this Letter Agreement is effective as of the Funding Date. Unless otherwise defined herein, capitalized terms used in this Letter Agreement shall have the meanings set forth in the Credit Agreement.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consideration of the foregoing and the mutual promises, representations, warranties, and covenants hereinafter set forth and for other good and valuable consideration, the receipt and sufficiency of which are hereby acknowledged, the parties hereto agree as follows:</w:t>
      </w:r>
    </w:p>
    <w:p>
      <w:pPr>
        <w:spacing w:after="0" w:line="166" w:lineRule="exact"/>
        <w:rPr>
          <w:sz w:val="20"/>
          <w:szCs w:val="20"/>
          <w:color w:val="auto"/>
        </w:rPr>
      </w:pPr>
    </w:p>
    <w:p>
      <w:pPr>
        <w:ind w:left="1300" w:hanging="644"/>
        <w:spacing w:after="0"/>
        <w:tabs>
          <w:tab w:leader="none" w:pos="130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Rights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80" w:firstLine="1305"/>
        <w:spacing w:after="0" w:line="290" w:lineRule="auto"/>
        <w:tabs>
          <w:tab w:leader="none" w:pos="1952" w:val="left"/>
        </w:tabs>
        <w:numPr>
          <w:ilvl w:val="1"/>
          <w:numId w:val="263"/>
        </w:numPr>
        <w:rPr>
          <w:rFonts w:ascii="Arial" w:cs="Arial" w:eastAsia="Arial" w:hAnsi="Arial"/>
          <w:sz w:val="16"/>
          <w:szCs w:val="16"/>
          <w:b w:val="1"/>
          <w:bCs w:val="1"/>
          <w:color w:val="auto"/>
        </w:rPr>
      </w:pPr>
      <w:r>
        <w:rPr>
          <w:rFonts w:ascii="Arial" w:cs="Arial" w:eastAsia="Arial" w:hAnsi="Arial"/>
          <w:sz w:val="16"/>
          <w:szCs w:val="16"/>
          <w:color w:val="auto"/>
        </w:rPr>
        <w:t>In the event the Company intends to offer Common Equity pursuant to one or more Qualifying Follow-On Offerings (as defined below) no later than one year following the Funding Date, each Purchaser, in its sole discretion, shall have the right but not the obligation to submit to the underwriters a non-binding indication of interest to purchase in each Qualifying Follow-On Offering (the “</w:t>
      </w:r>
      <w:r>
        <w:rPr>
          <w:rFonts w:ascii="Arial" w:cs="Arial" w:eastAsia="Arial" w:hAnsi="Arial"/>
          <w:sz w:val="16"/>
          <w:szCs w:val="16"/>
          <w:b w:val="1"/>
          <w:bCs w:val="1"/>
          <w:i w:val="1"/>
          <w:iCs w:val="1"/>
          <w:color w:val="auto"/>
        </w:rPr>
        <w:t>Public Offering Participation Right</w:t>
      </w:r>
      <w:r>
        <w:rPr>
          <w:rFonts w:ascii="Arial" w:cs="Arial" w:eastAsia="Arial" w:hAnsi="Arial"/>
          <w:sz w:val="16"/>
          <w:szCs w:val="16"/>
          <w:color w:val="auto"/>
        </w:rPr>
        <w:t>”) such Purchaser’s Pro Rata Percentage (as defined below) of up to an aggregate number of shares or units of Common Equity equal to (i) the Available Amount (as defined below) divided by (ii) the price at which each share or unit of Common Equity is issued and sold to the public in the Qualifying Follow-On Offering (the “</w:t>
      </w:r>
      <w:r>
        <w:rPr>
          <w:rFonts w:ascii="Arial" w:cs="Arial" w:eastAsia="Arial" w:hAnsi="Arial"/>
          <w:sz w:val="16"/>
          <w:szCs w:val="16"/>
          <w:b w:val="1"/>
          <w:bCs w:val="1"/>
          <w:i w:val="1"/>
          <w:iCs w:val="1"/>
          <w:color w:val="auto"/>
        </w:rPr>
        <w:t>Public Offering Price</w:t>
      </w:r>
      <w:r>
        <w:rPr>
          <w:rFonts w:ascii="Arial" w:cs="Arial" w:eastAsia="Arial" w:hAnsi="Arial"/>
          <w:sz w:val="16"/>
          <w:szCs w:val="16"/>
          <w:color w:val="auto"/>
        </w:rPr>
        <w:t>”), at a price per share or unit equal to the Public Offering Price in the closing of the Qualifying Follow-On Offering (the “</w:t>
      </w:r>
      <w:r>
        <w:rPr>
          <w:rFonts w:ascii="Arial" w:cs="Arial" w:eastAsia="Arial" w:hAnsi="Arial"/>
          <w:sz w:val="16"/>
          <w:szCs w:val="16"/>
          <w:b w:val="1"/>
          <w:bCs w:val="1"/>
          <w:i w:val="1"/>
          <w:iCs w:val="1"/>
          <w:color w:val="auto"/>
        </w:rPr>
        <w:t>Public</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Offering Closing</w:t>
      </w:r>
      <w:r>
        <w:rPr>
          <w:rFonts w:ascii="Arial" w:cs="Arial" w:eastAsia="Arial" w:hAnsi="Arial"/>
          <w:sz w:val="16"/>
          <w:szCs w:val="16"/>
          <w:color w:val="auto"/>
        </w:rPr>
        <w:t>”). Notwithstanding the foregoing, the Public Offering Participation Right shall be subject to (i) a determination by any of the Company,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Agent (on behalf of the Purchasers) or the underwriters, with the advice of outside counsel, that the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Participation Right does not violate applicable Laws and the rules, regulations and requirements of securities exchanges or securities listing organizations, including but not limited to any applicable state or federal securities laws or regulations and any applicable rule, policy or limit imposed by the U.S. Securities and Exchange Commission, the National Association of Securities Dealers, or any securities exchange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and (ii) any carve backs, restrictions and other limitations reasonably requested by the Company’s underwriters in connection with the Qualifying Follow-On Offering. For purposes of this Letter Agreement, “</w:t>
      </w:r>
      <w:r>
        <w:rPr>
          <w:rFonts w:ascii="Arial" w:cs="Arial" w:eastAsia="Arial" w:hAnsi="Arial"/>
          <w:sz w:val="16"/>
          <w:szCs w:val="16"/>
          <w:b w:val="1"/>
          <w:bCs w:val="1"/>
          <w:i w:val="1"/>
          <w:iCs w:val="1"/>
          <w:color w:val="auto"/>
        </w:rPr>
        <w:t>Available Amount</w:t>
      </w:r>
      <w:r>
        <w:rPr>
          <w:rFonts w:ascii="Arial" w:cs="Arial" w:eastAsia="Arial" w:hAnsi="Arial"/>
          <w:sz w:val="16"/>
          <w:szCs w:val="16"/>
          <w:color w:val="auto"/>
        </w:rPr>
        <w:t>”, as determined from time to time, means (i) Five Million Dollars ($5,000,000) less (ii) the aggregate dollar amount paid by the Purchasers, if any, to purchase Common Equity in Equity Offerings prior to when the Available Amount is being calculated.</w:t>
      </w:r>
    </w:p>
    <w:p>
      <w:pPr>
        <w:spacing w:after="0" w:line="165" w:lineRule="exact"/>
        <w:rPr>
          <w:sz w:val="20"/>
          <w:szCs w:val="20"/>
          <w:color w:val="auto"/>
        </w:rPr>
      </w:pPr>
    </w:p>
    <w:p>
      <w:pPr>
        <w:ind w:right="40" w:firstLine="1305"/>
        <w:spacing w:after="0" w:line="268" w:lineRule="auto"/>
        <w:tabs>
          <w:tab w:leader="none" w:pos="1962" w:val="left"/>
        </w:tabs>
        <w:numPr>
          <w:ilvl w:val="0"/>
          <w:numId w:val="264"/>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in the event (i) any of the Company, the Administrative Agent (on behalf of the Purchasers), or the underwriters, with the advice of counsel, determine that the Public Offering Participation Right violates Applicable Laws (including, without limitation, as a result of the Purchasers having material non-public information), (ii) the Public Offering Participation Right is limited by carve backs, restrictions or other limitations reasonably requested by the underwriters, or (iii) the Purchasers are otherwise not permitted or decline, in their sole discretion, to participate in a Qualifying Follow-On Offering pursuant to the terms hereof (each, a “</w:t>
      </w:r>
      <w:r>
        <w:rPr>
          <w:rFonts w:ascii="Arial" w:cs="Arial" w:eastAsia="Arial" w:hAnsi="Arial"/>
          <w:sz w:val="17"/>
          <w:szCs w:val="17"/>
          <w:b w:val="1"/>
          <w:bCs w:val="1"/>
          <w:i w:val="1"/>
          <w:iCs w:val="1"/>
          <w:color w:val="auto"/>
        </w:rPr>
        <w:t>Public Offering Disqualification Event</w:t>
      </w:r>
      <w:r>
        <w:rPr>
          <w:rFonts w:ascii="Arial" w:cs="Arial" w:eastAsia="Arial" w:hAnsi="Arial"/>
          <w:sz w:val="17"/>
          <w:szCs w:val="17"/>
          <w:color w:val="auto"/>
        </w:rPr>
        <w:t>”), then, each Purchaser, in its sole discretion, shall have the right but not the obligation (the “</w:t>
      </w:r>
      <w:r>
        <w:rPr>
          <w:rFonts w:ascii="Arial" w:cs="Arial" w:eastAsia="Arial" w:hAnsi="Arial"/>
          <w:sz w:val="17"/>
          <w:szCs w:val="17"/>
          <w:b w:val="1"/>
          <w:bCs w:val="1"/>
          <w:i w:val="1"/>
          <w:iCs w:val="1"/>
          <w:color w:val="auto"/>
        </w:rPr>
        <w:t>Private Placement Participation Right</w:t>
      </w:r>
      <w:r>
        <w:rPr>
          <w:rFonts w:ascii="Arial" w:cs="Arial" w:eastAsia="Arial" w:hAnsi="Arial"/>
          <w:sz w:val="17"/>
          <w:szCs w:val="17"/>
          <w:color w:val="auto"/>
        </w:rPr>
        <w:t>”), to purchase, in a private placement exempt from the registration requirements of the Securities Act of 1933, as amended, concurrent to the Qualifying Follow-On Offering, (the “</w:t>
      </w:r>
      <w:r>
        <w:rPr>
          <w:rFonts w:ascii="Arial" w:cs="Arial" w:eastAsia="Arial" w:hAnsi="Arial"/>
          <w:sz w:val="17"/>
          <w:szCs w:val="17"/>
          <w:b w:val="1"/>
          <w:bCs w:val="1"/>
          <w:i w:val="1"/>
          <w:iCs w:val="1"/>
          <w:color w:val="auto"/>
        </w:rPr>
        <w:t>Private Placement</w:t>
      </w:r>
      <w:r>
        <w:rPr>
          <w:rFonts w:ascii="Arial" w:cs="Arial" w:eastAsia="Arial" w:hAnsi="Arial"/>
          <w:sz w:val="17"/>
          <w:szCs w:val="17"/>
          <w:color w:val="auto"/>
        </w:rPr>
        <w:t>”), such Purchaser’s Pro Rata Percentage (as defined below) of up to an aggregate number of shares or units of Common Equity equal to (A) the Available Amount divided by (B) the Equity Purchase Price (as defined below), at a price per share or unit equal to the Equity Purchase Price (the “</w:t>
      </w:r>
      <w:r>
        <w:rPr>
          <w:rFonts w:ascii="Arial" w:cs="Arial" w:eastAsia="Arial" w:hAnsi="Arial"/>
          <w:sz w:val="17"/>
          <w:szCs w:val="17"/>
          <w:b w:val="1"/>
          <w:bCs w:val="1"/>
          <w:i w:val="1"/>
          <w:iCs w:val="1"/>
          <w:color w:val="auto"/>
        </w:rPr>
        <w:t>Private Placement Price</w:t>
      </w:r>
      <w:r>
        <w:rPr>
          <w:rFonts w:ascii="Arial" w:cs="Arial" w:eastAsia="Arial" w:hAnsi="Arial"/>
          <w:sz w:val="17"/>
          <w:szCs w:val="17"/>
          <w:color w:val="auto"/>
        </w:rPr>
        <w:t>”) in a closing to be held concurrently with the closing of the Qualifying Follow-On Offering. Notwithstanding the foregoing, the Participation Right shall be subject to a determination by the Company or the Administrative Agent with the advice of outside counsel, that the Private Placement does not violate Applicable Law.If neither the Public Offering Participation Right nor the Private Placement Participation Right with respect to a Qualifying Follow-On Offering can be effected in compliance with Applicable Law, then the Company shall have no further obligation to the Purchasers pursuant to this Letter Agreement with respect to such Qualifying Follow-On Offering.</w:t>
      </w:r>
    </w:p>
    <w:p>
      <w:pPr>
        <w:spacing w:after="0" w:line="185" w:lineRule="exact"/>
        <w:rPr>
          <w:rFonts w:ascii="Arial" w:cs="Arial" w:eastAsia="Arial" w:hAnsi="Arial"/>
          <w:sz w:val="17"/>
          <w:szCs w:val="17"/>
          <w:b w:val="1"/>
          <w:bCs w:val="1"/>
          <w:color w:val="auto"/>
        </w:rPr>
      </w:pPr>
    </w:p>
    <w:p>
      <w:pPr>
        <w:ind w:firstLine="1305"/>
        <w:spacing w:after="0" w:line="302" w:lineRule="auto"/>
        <w:tabs>
          <w:tab w:leader="none" w:pos="1955" w:val="left"/>
        </w:tabs>
        <w:numPr>
          <w:ilvl w:val="0"/>
          <w:numId w:val="264"/>
        </w:numPr>
        <w:rPr>
          <w:rFonts w:ascii="Arial" w:cs="Arial" w:eastAsia="Arial" w:hAnsi="Arial"/>
          <w:sz w:val="16"/>
          <w:szCs w:val="16"/>
          <w:b w:val="1"/>
          <w:bCs w:val="1"/>
          <w:color w:val="auto"/>
        </w:rPr>
      </w:pPr>
      <w:r>
        <w:rPr>
          <w:rFonts w:ascii="Arial" w:cs="Arial" w:eastAsia="Arial" w:hAnsi="Arial"/>
          <w:sz w:val="16"/>
          <w:szCs w:val="16"/>
          <w:color w:val="auto"/>
        </w:rPr>
        <w:t>In the event the Company intends to offer or sell Common Equity in one or more transactions in any manner other than pursuant to a Qualifying Follow-On Offering or Private Placement as set forth above, including without limitation, any other private placement of Common Equity solely for cash, but excluding an underwritten Rule 144A offering of securities convertible into or exchangeable for shares of common stock of the Company (a “</w:t>
      </w:r>
      <w:r>
        <w:rPr>
          <w:rFonts w:ascii="Arial" w:cs="Arial" w:eastAsia="Arial" w:hAnsi="Arial"/>
          <w:sz w:val="16"/>
          <w:szCs w:val="16"/>
          <w:b w:val="1"/>
          <w:bCs w:val="1"/>
          <w:i w:val="1"/>
          <w:iCs w:val="1"/>
          <w:color w:val="auto"/>
        </w:rPr>
        <w:t>Private Sale</w:t>
      </w:r>
      <w:r>
        <w:rPr>
          <w:rFonts w:ascii="Arial" w:cs="Arial" w:eastAsia="Arial" w:hAnsi="Arial"/>
          <w:sz w:val="16"/>
          <w:szCs w:val="16"/>
          <w:color w:val="auto"/>
        </w:rPr>
        <w:t>”, and together with a Private Placement and a Qualifying Follow-On Offering, each, an “</w:t>
      </w:r>
      <w:r>
        <w:rPr>
          <w:rFonts w:ascii="Arial" w:cs="Arial" w:eastAsia="Arial" w:hAnsi="Arial"/>
          <w:sz w:val="16"/>
          <w:szCs w:val="16"/>
          <w:b w:val="1"/>
          <w:bCs w:val="1"/>
          <w:i w:val="1"/>
          <w:iCs w:val="1"/>
          <w:color w:val="auto"/>
        </w:rPr>
        <w:t>Equity Offering</w:t>
      </w:r>
      <w:r>
        <w:rPr>
          <w:rFonts w:ascii="Arial" w:cs="Arial" w:eastAsia="Arial" w:hAnsi="Arial"/>
          <w:sz w:val="16"/>
          <w:szCs w:val="16"/>
          <w:color w:val="auto"/>
        </w:rPr>
        <w:t>”), no later than one year following the</w:t>
      </w:r>
    </w:p>
    <w:p>
      <w:pPr>
        <w:sectPr>
          <w:pgSz w:w="11900" w:h="16877" w:orient="portrait"/>
          <w:cols w:equalWidth="0" w:num="1">
            <w:col w:w="11420"/>
          </w:cols>
          <w:pgMar w:left="240" w:top="121" w:right="239" w:bottom="0" w:gutter="0" w:footer="0" w:header="0"/>
        </w:sectPr>
      </w:pPr>
    </w:p>
    <w:bookmarkStart w:id="125" w:name="page126"/>
    <w:bookmarkEnd w:id="125"/>
    <w:p>
      <w:pPr>
        <w:ind w:right="20"/>
        <w:spacing w:after="0" w:line="272" w:lineRule="auto"/>
        <w:rPr>
          <w:sz w:val="20"/>
          <w:szCs w:val="20"/>
          <w:color w:val="auto"/>
        </w:rPr>
      </w:pPr>
      <w:r>
        <w:rPr>
          <w:rFonts w:ascii="Arial" w:cs="Arial" w:eastAsia="Arial" w:hAnsi="Arial"/>
          <w:sz w:val="17"/>
          <w:szCs w:val="17"/>
          <w:color w:val="auto"/>
        </w:rPr>
        <w:t>Funding Date, then, each Purchaser, in its sole discretion, shall have the right but not the obligation (the “</w:t>
      </w:r>
      <w:r>
        <w:rPr>
          <w:rFonts w:ascii="Arial" w:cs="Arial" w:eastAsia="Arial" w:hAnsi="Arial"/>
          <w:sz w:val="17"/>
          <w:szCs w:val="17"/>
          <w:b w:val="1"/>
          <w:bCs w:val="1"/>
          <w:i w:val="1"/>
          <w:iCs w:val="1"/>
          <w:color w:val="auto"/>
        </w:rPr>
        <w:t>Private Sale Participation Right</w:t>
      </w:r>
      <w:r>
        <w:rPr>
          <w:rFonts w:ascii="Arial" w:cs="Arial" w:eastAsia="Arial" w:hAnsi="Arial"/>
          <w:sz w:val="17"/>
          <w:szCs w:val="17"/>
          <w:color w:val="auto"/>
        </w:rPr>
        <w:t>”), to participate in such Private Sale and purchase such Purchaser’s Pro Rata Percentage of up to an aggregate number of shares or units of Common Equity equal to (i) the Available Amount divided by (ii) the Equity Purchase Price, at a price per share or unit equal to the Equity Purchase Price. Notwithstanding the foregoing, the following shall not be deemed to be Private Sales or offers or sales of Common Equity: (i) issuances of equity compensation to employees and directors of the Company pursuant to the equity compensation plans that have been approved by shareholders of the Company prior to the Funding Date and (ii) issuances of Common Equity in connection with strategic transactions involving the Company and other entities, including joint ventures, manufacturing, marketing or distribution arrangements, and technology transfer or development arrangements.</w:t>
      </w:r>
    </w:p>
    <w:p>
      <w:pPr>
        <w:spacing w:after="0" w:line="178" w:lineRule="exact"/>
        <w:rPr>
          <w:sz w:val="20"/>
          <w:szCs w:val="20"/>
          <w:color w:val="auto"/>
        </w:rPr>
      </w:pPr>
    </w:p>
    <w:p>
      <w:pPr>
        <w:ind w:right="240" w:firstLine="1305"/>
        <w:spacing w:after="0" w:line="271" w:lineRule="auto"/>
        <w:tabs>
          <w:tab w:leader="none" w:pos="1962"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For purposes of this Letter Agreement, a “</w:t>
      </w:r>
      <w:r>
        <w:rPr>
          <w:rFonts w:ascii="Arial" w:cs="Arial" w:eastAsia="Arial" w:hAnsi="Arial"/>
          <w:sz w:val="17"/>
          <w:szCs w:val="17"/>
          <w:b w:val="1"/>
          <w:bCs w:val="1"/>
          <w:i w:val="1"/>
          <w:iCs w:val="1"/>
          <w:color w:val="auto"/>
        </w:rPr>
        <w:t>Qualifying Follow-On Offering</w:t>
      </w:r>
      <w:r>
        <w:rPr>
          <w:rFonts w:ascii="Arial" w:cs="Arial" w:eastAsia="Arial" w:hAnsi="Arial"/>
          <w:sz w:val="17"/>
          <w:szCs w:val="17"/>
          <w:color w:val="auto"/>
        </w:rPr>
        <w:t>” means the issuance by the Company of Common Equity in an underwritten primary public offering (other than a public offering pursuant to a registration statement on Form S-8) pursuant to an effective registration statement filed with the SEC in accordance with the Securities Act of 1933, as amended, and such Equity Interests are listed on a nationally-recognized stock exchange in the United States. For purposes of clarity, sales of Common Equity pursuant to the Company’s existing Controlled Equity Offering Sales Agreement shall not constitute a Qualifying Follow-On Offering. The “</w:t>
      </w:r>
      <w:r>
        <w:rPr>
          <w:rFonts w:ascii="Arial" w:cs="Arial" w:eastAsia="Arial" w:hAnsi="Arial"/>
          <w:sz w:val="17"/>
          <w:szCs w:val="17"/>
          <w:b w:val="1"/>
          <w:bCs w:val="1"/>
          <w:i w:val="1"/>
          <w:iCs w:val="1"/>
          <w:color w:val="auto"/>
        </w:rPr>
        <w:t>Purchaser’s Pro Rata Percentage</w:t>
      </w:r>
      <w:r>
        <w:rPr>
          <w:rFonts w:ascii="Arial" w:cs="Arial" w:eastAsia="Arial" w:hAnsi="Arial"/>
          <w:sz w:val="17"/>
          <w:szCs w:val="17"/>
          <w:color w:val="auto"/>
        </w:rPr>
        <w:t>” means, with respect to each Purchaser at the time of the Closing, the percentage of the Outstanding Amount of all Loans and Commitments under the Credit Agreement represented by the Outstanding Amount of the Purchaser’s Loans and Commitments at the time of the Closing. The “</w:t>
      </w:r>
      <w:r>
        <w:rPr>
          <w:rFonts w:ascii="Arial" w:cs="Arial" w:eastAsia="Arial" w:hAnsi="Arial"/>
          <w:sz w:val="17"/>
          <w:szCs w:val="17"/>
          <w:b w:val="1"/>
          <w:bCs w:val="1"/>
          <w:i w:val="1"/>
          <w:iCs w:val="1"/>
          <w:color w:val="auto"/>
        </w:rPr>
        <w:t>Equity Purchase Price</w:t>
      </w:r>
      <w:r>
        <w:rPr>
          <w:rFonts w:ascii="Arial" w:cs="Arial" w:eastAsia="Arial" w:hAnsi="Arial"/>
          <w:sz w:val="17"/>
          <w:szCs w:val="17"/>
          <w:color w:val="auto"/>
        </w:rPr>
        <w:t>” means (i) in the case of a Qualifying Follow-On Offering or Private Placement, the Public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Offering Price and (ii) in the case of a Private Sale, the price per share or unit negotiated in good faith by the Purchasers, any other purchasers of Common Equity in such Private Sale, and the Company; provided, however, in no event will the Equity Purchase Price be greater than the purchase price offered to a third-party purchaser in the applicable Equity Offering.</w:t>
      </w:r>
    </w:p>
    <w:p>
      <w:pPr>
        <w:spacing w:after="0" w:line="181" w:lineRule="exact"/>
        <w:rPr>
          <w:sz w:val="20"/>
          <w:szCs w:val="20"/>
          <w:color w:val="auto"/>
        </w:rPr>
      </w:pPr>
    </w:p>
    <w:p>
      <w:pPr>
        <w:ind w:right="180" w:firstLine="1305"/>
        <w:spacing w:after="0" w:line="285" w:lineRule="auto"/>
        <w:tabs>
          <w:tab w:leader="none" w:pos="1955" w:val="left"/>
        </w:tabs>
        <w:numPr>
          <w:ilvl w:val="2"/>
          <w:numId w:val="266"/>
        </w:numPr>
        <w:rPr>
          <w:rFonts w:ascii="Arial" w:cs="Arial" w:eastAsia="Arial" w:hAnsi="Arial"/>
          <w:sz w:val="16"/>
          <w:szCs w:val="16"/>
          <w:b w:val="1"/>
          <w:bCs w:val="1"/>
          <w:color w:val="auto"/>
        </w:rPr>
      </w:pPr>
      <w:r>
        <w:rPr>
          <w:rFonts w:ascii="Arial" w:cs="Arial" w:eastAsia="Arial" w:hAnsi="Arial"/>
          <w:sz w:val="16"/>
          <w:szCs w:val="16"/>
          <w:color w:val="auto"/>
        </w:rPr>
        <w:t>In the event of a Qualifying Follow-On Offering, at least fifteen (15) business days prior to the anticipated effective date of the registration statement for the Qualifying Follow-On Offering or, if the Qualifying Follow-On Offering is to be effected using an existing effective shelf registration statement (a “</w:t>
      </w:r>
      <w:r>
        <w:rPr>
          <w:rFonts w:ascii="Arial" w:cs="Arial" w:eastAsia="Arial" w:hAnsi="Arial"/>
          <w:sz w:val="16"/>
          <w:szCs w:val="16"/>
          <w:b w:val="1"/>
          <w:bCs w:val="1"/>
          <w:i w:val="1"/>
          <w:iCs w:val="1"/>
          <w:color w:val="auto"/>
        </w:rPr>
        <w:t>Shelf Takedown</w:t>
      </w:r>
      <w:r>
        <w:rPr>
          <w:rFonts w:ascii="Arial" w:cs="Arial" w:eastAsia="Arial" w:hAnsi="Arial"/>
          <w:sz w:val="16"/>
          <w:szCs w:val="16"/>
          <w:color w:val="auto"/>
        </w:rPr>
        <w:t>”), at least twelve (12) business days prior to the anticipated initial public marketing date for the Shelf Takedown, the Company shall deliver to the Purchasers written notice (the “</w:t>
      </w:r>
      <w:r>
        <w:rPr>
          <w:rFonts w:ascii="Arial" w:cs="Arial" w:eastAsia="Arial" w:hAnsi="Arial"/>
          <w:sz w:val="16"/>
          <w:szCs w:val="16"/>
          <w:b w:val="1"/>
          <w:bCs w:val="1"/>
          <w:i w:val="1"/>
          <w:iCs w:val="1"/>
          <w:color w:val="auto"/>
        </w:rPr>
        <w:t>Qualifying Follow-On Offering Notice</w:t>
      </w:r>
      <w:r>
        <w:rPr>
          <w:rFonts w:ascii="Arial" w:cs="Arial" w:eastAsia="Arial" w:hAnsi="Arial"/>
          <w:sz w:val="16"/>
          <w:szCs w:val="16"/>
          <w:color w:val="auto"/>
        </w:rPr>
        <w:t>”) specifying (i) that the Company has filed a registration statement for a Qualifying Follow-On Offering or, in the case of a Shelf Takedown, the Company anticipates effecting such Shelf Takedown,</w:t>
      </w:r>
    </w:p>
    <w:p>
      <w:pPr>
        <w:spacing w:after="0" w:line="2" w:lineRule="exact"/>
        <w:rPr>
          <w:rFonts w:ascii="Arial" w:cs="Arial" w:eastAsia="Arial" w:hAnsi="Arial"/>
          <w:sz w:val="16"/>
          <w:szCs w:val="16"/>
          <w:b w:val="1"/>
          <w:bCs w:val="1"/>
          <w:color w:val="auto"/>
        </w:rPr>
      </w:pPr>
    </w:p>
    <w:p>
      <w:pPr>
        <w:ind w:left="280" w:hanging="272"/>
        <w:spacing w:after="0"/>
        <w:tabs>
          <w:tab w:leader="none" w:pos="2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anticipated effective date of the registration statement or initial public marketing date, as the case may be, for the Qualifying Follow-On Offering, and</w:t>
      </w:r>
    </w:p>
    <w:p>
      <w:pPr>
        <w:spacing w:after="0" w:line="32" w:lineRule="exact"/>
        <w:rPr>
          <w:rFonts w:ascii="Arial" w:cs="Arial" w:eastAsia="Arial" w:hAnsi="Arial"/>
          <w:sz w:val="16"/>
          <w:szCs w:val="16"/>
          <w:color w:val="auto"/>
        </w:rPr>
      </w:pPr>
    </w:p>
    <w:p>
      <w:pPr>
        <w:ind w:right="240" w:firstLine="8"/>
        <w:spacing w:after="0" w:line="253" w:lineRule="auto"/>
        <w:tabs>
          <w:tab w:leader="none" w:pos="31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other appropriate information required by Applicable Law. In the case of a Private Sale, at least twelve (12) business days prior to the anticipated closing of any Private Sale, the Company shall deliver to the Purchasers a written notice (the “</w:t>
      </w:r>
      <w:r>
        <w:rPr>
          <w:rFonts w:ascii="Arial" w:cs="Arial" w:eastAsia="Arial" w:hAnsi="Arial"/>
          <w:sz w:val="18"/>
          <w:szCs w:val="18"/>
          <w:b w:val="1"/>
          <w:bCs w:val="1"/>
          <w:i w:val="1"/>
          <w:iCs w:val="1"/>
          <w:color w:val="auto"/>
        </w:rPr>
        <w:t>Private Sale Offering Notice</w:t>
      </w:r>
      <w:r>
        <w:rPr>
          <w:rFonts w:ascii="Arial" w:cs="Arial" w:eastAsia="Arial" w:hAnsi="Arial"/>
          <w:sz w:val="18"/>
          <w:szCs w:val="18"/>
          <w:color w:val="auto"/>
        </w:rPr>
        <w:t>”) specifying that the Company intends to offer Common Equity for sale and the anticipated closing date of the sale of such Common Equity that includes copies of the definitive documentation pursuant to which the Company intends to offer or sell the Common Equity as well as any other appropriate information required by Applicable Law.</w:t>
      </w:r>
    </w:p>
    <w:p>
      <w:pPr>
        <w:spacing w:after="0" w:line="191" w:lineRule="exact"/>
        <w:rPr>
          <w:rFonts w:ascii="Arial" w:cs="Arial" w:eastAsia="Arial" w:hAnsi="Arial"/>
          <w:sz w:val="18"/>
          <w:szCs w:val="18"/>
          <w:color w:val="auto"/>
        </w:rPr>
      </w:pPr>
    </w:p>
    <w:p>
      <w:pPr>
        <w:ind w:right="40" w:firstLine="1305"/>
        <w:spacing w:after="0" w:line="257" w:lineRule="auto"/>
        <w:tabs>
          <w:tab w:leader="none" w:pos="1949" w:val="left"/>
        </w:tabs>
        <w:numPr>
          <w:ilvl w:val="2"/>
          <w:numId w:val="267"/>
        </w:numPr>
        <w:rPr>
          <w:rFonts w:ascii="Arial" w:cs="Arial" w:eastAsia="Arial" w:hAnsi="Arial"/>
          <w:sz w:val="18"/>
          <w:szCs w:val="18"/>
          <w:b w:val="1"/>
          <w:bCs w:val="1"/>
          <w:color w:val="auto"/>
        </w:rPr>
      </w:pPr>
      <w:r>
        <w:rPr>
          <w:rFonts w:ascii="Arial" w:cs="Arial" w:eastAsia="Arial" w:hAnsi="Arial"/>
          <w:sz w:val="18"/>
          <w:szCs w:val="18"/>
          <w:color w:val="auto"/>
        </w:rPr>
        <w:t>Upon receipt of the Qualifying Follow-On Offering Notice or Private Sale Offering Notice, as applicable, each Purchaser shall promptly, but in no event later than twelve (12) business days (eight (8) business days in the case of a Shelf Takedown) from receipt of such notice in the case of a Qualifying Follow-On Offering or ten (10) business days from receipt of such notice in the case of a Private Sale, inform the Company in writing whether such Purchaser wishes to exercise its (i) Public Offering Participation Right,or (ii) Private Placement Participation Right or (iii) Private Sale Participation Right.</w:t>
      </w:r>
    </w:p>
    <w:p>
      <w:pPr>
        <w:spacing w:after="0" w:line="188" w:lineRule="exact"/>
        <w:rPr>
          <w:rFonts w:ascii="Arial" w:cs="Arial" w:eastAsia="Arial" w:hAnsi="Arial"/>
          <w:sz w:val="18"/>
          <w:szCs w:val="18"/>
          <w:b w:val="1"/>
          <w:bCs w:val="1"/>
          <w:color w:val="auto"/>
        </w:rPr>
      </w:pPr>
    </w:p>
    <w:p>
      <w:pPr>
        <w:ind w:firstLine="1305"/>
        <w:spacing w:after="0" w:line="257" w:lineRule="auto"/>
        <w:tabs>
          <w:tab w:leader="none" w:pos="1952" w:val="left"/>
        </w:tabs>
        <w:numPr>
          <w:ilvl w:val="2"/>
          <w:numId w:val="267"/>
        </w:numPr>
        <w:rPr>
          <w:rFonts w:ascii="Arial" w:cs="Arial" w:eastAsia="Arial" w:hAnsi="Arial"/>
          <w:sz w:val="18"/>
          <w:szCs w:val="18"/>
          <w:b w:val="1"/>
          <w:bCs w:val="1"/>
          <w:color w:val="auto"/>
        </w:rPr>
      </w:pPr>
      <w:r>
        <w:rPr>
          <w:rFonts w:ascii="Arial" w:cs="Arial" w:eastAsia="Arial" w:hAnsi="Arial"/>
          <w:sz w:val="18"/>
          <w:szCs w:val="18"/>
          <w:color w:val="auto"/>
        </w:rPr>
        <w:t>As a condition to each Purchaser participating in the Qualifying Follow-On Offering, each such Purchaser shall execute such other documents as may be required of all participants in the Qualifying Follow-On Offering or as deemed reasonably necessary by the underwriter of the Qualifying Follow-On Offering or the Company, as applicable, including, without limitation a “lock-up” agreement; provided, however, that no Purchaser will be required to enter into a lock-up agreement unless all directors, executive officers and significant shareholders of the Company enter into a significantly similar lock-up agreement.</w:t>
      </w:r>
    </w:p>
    <w:p>
      <w:pPr>
        <w:spacing w:after="0" w:line="188" w:lineRule="exact"/>
        <w:rPr>
          <w:rFonts w:ascii="Arial" w:cs="Arial" w:eastAsia="Arial" w:hAnsi="Arial"/>
          <w:sz w:val="18"/>
          <w:szCs w:val="18"/>
          <w:b w:val="1"/>
          <w:bCs w:val="1"/>
          <w:color w:val="auto"/>
        </w:rPr>
      </w:pPr>
    </w:p>
    <w:p>
      <w:pPr>
        <w:ind w:right="140" w:firstLine="1305"/>
        <w:spacing w:after="0" w:line="259" w:lineRule="auto"/>
        <w:tabs>
          <w:tab w:leader="none" w:pos="1962" w:val="left"/>
        </w:tabs>
        <w:numPr>
          <w:ilvl w:val="2"/>
          <w:numId w:val="267"/>
        </w:numPr>
        <w:rPr>
          <w:rFonts w:ascii="Arial" w:cs="Arial" w:eastAsia="Arial" w:hAnsi="Arial"/>
          <w:sz w:val="18"/>
          <w:szCs w:val="18"/>
          <w:b w:val="1"/>
          <w:bCs w:val="1"/>
          <w:color w:val="auto"/>
        </w:rPr>
      </w:pPr>
      <w:r>
        <w:rPr>
          <w:rFonts w:ascii="Arial" w:cs="Arial" w:eastAsia="Arial" w:hAnsi="Arial"/>
          <w:sz w:val="18"/>
          <w:szCs w:val="18"/>
          <w:color w:val="auto"/>
        </w:rPr>
        <w:t>As a condition to each Purchaser participating in a Private Placement or Private Sale, as applicable, each such Purchaser shall execute such other documents as may be deemed reasonably necessary by the Company, including, without limitation a “lock-up” agreement; provided, however, that no Purchaser will be required to enter into a lock-up agreement unless, it is for ninety (90) days or less and all directors, executive officers and significant shareholders of the Company enter into a significantly similar lock-up agreements.</w:t>
      </w:r>
    </w:p>
    <w:p>
      <w:pPr>
        <w:spacing w:after="0" w:line="18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 in Connection with Exercise of Private Placement Participation Right</w:t>
      </w:r>
    </w:p>
    <w:p>
      <w:pPr>
        <w:spacing w:after="0" w:line="229"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In the event a Purchaser exercises its Private Placement Participation Right, the Company and the Purchasers shall, on or before the date of the final prospectus relating to the registration by the Company of shares or units of Common Equity in the Qualifying Follow-On Offering (the “</w:t>
      </w:r>
      <w:r>
        <w:rPr>
          <w:rFonts w:ascii="Arial" w:cs="Arial" w:eastAsia="Arial" w:hAnsi="Arial"/>
          <w:sz w:val="18"/>
          <w:szCs w:val="18"/>
          <w:b w:val="1"/>
          <w:bCs w:val="1"/>
          <w:i w:val="1"/>
          <w:iCs w:val="1"/>
          <w:color w:val="auto"/>
        </w:rPr>
        <w:t>Final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Prospectus Date</w:t>
      </w:r>
      <w:r>
        <w:rPr>
          <w:rFonts w:ascii="Arial" w:cs="Arial" w:eastAsia="Arial" w:hAnsi="Arial"/>
          <w:sz w:val="18"/>
          <w:szCs w:val="18"/>
          <w:color w:val="auto"/>
        </w:rPr>
        <w:t>”), execute and deliver such other documents, including a stock purchase agreement containing representations, warranties and conditions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that, in each case, are customary for a transaction structured as a concurrent private placement with a follow-on public offering, that are reasonably satisfactory to the Company and each Purchaser.</w:t>
      </w:r>
    </w:p>
    <w:p>
      <w:pPr>
        <w:spacing w:after="0" w:line="184" w:lineRule="exact"/>
        <w:rPr>
          <w:sz w:val="20"/>
          <w:szCs w:val="20"/>
          <w:color w:val="auto"/>
        </w:rPr>
      </w:pPr>
    </w:p>
    <w:p>
      <w:pPr>
        <w:ind w:left="1300" w:hanging="644"/>
        <w:spacing w:after="0"/>
        <w:tabs>
          <w:tab w:leader="none" w:pos="130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 in Connection with Exercise of Private Sale Participation Right</w:t>
      </w:r>
    </w:p>
    <w:p>
      <w:pPr>
        <w:spacing w:after="0" w:line="229" w:lineRule="exact"/>
        <w:rPr>
          <w:sz w:val="20"/>
          <w:szCs w:val="20"/>
          <w:color w:val="auto"/>
        </w:rPr>
      </w:pPr>
    </w:p>
    <w:p>
      <w:pPr>
        <w:jc w:val="both"/>
        <w:ind w:right="120" w:firstLine="1297"/>
        <w:spacing w:after="0" w:line="279" w:lineRule="auto"/>
        <w:rPr>
          <w:sz w:val="20"/>
          <w:szCs w:val="20"/>
          <w:color w:val="auto"/>
        </w:rPr>
      </w:pPr>
      <w:r>
        <w:rPr>
          <w:rFonts w:ascii="Arial" w:cs="Arial" w:eastAsia="Arial" w:hAnsi="Arial"/>
          <w:sz w:val="17"/>
          <w:szCs w:val="17"/>
          <w:color w:val="auto"/>
        </w:rPr>
        <w:t>In the event a Purchaser exercises its Private Sale Participation Right, the Company and the Purchasers shall, on or before the closing date of the Private Sale (the “</w:t>
      </w:r>
      <w:r>
        <w:rPr>
          <w:rFonts w:ascii="Arial" w:cs="Arial" w:eastAsia="Arial" w:hAnsi="Arial"/>
          <w:sz w:val="17"/>
          <w:szCs w:val="17"/>
          <w:b w:val="1"/>
          <w:bCs w:val="1"/>
          <w:i w:val="1"/>
          <w:iCs w:val="1"/>
          <w:color w:val="auto"/>
        </w:rPr>
        <w:t>Private Sale Closing Date</w:t>
      </w:r>
      <w:r>
        <w:rPr>
          <w:rFonts w:ascii="Arial" w:cs="Arial" w:eastAsia="Arial" w:hAnsi="Arial"/>
          <w:sz w:val="17"/>
          <w:szCs w:val="17"/>
          <w:color w:val="auto"/>
        </w:rPr>
        <w:t>”), execute and deliver the definitive documents, pursuant to which the Company is selling or issuing the Common Equity, including a stock purchase agreement containing representations, warranties and conditions to closing, that, in each case, are customary for a transaction structured as a similar private sale, that are reasonably satisfactory to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and each Purchaser. The terms included in any definitive documentation between the Company and Purchaser governing a Private Sale shall be no less favorable than those given to other purchasers of Common Equity in the Private Sale.</w:t>
      </w:r>
    </w:p>
    <w:p>
      <w:pPr>
        <w:sectPr>
          <w:pgSz w:w="11900" w:h="16838" w:orient="portrait"/>
          <w:cols w:equalWidth="0" w:num="1">
            <w:col w:w="11420"/>
          </w:cols>
          <w:pgMar w:left="240" w:top="125" w:right="239" w:bottom="0" w:gutter="0" w:footer="0" w:header="0"/>
        </w:sectPr>
      </w:pPr>
    </w:p>
    <w:bookmarkStart w:id="126" w:name="page127"/>
    <w:bookmarkEnd w:id="126"/>
    <w:p>
      <w:pPr>
        <w:ind w:right="220" w:firstLine="656"/>
        <w:spacing w:after="0" w:line="266" w:lineRule="auto"/>
        <w:tabs>
          <w:tab w:leader="none" w:pos="1296"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w:t>
      </w:r>
      <w:r>
        <w:rPr>
          <w:rFonts w:ascii="Arial" w:cs="Arial" w:eastAsia="Arial" w:hAnsi="Arial"/>
          <w:sz w:val="18"/>
          <w:szCs w:val="18"/>
          <w:color w:val="auto"/>
        </w:rPr>
        <w:t>The covenants, rights and obligations set forth in Sections 1, 2 and 3 of this Letter Agreement shall terminate and be of no</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force or effect upon the earliest to occur of (i) the Available Amount being zero (0) due to purchases by the Purchasers of Five Million Dollars ($5,000,000) of Common Equity, or (ii) the date that is one (1) year from the Funding Date.</w:t>
      </w:r>
    </w:p>
    <w:p>
      <w:pPr>
        <w:spacing w:after="0" w:line="176" w:lineRule="exact"/>
        <w:rPr>
          <w:rFonts w:ascii="Arial" w:cs="Arial" w:eastAsia="Arial" w:hAnsi="Arial"/>
          <w:sz w:val="18"/>
          <w:szCs w:val="18"/>
          <w:b w:val="1"/>
          <w:bCs w:val="1"/>
          <w:color w:val="auto"/>
        </w:rPr>
      </w:pPr>
    </w:p>
    <w:p>
      <w:pPr>
        <w:ind w:right="40" w:firstLine="656"/>
        <w:spacing w:after="0" w:line="270" w:lineRule="auto"/>
        <w:tabs>
          <w:tab w:leader="none" w:pos="1296"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and Assigns. </w:t>
      </w:r>
      <w:r>
        <w:rPr>
          <w:rFonts w:ascii="Arial" w:cs="Arial" w:eastAsia="Arial" w:hAnsi="Arial"/>
          <w:sz w:val="17"/>
          <w:szCs w:val="17"/>
          <w:color w:val="auto"/>
        </w:rPr>
        <w:t>The provisions of this Letter Agreement shall be binding upon and inure to the benefit of the parties hereto and</w:t>
      </w:r>
      <w:r>
        <w:rPr>
          <w:rFonts w:ascii="Arial" w:cs="Arial" w:eastAsia="Arial" w:hAnsi="Arial"/>
          <w:sz w:val="17"/>
          <w:szCs w:val="17"/>
          <w:b w:val="1"/>
          <w:bCs w:val="1"/>
          <w:color w:val="auto"/>
        </w:rPr>
        <w:t xml:space="preserve"> </w:t>
      </w:r>
      <w:r>
        <w:rPr>
          <w:rFonts w:ascii="Arial" w:cs="Arial" w:eastAsia="Arial" w:hAnsi="Arial"/>
          <w:sz w:val="17"/>
          <w:szCs w:val="17"/>
          <w:color w:val="auto"/>
        </w:rPr>
        <w:t>their respective successors and assigns permitted hereby, provided that (i) the Company may not assign or otherwise transfer any of its rights or obligations hereunder without the prior written consent of each Purchaser, and, (ii) except as otherwise permitted herein, each Purchaser may not assign or otherwise transfer any of its rights or obligations hereunder without the prior written consent of the Company. Notwithstanding anything to the contrary herein, each Purchaser shall assign without consent of the Company (but with notice to the Company) a proportionate part of its rights and obligations under this Letter Agreement to any successor or assign of such Purchaser’s rights and obligations under the Credit Agreement, subject to compliance with Applicable Law, including federal and state securities laws (a “</w:t>
      </w:r>
      <w:r>
        <w:rPr>
          <w:rFonts w:ascii="Arial" w:cs="Arial" w:eastAsia="Arial" w:hAnsi="Arial"/>
          <w:sz w:val="17"/>
          <w:szCs w:val="17"/>
          <w:b w:val="1"/>
          <w:bCs w:val="1"/>
          <w:i w:val="1"/>
          <w:iCs w:val="1"/>
          <w:color w:val="auto"/>
        </w:rPr>
        <w:t>Required Assignment</w:t>
      </w:r>
      <w:r>
        <w:rPr>
          <w:rFonts w:ascii="Arial" w:cs="Arial" w:eastAsia="Arial" w:hAnsi="Arial"/>
          <w:sz w:val="17"/>
          <w:szCs w:val="17"/>
          <w:color w:val="auto"/>
        </w:rPr>
        <w:t>”). Each Required Assignment hereunder shall be proportionate and ratable to its corresponding assignment under the Credit Agreement in accordance with Section 11.06(b)(ii) of the Credit Agreement. Notwithstanding anything to the contrary herein, each Purchaser shall be permitted to assign or transfer any of its rights or obligations hereunder to any Affiliate of such Purchaser without the consent of the Company.</w:t>
      </w:r>
    </w:p>
    <w:p>
      <w:pPr>
        <w:spacing w:after="0" w:line="177" w:lineRule="exact"/>
        <w:rPr>
          <w:rFonts w:ascii="Arial" w:cs="Arial" w:eastAsia="Arial" w:hAnsi="Arial"/>
          <w:sz w:val="17"/>
          <w:szCs w:val="17"/>
          <w:b w:val="1"/>
          <w:bCs w:val="1"/>
          <w:color w:val="auto"/>
        </w:rPr>
      </w:pPr>
    </w:p>
    <w:p>
      <w:pPr>
        <w:ind w:left="1300" w:hanging="644"/>
        <w:spacing w:after="0"/>
        <w:tabs>
          <w:tab w:leader="none" w:pos="130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1305"/>
        <w:spacing w:after="0" w:line="266" w:lineRule="auto"/>
        <w:tabs>
          <w:tab w:leader="none" w:pos="1952"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Letter Agreement and any controversy arising out of or relating to this Letter Agreement shall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and construed under the laws of the State of New York, without regard to conflict of law principles that would result in the application of any laws other than the laws of the State of New York.</w:t>
      </w:r>
    </w:p>
    <w:p>
      <w:pPr>
        <w:spacing w:after="0" w:line="176" w:lineRule="exact"/>
        <w:rPr>
          <w:rFonts w:ascii="Arial" w:cs="Arial" w:eastAsia="Arial" w:hAnsi="Arial"/>
          <w:sz w:val="18"/>
          <w:szCs w:val="18"/>
          <w:b w:val="1"/>
          <w:bCs w:val="1"/>
          <w:color w:val="auto"/>
        </w:rPr>
      </w:pPr>
    </w:p>
    <w:p>
      <w:pPr>
        <w:ind w:left="1980" w:hanging="675"/>
        <w:spacing w:after="0"/>
        <w:tabs>
          <w:tab w:leader="none" w:pos="1980"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25" w:lineRule="exact"/>
        <w:rPr>
          <w:rFonts w:ascii="Arial" w:cs="Arial" w:eastAsia="Arial" w:hAnsi="Arial"/>
          <w:sz w:val="18"/>
          <w:szCs w:val="18"/>
          <w:b w:val="1"/>
          <w:bCs w:val="1"/>
          <w:color w:val="auto"/>
        </w:rPr>
      </w:pPr>
    </w:p>
    <w:p>
      <w:pPr>
        <w:ind w:right="140" w:firstLine="1305"/>
        <w:spacing w:after="0" w:line="266" w:lineRule="auto"/>
        <w:tabs>
          <w:tab w:leader="none" w:pos="1955" w:val="left"/>
        </w:tabs>
        <w:numPr>
          <w:ilvl w:val="1"/>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Letter Agreement and the exhibits and schedules hereto, constitute the full and entire understanding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parties with regard to the subjects hereof and no party shall be liable for or bound to any other in any manner by any oral or written representations, warranties, covenants and agreements except as specifically set forth herein.</w:t>
      </w:r>
    </w:p>
    <w:p>
      <w:pPr>
        <w:spacing w:after="0" w:line="176" w:lineRule="exact"/>
        <w:rPr>
          <w:rFonts w:ascii="Arial" w:cs="Arial" w:eastAsia="Arial" w:hAnsi="Arial"/>
          <w:sz w:val="18"/>
          <w:szCs w:val="18"/>
          <w:b w:val="1"/>
          <w:bCs w:val="1"/>
          <w:color w:val="auto"/>
        </w:rPr>
      </w:pPr>
    </w:p>
    <w:p>
      <w:pPr>
        <w:ind w:right="260" w:firstLine="1305"/>
        <w:spacing w:after="0" w:line="289" w:lineRule="auto"/>
        <w:tabs>
          <w:tab w:leader="none" w:pos="1962" w:val="left"/>
        </w:tabs>
        <w:numPr>
          <w:ilvl w:val="1"/>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In the event one or more of the provisions of this Letter Agreement should, for any reason, be held to be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illegal or unenforceable in any respect, such invalidity, illegality or unenforceability shall not affect any other provisions of this Letter Agreement, and this Letter Agreement shall be construed as if such invalid, illegal or unenforceable provision had never been contained herein.</w:t>
      </w:r>
    </w:p>
    <w:p>
      <w:pPr>
        <w:spacing w:after="0" w:line="158" w:lineRule="exact"/>
        <w:rPr>
          <w:rFonts w:ascii="Arial" w:cs="Arial" w:eastAsia="Arial" w:hAnsi="Arial"/>
          <w:sz w:val="17"/>
          <w:szCs w:val="17"/>
          <w:b w:val="1"/>
          <w:bCs w:val="1"/>
          <w:color w:val="auto"/>
        </w:rPr>
      </w:pPr>
    </w:p>
    <w:p>
      <w:pPr>
        <w:ind w:right="20" w:firstLine="1305"/>
        <w:spacing w:after="0" w:line="313" w:lineRule="auto"/>
        <w:tabs>
          <w:tab w:leader="none" w:pos="1955" w:val="left"/>
        </w:tabs>
        <w:numPr>
          <w:ilvl w:val="1"/>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and Waiver. </w:t>
      </w:r>
      <w:r>
        <w:rPr>
          <w:rFonts w:ascii="Arial" w:cs="Arial" w:eastAsia="Arial" w:hAnsi="Arial"/>
          <w:sz w:val="17"/>
          <w:szCs w:val="17"/>
          <w:color w:val="auto"/>
        </w:rPr>
        <w:t>This Letter Agreement may be amended or modified, and the rights and the obligations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rights and obligations of the Purchasers may be waived, only upon the written consent of the Company and each Purchaser.</w:t>
      </w:r>
    </w:p>
    <w:p>
      <w:pPr>
        <w:spacing w:after="0" w:line="138" w:lineRule="exact"/>
        <w:rPr>
          <w:rFonts w:ascii="Arial" w:cs="Arial" w:eastAsia="Arial" w:hAnsi="Arial"/>
          <w:sz w:val="17"/>
          <w:szCs w:val="17"/>
          <w:b w:val="1"/>
          <w:bCs w:val="1"/>
          <w:color w:val="auto"/>
        </w:rPr>
      </w:pPr>
    </w:p>
    <w:p>
      <w:pPr>
        <w:ind w:firstLine="1305"/>
        <w:spacing w:after="0" w:line="295" w:lineRule="auto"/>
        <w:tabs>
          <w:tab w:leader="none" w:pos="1949" w:val="left"/>
        </w:tabs>
        <w:numPr>
          <w:ilvl w:val="1"/>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Delays or Omissions. </w:t>
      </w:r>
      <w:r>
        <w:rPr>
          <w:rFonts w:ascii="Arial" w:cs="Arial" w:eastAsia="Arial" w:hAnsi="Arial"/>
          <w:sz w:val="16"/>
          <w:szCs w:val="16"/>
          <w:color w:val="auto"/>
        </w:rPr>
        <w:t>It is agreed that no delay or omission to exercise any right, power or remedy accruing to any party,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breach, default or noncompliance by another party under this Letter Agreement, shall impair any such right, power or remedy, nor shall it be construed to be a waiver of any such breach, default or noncompliance, or any acquiescence therein, or waiver of or acquiescence in any similar breach, default or noncompliance thereafter occurring. It is further agreed that any waiver, permit, consent or approval of any kind or character on any party’s part of any breach, default or noncompliance under this Letter Agreement or any waiver on such party’s part of any provisions or conditions of this Letter Agreement must be in writing and shall be effective only to the extent specifically set forth in such writing. All remedies, either under this Letter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organizational documents of the Company, the Credit Agreement or otherwise afforded to any party, shall be cumulative and not alternative.</w:t>
      </w:r>
    </w:p>
    <w:p>
      <w:pPr>
        <w:spacing w:after="0" w:line="233" w:lineRule="exact"/>
        <w:rPr>
          <w:sz w:val="20"/>
          <w:szCs w:val="20"/>
          <w:color w:val="auto"/>
        </w:rPr>
      </w:pPr>
    </w:p>
    <w:p>
      <w:pPr>
        <w:ind w:right="240" w:firstLine="1305"/>
        <w:spacing w:after="0" w:line="282" w:lineRule="auto"/>
        <w:tabs>
          <w:tab w:leader="none" w:pos="195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required or permitted hereunder shall be in writing and shall be deemed effectively given when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Section 11.02 of the Credit Agreement.</w:t>
      </w:r>
    </w:p>
    <w:p>
      <w:pPr>
        <w:spacing w:after="0" w:line="161" w:lineRule="exact"/>
        <w:rPr>
          <w:rFonts w:ascii="Arial" w:cs="Arial" w:eastAsia="Arial" w:hAnsi="Arial"/>
          <w:sz w:val="18"/>
          <w:szCs w:val="18"/>
          <w:b w:val="1"/>
          <w:bCs w:val="1"/>
          <w:color w:val="auto"/>
        </w:rPr>
      </w:pPr>
    </w:p>
    <w:p>
      <w:pPr>
        <w:ind w:right="20" w:firstLine="1305"/>
        <w:spacing w:after="0" w:line="258" w:lineRule="auto"/>
        <w:tabs>
          <w:tab w:leader="none" w:pos="196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Company shall pay all out-of-pocket expenses incurred by the Administrative Agent and its Affiliates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fees, charges and disbursements of counsel for the Administrative Agent), in connection with the preparation, negotiation, execution, and delivery of this Letter Agreement. Each of the Company, on the one hand, and the Administrative Agent and its Affiliates, on the other hand, shall bear their own expenses in connection with the administration of this Letter Agreement or any amendments, modifications or waivers of the provisions hereof (whether or not the transactions contemplated hereby shall be consummated).</w:t>
      </w:r>
    </w:p>
    <w:p>
      <w:pPr>
        <w:spacing w:after="0" w:line="183" w:lineRule="exact"/>
        <w:rPr>
          <w:rFonts w:ascii="Arial" w:cs="Arial" w:eastAsia="Arial" w:hAnsi="Arial"/>
          <w:sz w:val="18"/>
          <w:szCs w:val="18"/>
          <w:b w:val="1"/>
          <w:bCs w:val="1"/>
          <w:color w:val="auto"/>
        </w:rPr>
      </w:pPr>
    </w:p>
    <w:p>
      <w:pPr>
        <w:ind w:right="100" w:firstLine="1305"/>
        <w:spacing w:after="0" w:line="282" w:lineRule="auto"/>
        <w:tabs>
          <w:tab w:leader="none" w:pos="1953"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Titles and Subtitles. </w:t>
      </w:r>
      <w:r>
        <w:rPr>
          <w:rFonts w:ascii="Arial" w:cs="Arial" w:eastAsia="Arial" w:hAnsi="Arial"/>
          <w:sz w:val="18"/>
          <w:szCs w:val="18"/>
          <w:color w:val="auto"/>
        </w:rPr>
        <w:t>The titles of the sections and subsections of this Letter Agreement are for convenience of reference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to be considered in construing this Letter Agreement.</w:t>
      </w:r>
    </w:p>
    <w:p>
      <w:pPr>
        <w:spacing w:after="0" w:line="161" w:lineRule="exact"/>
        <w:rPr>
          <w:rFonts w:ascii="Arial" w:cs="Arial" w:eastAsia="Arial" w:hAnsi="Arial"/>
          <w:sz w:val="18"/>
          <w:szCs w:val="18"/>
          <w:b w:val="1"/>
          <w:bCs w:val="1"/>
          <w:color w:val="auto"/>
        </w:rPr>
      </w:pPr>
    </w:p>
    <w:p>
      <w:pPr>
        <w:ind w:right="60" w:firstLine="1305"/>
        <w:spacing w:after="0" w:line="261" w:lineRule="auto"/>
        <w:tabs>
          <w:tab w:leader="none" w:pos="1963"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Letter Agreement may be executed in any number of counterparts, each of which shall be an original, but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together shall constitute one instrument. Any or all parties may execute this Letter Agreement by facsimile signature or scanned signature in PDF format and any such facsimile signature or scanned signature, if identified, legible and complete, shall be deemed an original signature and each of the parties is hereby authorized to rely thereon.</w:t>
      </w:r>
    </w:p>
    <w:p>
      <w:pPr>
        <w:spacing w:after="0" w:line="180" w:lineRule="exact"/>
        <w:rPr>
          <w:rFonts w:ascii="Arial" w:cs="Arial" w:eastAsia="Arial" w:hAnsi="Arial"/>
          <w:sz w:val="18"/>
          <w:szCs w:val="18"/>
          <w:b w:val="1"/>
          <w:bCs w:val="1"/>
          <w:color w:val="auto"/>
        </w:rPr>
      </w:pPr>
    </w:p>
    <w:p>
      <w:pPr>
        <w:ind w:right="20" w:firstLine="1305"/>
        <w:spacing w:after="0" w:line="261" w:lineRule="auto"/>
        <w:tabs>
          <w:tab w:leader="none" w:pos="1962"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Broker’s Fees. </w:t>
      </w:r>
      <w:r>
        <w:rPr>
          <w:rFonts w:ascii="Arial" w:cs="Arial" w:eastAsia="Arial" w:hAnsi="Arial"/>
          <w:sz w:val="18"/>
          <w:szCs w:val="18"/>
          <w:color w:val="auto"/>
        </w:rPr>
        <w:t>Each party hereto represents and warrants that no agent, broker, investment banker, person or firm acting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or under the authority of such party hereto is or will be entitled to any broker’s or finder’s fee or any other commission directly or indirectly in connection with the transactions contemplated herein. Each party hereto further agrees to indemnify each other party for any claims, losses or expenses incurred by such other party as a result of the representation in this Section 6(k) being untrue.</w:t>
      </w:r>
    </w:p>
    <w:p>
      <w:pPr>
        <w:spacing w:after="0" w:line="180" w:lineRule="exact"/>
        <w:rPr>
          <w:rFonts w:ascii="Arial" w:cs="Arial" w:eastAsia="Arial" w:hAnsi="Arial"/>
          <w:sz w:val="18"/>
          <w:szCs w:val="18"/>
          <w:b w:val="1"/>
          <w:bCs w:val="1"/>
          <w:color w:val="auto"/>
        </w:rPr>
      </w:pPr>
    </w:p>
    <w:p>
      <w:pPr>
        <w:ind w:right="520" w:firstLine="1305"/>
        <w:spacing w:after="0" w:line="282" w:lineRule="auto"/>
        <w:tabs>
          <w:tab w:leader="none" w:pos="1953"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Pronouns. </w:t>
      </w:r>
      <w:r>
        <w:rPr>
          <w:rFonts w:ascii="Arial" w:cs="Arial" w:eastAsia="Arial" w:hAnsi="Arial"/>
          <w:sz w:val="18"/>
          <w:szCs w:val="18"/>
          <w:color w:val="auto"/>
        </w:rPr>
        <w:t>All pronouns contained herein, and any variations thereof, shall be deemed to refer to the masculine, feminine or</w:t>
      </w:r>
      <w:r>
        <w:rPr>
          <w:rFonts w:ascii="Arial" w:cs="Arial" w:eastAsia="Arial" w:hAnsi="Arial"/>
          <w:sz w:val="18"/>
          <w:szCs w:val="18"/>
          <w:b w:val="1"/>
          <w:bCs w:val="1"/>
          <w:color w:val="auto"/>
        </w:rPr>
        <w:t xml:space="preserve"> </w:t>
      </w:r>
      <w:r>
        <w:rPr>
          <w:rFonts w:ascii="Arial" w:cs="Arial" w:eastAsia="Arial" w:hAnsi="Arial"/>
          <w:sz w:val="18"/>
          <w:szCs w:val="18"/>
          <w:color w:val="auto"/>
        </w:rPr>
        <w:t>neutral, singular or plural, as to the identity of the parties hereto may require.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27" w:name="page128"/>
    <w:bookmarkEnd w:id="127"/>
    <w:p>
      <w:pPr>
        <w:ind w:left="660"/>
        <w:spacing w:after="0"/>
        <w:rPr>
          <w:sz w:val="20"/>
          <w:szCs w:val="20"/>
          <w:color w:val="auto"/>
        </w:rPr>
      </w:pPr>
      <w:r>
        <w:rPr>
          <w:rFonts w:ascii="Arial" w:cs="Arial" w:eastAsia="Arial" w:hAnsi="Arial"/>
          <w:sz w:val="16"/>
          <w:szCs w:val="16"/>
          <w:color w:val="auto"/>
        </w:rPr>
        <w:t>If you are in agreement with the terms set forth above, please sign the Letter Agreement in the space provided below:</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ind w:left="5720"/>
        <w:spacing w:after="0"/>
        <w:tabs>
          <w:tab w:leader="none" w:pos="6640" w:val="left"/>
        </w:tabs>
        <w:rPr>
          <w:sz w:val="20"/>
          <w:szCs w:val="20"/>
          <w:color w:val="auto"/>
        </w:rPr>
      </w:pPr>
      <w:r>
        <w:rPr>
          <w:rFonts w:ascii="Arial" w:cs="Arial" w:eastAsia="Arial" w:hAnsi="Arial"/>
          <w:sz w:val="18"/>
          <w:szCs w:val="18"/>
          <w:color w:val="auto"/>
        </w:rPr>
        <w:t>Signature:</w:t>
        <w:tab/>
        <w:t>/s/ Bonnie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-130810</wp:posOffset>
            </wp:positionV>
            <wp:extent cx="30187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Visium Healthcare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partnership</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Visium Healthcare Advisors, LP,</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JG Asset II, LLC,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/s/ Mark Gottlieb</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 Mark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-130810</wp:posOffset>
            </wp:positionV>
            <wp:extent cx="2804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00" w:hanging="644"/>
        <w:spacing w:after="0"/>
        <w:tabs>
          <w:tab w:leader="none" w:pos="13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2016;</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2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2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2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D. Guyer, certify that:</w:t>
      </w:r>
    </w:p>
    <w:p>
      <w:pPr>
        <w:spacing w:after="0" w:line="225" w:lineRule="exact"/>
        <w:rPr>
          <w:sz w:val="20"/>
          <w:szCs w:val="20"/>
          <w:color w:val="auto"/>
        </w:rPr>
      </w:pPr>
    </w:p>
    <w:p>
      <w:pPr>
        <w:ind w:left="1300" w:hanging="644"/>
        <w:spacing w:after="0"/>
        <w:tabs>
          <w:tab w:leader="none" w:pos="13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2016;</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2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2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-130810</wp:posOffset>
            </wp:positionV>
            <wp:extent cx="35674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1960" w:hanging="655"/>
        <w:spacing w:after="0"/>
        <w:tabs>
          <w:tab w:leader="none" w:pos="19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1960" w:hanging="655"/>
        <w:spacing w:after="0"/>
        <w:tabs>
          <w:tab w:leader="none" w:pos="19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51B9F3"/>
    <w:multiLevelType w:val="hybridMultilevel"/>
    <w:lvl w:ilvl="0">
      <w:lvlJc w:val="left"/>
      <w:lvlText w:val="x"/>
      <w:numFmt w:val="bullet"/>
      <w:start w:val="1"/>
    </w:lvl>
  </w:abstractNum>
  <w:abstractNum w:abstractNumId="1">
    <w:nsid w:val="24F6AB8E"/>
    <w:multiLevelType w:val="hybridMultilevel"/>
    <w:lvl w:ilvl="0">
      <w:lvlJc w:val="left"/>
      <w:lvlText w:val="o"/>
      <w:numFmt w:val="bullet"/>
      <w:start w:val="1"/>
    </w:lvl>
  </w:abstractNum>
  <w:abstractNum w:abstractNumId="2">
    <w:nsid w:val="634C574C"/>
    <w:multiLevelType w:val="hybridMultilevel"/>
    <w:lvl w:ilvl="0">
      <w:lvlJc w:val="left"/>
      <w:lvlText w:val="·"/>
      <w:numFmt w:val="bullet"/>
      <w:start w:val="1"/>
    </w:lvl>
  </w:abstractNum>
  <w:abstractNum w:abstractNumId="3">
    <w:nsid w:val="24E99DD7"/>
    <w:multiLevelType w:val="hybridMultilevel"/>
    <w:lvl w:ilvl="0">
      <w:lvlJc w:val="left"/>
      <w:lvlText w:val="·"/>
      <w:numFmt w:val="bullet"/>
      <w:start w:val="1"/>
    </w:lvl>
  </w:abstractNum>
  <w:abstractNum w:abstractNumId="4">
    <w:nsid w:val="2A31B62D"/>
    <w:multiLevelType w:val="hybridMultilevel"/>
    <w:lvl w:ilvl="0">
      <w:lvlJc w:val="left"/>
      <w:lvlText w:val="·"/>
      <w:numFmt w:val="bullet"/>
      <w:start w:val="1"/>
    </w:lvl>
  </w:abstractNum>
  <w:abstractNum w:abstractNumId="5">
    <w:nsid w:val="1849C29B"/>
    <w:multiLevelType w:val="hybridMultilevel"/>
    <w:lvl w:ilvl="0">
      <w:lvlJc w:val="left"/>
      <w:lvlText w:val="·"/>
      <w:numFmt w:val="bullet"/>
      <w:start w:val="1"/>
    </w:lvl>
  </w:abstractNum>
  <w:abstractNum w:abstractNumId="6">
    <w:nsid w:val="7DFF9D09"/>
    <w:multiLevelType w:val="hybridMultilevel"/>
    <w:lvl w:ilvl="0">
      <w:lvlJc w:val="left"/>
      <w:lvlText w:val="·"/>
      <w:numFmt w:val="bullet"/>
      <w:start w:val="1"/>
    </w:lvl>
  </w:abstractNum>
  <w:abstractNum w:abstractNumId="7">
    <w:nsid w:val="754342"/>
    <w:multiLevelType w:val="hybridMultilevel"/>
    <w:lvl w:ilvl="0">
      <w:lvlJc w:val="left"/>
      <w:lvlText w:val="·"/>
      <w:numFmt w:val="bullet"/>
      <w:start w:val="1"/>
    </w:lvl>
  </w:abstractNum>
  <w:abstractNum w:abstractNumId="8">
    <w:nsid w:val="69E7F3E5"/>
    <w:multiLevelType w:val="hybridMultilevel"/>
    <w:lvl w:ilvl="0">
      <w:lvlJc w:val="left"/>
      <w:lvlText w:val="·"/>
      <w:numFmt w:val="bullet"/>
      <w:start w:val="1"/>
    </w:lvl>
  </w:abstractNum>
  <w:abstractNum w:abstractNumId="9">
    <w:nsid w:val="2A6DE806"/>
    <w:multiLevelType w:val="hybridMultilevel"/>
    <w:lvl w:ilvl="0">
      <w:lvlJc w:val="left"/>
      <w:lvlText w:val="·"/>
      <w:numFmt w:val="bullet"/>
      <w:start w:val="1"/>
    </w:lvl>
  </w:abstractNum>
  <w:abstractNum w:abstractNumId="10">
    <w:nsid w:val="1816F8C4"/>
    <w:multiLevelType w:val="hybridMultilevel"/>
    <w:lvl w:ilvl="0">
      <w:lvlJc w:val="left"/>
      <w:lvlText w:val="·"/>
      <w:numFmt w:val="bullet"/>
      <w:start w:val="1"/>
    </w:lvl>
  </w:abstractNum>
  <w:abstractNum w:abstractNumId="11">
    <w:nsid w:val="37DF2233"/>
    <w:multiLevelType w:val="hybridMultilevel"/>
    <w:lvl w:ilvl="0">
      <w:lvlJc w:val="left"/>
      <w:lvlText w:val="·"/>
      <w:numFmt w:val="bullet"/>
      <w:start w:val="1"/>
    </w:lvl>
  </w:abstractNum>
  <w:abstractNum w:abstractNumId="12">
    <w:nsid w:val="7AB49DAF"/>
    <w:multiLevelType w:val="hybridMultilevel"/>
    <w:lvl w:ilvl="0">
      <w:lvlJc w:val="left"/>
      <w:lvlText w:val="·"/>
      <w:numFmt w:val="bullet"/>
      <w:start w:val="1"/>
    </w:lvl>
  </w:abstractNum>
  <w:abstractNum w:abstractNumId="13">
    <w:nsid w:val="759F82CD"/>
    <w:multiLevelType w:val="hybridMultilevel"/>
    <w:lvl w:ilvl="0">
      <w:lvlJc w:val="left"/>
      <w:lvlText w:val="·"/>
      <w:numFmt w:val="bullet"/>
      <w:start w:val="1"/>
    </w:lvl>
  </w:abstractNum>
  <w:abstractNum w:abstractNumId="14">
    <w:nsid w:val="61E74EA3"/>
    <w:multiLevelType w:val="hybridMultilevel"/>
    <w:lvl w:ilvl="0">
      <w:lvlJc w:val="left"/>
      <w:lvlText w:val="·"/>
      <w:numFmt w:val="bullet"/>
      <w:start w:val="1"/>
    </w:lvl>
  </w:abstractNum>
  <w:abstractNum w:abstractNumId="15">
    <w:nsid w:val="597B4D84"/>
    <w:multiLevelType w:val="hybridMultilevel"/>
    <w:lvl w:ilvl="0">
      <w:lvlJc w:val="left"/>
      <w:lvlText w:val="·"/>
      <w:numFmt w:val="bullet"/>
      <w:start w:val="1"/>
    </w:lvl>
  </w:abstractNum>
  <w:abstractNum w:abstractNumId="16">
    <w:nsid w:val="F819E7F"/>
    <w:multiLevelType w:val="hybridMultilevel"/>
    <w:lvl w:ilvl="0">
      <w:lvlJc w:val="left"/>
      <w:lvlText w:val="**"/>
      <w:numFmt w:val="bullet"/>
      <w:start w:val="1"/>
    </w:lvl>
  </w:abstractNum>
  <w:abstractNum w:abstractNumId="17">
    <w:nsid w:val="57C7D42D"/>
    <w:multiLevelType w:val="hybridMultilevel"/>
    <w:lvl w:ilvl="0">
      <w:lvlJc w:val="left"/>
      <w:lvlText w:val="**"/>
      <w:numFmt w:val="bullet"/>
      <w:start w:val="1"/>
    </w:lvl>
  </w:abstractNum>
  <w:abstractNum w:abstractNumId="18">
    <w:nsid w:val="312167AD"/>
    <w:multiLevelType w:val="hybridMultilevel"/>
    <w:lvl w:ilvl="0">
      <w:lvlJc w:val="left"/>
      <w:lvlText w:val="A"/>
      <w:numFmt w:val="bullet"/>
      <w:start w:val="1"/>
    </w:lvl>
  </w:abstractNum>
  <w:abstractNum w:abstractNumId="19">
    <w:nsid w:val="631B64D4"/>
    <w:multiLevelType w:val="hybridMultilevel"/>
    <w:lvl w:ilvl="0">
      <w:lvlJc w:val="left"/>
      <w:lvlText w:val="C"/>
      <w:numFmt w:val="bullet"/>
      <w:start w:val="1"/>
    </w:lvl>
  </w:abstractNum>
  <w:abstractNum w:abstractNumId="20">
    <w:nsid w:val="78B5E776"/>
    <w:multiLevelType w:val="hybridMultilevel"/>
    <w:lvl w:ilvl="0">
      <w:lvlJc w:val="left"/>
      <w:lvlText w:val="D"/>
      <w:numFmt w:val="bullet"/>
      <w:start w:val="1"/>
    </w:lvl>
  </w:abstractNum>
  <w:abstractNum w:abstractNumId="21">
    <w:nsid w:val="75486E47"/>
    <w:multiLevelType w:val="hybridMultilevel"/>
    <w:lvl w:ilvl="0">
      <w:lvlJc w:val="left"/>
      <w:lvlText w:val="E"/>
      <w:numFmt w:val="bullet"/>
      <w:start w:val="1"/>
    </w:lvl>
  </w:abstractNum>
  <w:abstractNum w:abstractNumId="22">
    <w:nsid w:val="6E534CDE"/>
    <w:multiLevelType w:val="hybridMultilevel"/>
    <w:lvl w:ilvl="0">
      <w:lvlJc w:val="left"/>
      <w:lvlText w:val="(%1)"/>
      <w:numFmt w:val="lowerLetter"/>
      <w:start w:val="2"/>
    </w:lvl>
  </w:abstractNum>
  <w:abstractNum w:abstractNumId="23">
    <w:nsid w:val="1A0DDE32"/>
    <w:multiLevelType w:val="hybridMultilevel"/>
    <w:lvl w:ilvl="0">
      <w:lvlJc w:val="left"/>
      <w:lvlText w:val="(%1)"/>
      <w:numFmt w:val="lowerLetter"/>
      <w:start w:val="35"/>
    </w:lvl>
  </w:abstractNum>
  <w:abstractNum w:abstractNumId="24">
    <w:nsid w:val="65968C1C"/>
    <w:multiLevelType w:val="hybridMultilevel"/>
    <w:lvl w:ilvl="0">
      <w:lvlJc w:val="left"/>
      <w:lvlText w:val="(%1)"/>
      <w:numFmt w:val="lowerLetter"/>
      <w:start w:val="1"/>
    </w:lvl>
  </w:abstractNum>
  <w:abstractNum w:abstractNumId="25">
    <w:nsid w:val="46263DEC"/>
    <w:multiLevelType w:val="hybridMultilevel"/>
    <w:lvl w:ilvl="0">
      <w:lvlJc w:val="left"/>
      <w:lvlText w:val="(%1)"/>
      <w:numFmt w:val="lowerRoman"/>
      <w:start w:val="3"/>
    </w:lvl>
  </w:abstractNum>
  <w:abstractNum w:abstractNumId="26">
    <w:nsid w:val="260D8C4A"/>
    <w:multiLevelType w:val="hybridMultilevel"/>
    <w:lvl w:ilvl="0">
      <w:lvlJc w:val="left"/>
      <w:lvlText w:val="(%1)"/>
      <w:numFmt w:val="lowerLetter"/>
      <w:start w:val="2"/>
    </w:lvl>
  </w:abstractNum>
  <w:abstractNum w:abstractNumId="27">
    <w:nsid w:val="73D4D3C4"/>
    <w:multiLevelType w:val="hybridMultilevel"/>
    <w:lvl w:ilvl="0">
      <w:lvlJc w:val="left"/>
      <w:lvlText w:val="(%1)"/>
      <w:numFmt w:val="lowerLetter"/>
      <w:start w:val="3"/>
    </w:lvl>
  </w:abstractNum>
  <w:abstractNum w:abstractNumId="28">
    <w:nsid w:val="746F2E30"/>
    <w:multiLevelType w:val="hybridMultilevel"/>
    <w:lvl w:ilvl="0">
      <w:lvlJc w:val="left"/>
      <w:lvlText w:val="(%1)"/>
      <w:numFmt w:val="lowerLetter"/>
      <w:start w:val="1"/>
    </w:lvl>
  </w:abstractNum>
  <w:abstractNum w:abstractNumId="29">
    <w:nsid w:val="6FDE8AF6"/>
    <w:multiLevelType w:val="hybridMultilevel"/>
    <w:lvl w:ilvl="0">
      <w:lvlJc w:val="left"/>
      <w:lvlText w:val="(%1)"/>
      <w:numFmt w:val="lowerLetter"/>
      <w:start w:val="9"/>
    </w:lvl>
  </w:abstractNum>
  <w:abstractNum w:abstractNumId="30">
    <w:nsid w:val="3FC32E20"/>
    <w:multiLevelType w:val="hybridMultilevel"/>
    <w:lvl w:ilvl="0">
      <w:lvlJc w:val="left"/>
      <w:lvlText w:val="(%1)"/>
      <w:numFmt w:val="lowerRoman"/>
      <w:start w:val="3"/>
    </w:lvl>
  </w:abstractNum>
  <w:abstractNum w:abstractNumId="31">
    <w:nsid w:val="49C0E823"/>
    <w:multiLevelType w:val="hybridMultilevel"/>
    <w:lvl w:ilvl="0">
      <w:lvlJc w:val="left"/>
      <w:lvlText w:val="(%1)"/>
      <w:numFmt w:val="lowerLetter"/>
      <w:start w:val="1"/>
    </w:lvl>
  </w:abstractNum>
  <w:abstractNum w:abstractNumId="32">
    <w:nsid w:val="14D53685"/>
    <w:multiLevelType w:val="hybridMultilevel"/>
    <w:lvl w:ilvl="0">
      <w:lvlJc w:val="left"/>
      <w:lvlText w:val="(%1)"/>
      <w:numFmt w:val="lowerLetter"/>
      <w:start w:val="7"/>
    </w:lvl>
  </w:abstractNum>
  <w:abstractNum w:abstractNumId="33">
    <w:nsid w:val="230F856C"/>
    <w:multiLevelType w:val="hybridMultilevel"/>
    <w:lvl w:ilvl="0">
      <w:lvlJc w:val="left"/>
      <w:lvlText w:val="(%1)"/>
      <w:numFmt w:val="lowerLetter"/>
      <w:start w:val="1"/>
    </w:lvl>
  </w:abstractNum>
  <w:abstractNum w:abstractNumId="34">
    <w:nsid w:val="6EAA85FB"/>
    <w:multiLevelType w:val="hybridMultilevel"/>
    <w:lvl w:ilvl="0">
      <w:lvlJc w:val="left"/>
      <w:lvlText w:val="(%1)"/>
      <w:numFmt w:val="lowerLetter"/>
      <w:start w:val="7"/>
    </w:lvl>
  </w:abstractNum>
  <w:abstractNum w:abstractNumId="35">
    <w:nsid w:val="3F06ECB2"/>
    <w:multiLevelType w:val="hybridMultilevel"/>
    <w:lvl w:ilvl="0">
      <w:lvlJc w:val="left"/>
      <w:lvlText w:val="(%1)"/>
      <w:numFmt w:val="lowerLetter"/>
      <w:start w:val="2"/>
    </w:lvl>
  </w:abstractNum>
  <w:abstractNum w:abstractNumId="36">
    <w:nsid w:val="3B594807"/>
    <w:multiLevelType w:val="hybridMultilevel"/>
    <w:lvl w:ilvl="0">
      <w:lvlJc w:val="left"/>
      <w:lvlText w:val="(%1)"/>
      <w:numFmt w:val="lowerLetter"/>
      <w:start w:val="5"/>
    </w:lvl>
  </w:abstractNum>
  <w:abstractNum w:abstractNumId="37">
    <w:nsid w:val="6CAA2304"/>
    <w:multiLevelType w:val="hybridMultilevel"/>
    <w:lvl w:ilvl="0">
      <w:lvlJc w:val="left"/>
      <w:lvlText w:val="(%1)"/>
      <w:numFmt w:val="lowerLetter"/>
      <w:start w:val="2"/>
    </w:lvl>
  </w:abstractNum>
  <w:abstractNum w:abstractNumId="38">
    <w:nsid w:val="3F7C2FF4"/>
    <w:multiLevelType w:val="hybridMultilevel"/>
    <w:lvl w:ilvl="0">
      <w:lvlJc w:val="left"/>
      <w:lvlText w:val="(%1)"/>
      <w:numFmt w:val="lowerLetter"/>
      <w:start w:val="1"/>
    </w:lvl>
  </w:abstractNum>
  <w:abstractNum w:abstractNumId="39">
    <w:nsid w:val="25413BEC"/>
    <w:multiLevelType w:val="hybridMultilevel"/>
    <w:lvl w:ilvl="0">
      <w:lvlJc w:val="left"/>
      <w:lvlText w:val="(%1)"/>
      <w:numFmt w:val="lowerLetter"/>
      <w:start w:val="1"/>
    </w:lvl>
  </w:abstractNum>
  <w:abstractNum w:abstractNumId="40">
    <w:nsid w:val="17180B0B"/>
    <w:multiLevelType w:val="hybridMultilevel"/>
    <w:lvl w:ilvl="0">
      <w:lvlJc w:val="left"/>
      <w:lvlText w:val="(%1)"/>
      <w:numFmt w:val="lowerLetter"/>
      <w:start w:val="3"/>
    </w:lvl>
  </w:abstractNum>
  <w:abstractNum w:abstractNumId="41">
    <w:nsid w:val="579328B9"/>
    <w:multiLevelType w:val="hybridMultilevel"/>
    <w:lvl w:ilvl="0">
      <w:lvlJc w:val="left"/>
      <w:lvlText w:val="(%1)"/>
      <w:numFmt w:val="lowerLetter"/>
      <w:start w:val="1"/>
    </w:lvl>
  </w:abstractNum>
  <w:abstractNum w:abstractNumId="42">
    <w:nsid w:val="5D205E20"/>
    <w:multiLevelType w:val="hybridMultilevel"/>
    <w:lvl w:ilvl="0">
      <w:lvlJc w:val="left"/>
      <w:lvlText w:val="(%1)"/>
      <w:numFmt w:val="lowerLetter"/>
      <w:start w:val="1"/>
    </w:lvl>
  </w:abstractNum>
  <w:abstractNum w:abstractNumId="43">
    <w:nsid w:val="11CCA8BA"/>
    <w:multiLevelType w:val="hybridMultilevel"/>
    <w:lvl w:ilvl="0">
      <w:lvlJc w:val="left"/>
      <w:lvlText w:val="(%1)"/>
      <w:numFmt w:val="lowerLetter"/>
      <w:start w:val="1"/>
    </w:lvl>
  </w:abstractNum>
  <w:abstractNum w:abstractNumId="44">
    <w:nsid w:val="4D32AB86"/>
    <w:multiLevelType w:val="hybridMultilevel"/>
    <w:lvl w:ilvl="0">
      <w:lvlJc w:val="left"/>
      <w:lvlText w:val="(%1)"/>
      <w:numFmt w:val="lowerRoman"/>
      <w:start w:val="1"/>
    </w:lvl>
  </w:abstractNum>
  <w:abstractNum w:abstractNumId="45">
    <w:nsid w:val="3F07ACC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6">
    <w:nsid w:val="6B47F63E"/>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47">
    <w:nsid w:val="5CB44A05"/>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48">
    <w:nsid w:val="16CF80F1"/>
    <w:multiLevelType w:val="hybridMultilevel"/>
    <w:lvl w:ilvl="0">
      <w:lvlJc w:val="left"/>
      <w:lvlText w:val="%1"/>
      <w:numFmt w:val="lowerRoman"/>
      <w:start w:val="1"/>
    </w:lvl>
    <w:lvl w:ilvl="1">
      <w:lvlJc w:val="left"/>
      <w:lvlText w:val="(%2)"/>
      <w:numFmt w:val="lowerLetter"/>
      <w:start w:val="5"/>
    </w:lvl>
  </w:abstractNum>
  <w:abstractNum w:abstractNumId="49">
    <w:nsid w:val="1C695DEC"/>
    <w:multiLevelType w:val="hybridMultilevel"/>
    <w:lvl w:ilvl="0">
      <w:lvlJc w:val="left"/>
      <w:lvlText w:val="(%1)"/>
      <w:numFmt w:val="lowerRoman"/>
      <w:start w:val="1"/>
    </w:lvl>
    <w:lvl w:ilvl="1">
      <w:lvlJc w:val="left"/>
      <w:lvlText w:val="%2"/>
      <w:numFmt w:val="lowerLetter"/>
      <w:start w:val="1"/>
    </w:lvl>
  </w:abstractNum>
  <w:abstractNum w:abstractNumId="50">
    <w:nsid w:val="3FCFAED9"/>
    <w:multiLevelType w:val="hybridMultilevel"/>
    <w:lvl w:ilvl="0">
      <w:lvlJc w:val="left"/>
      <w:lvlText w:val="(%1)"/>
      <w:numFmt w:val="lowerRoman"/>
      <w:start w:val="4"/>
    </w:lvl>
    <w:lvl w:ilvl="1">
      <w:lvlJc w:val="left"/>
      <w:lvlText w:val="%2"/>
      <w:numFmt w:val="lowerLetter"/>
      <w:start w:val="1"/>
    </w:lvl>
  </w:abstractNum>
  <w:abstractNum w:abstractNumId="51">
    <w:nsid w:val="F856867"/>
    <w:multiLevelType w:val="hybridMultilevel"/>
    <w:lvl w:ilvl="0">
      <w:lvlJc w:val="left"/>
      <w:lvlText w:val="%1"/>
      <w:numFmt w:val="lowerLetter"/>
      <w:start w:val="1"/>
    </w:lvl>
    <w:lvl w:ilvl="1">
      <w:lvlJc w:val="left"/>
      <w:lvlText w:val="(%2)"/>
      <w:numFmt w:val="lowerLetter"/>
      <w:start w:val="1"/>
    </w:lvl>
  </w:abstractNum>
  <w:abstractNum w:abstractNumId="52">
    <w:nsid w:val="11B1CC33"/>
    <w:multiLevelType w:val="hybridMultilevel"/>
    <w:lvl w:ilvl="0">
      <w:lvlJc w:val="left"/>
      <w:lvlText w:val="(%1)"/>
      <w:numFmt w:val="lowerLetter"/>
      <w:start w:val="9"/>
    </w:lvl>
    <w:lvl w:ilvl="1">
      <w:lvlJc w:val="left"/>
      <w:lvlText w:val="%2"/>
      <w:numFmt w:val="lowerLetter"/>
      <w:start w:val="1"/>
    </w:lvl>
  </w:abstractNum>
  <w:abstractNum w:abstractNumId="53">
    <w:nsid w:val="2E22FBB7"/>
    <w:multiLevelType w:val="hybridMultilevel"/>
    <w:lvl w:ilvl="0">
      <w:lvlJc w:val="left"/>
      <w:lvlText w:val="(%1)"/>
      <w:numFmt w:val="lowerLetter"/>
      <w:start w:val="2"/>
    </w:lvl>
  </w:abstractNum>
  <w:abstractNum w:abstractNumId="54">
    <w:nsid w:val="29934699"/>
    <w:multiLevelType w:val="hybridMultilevel"/>
    <w:lvl w:ilvl="0">
      <w:lvlJc w:val="left"/>
      <w:lvlText w:val="(%1)"/>
      <w:numFmt w:val="lowerLetter"/>
      <w:start w:val="1"/>
    </w:lvl>
  </w:abstractNum>
  <w:abstractNum w:abstractNumId="55">
    <w:nsid w:val="77485850"/>
    <w:multiLevelType w:val="hybridMultilevel"/>
    <w:lvl w:ilvl="0">
      <w:lvlJc w:val="left"/>
      <w:lvlText w:val="(%1)"/>
      <w:numFmt w:val="lowerLetter"/>
      <w:start w:val="2"/>
    </w:lvl>
  </w:abstractNum>
  <w:abstractNum w:abstractNumId="56">
    <w:nsid w:val="744939A3"/>
    <w:multiLevelType w:val="hybridMultilevel"/>
    <w:lvl w:ilvl="0">
      <w:lvlJc w:val="left"/>
      <w:lvlText w:val="(%1)"/>
      <w:numFmt w:val="lowerLetter"/>
      <w:start w:val="1"/>
    </w:lvl>
  </w:abstractNum>
  <w:abstractNum w:abstractNumId="57">
    <w:nsid w:val="4FA0D2E3"/>
    <w:multiLevelType w:val="hybridMultilevel"/>
    <w:lvl w:ilvl="0">
      <w:lvlJc w:val="left"/>
      <w:lvlText w:val="%1"/>
      <w:numFmt w:val="lowerLetter"/>
      <w:start w:val="1"/>
    </w:lvl>
    <w:lvl w:ilvl="1">
      <w:lvlJc w:val="left"/>
      <w:lvlText w:val="(%2)"/>
      <w:numFmt w:val="lowerRoman"/>
      <w:start w:val="1"/>
    </w:lvl>
  </w:abstractNum>
  <w:abstractNum w:abstractNumId="58">
    <w:nsid w:val="6B1D2C14"/>
    <w:multiLevelType w:val="hybridMultilevel"/>
    <w:lvl w:ilvl="0">
      <w:lvlJc w:val="left"/>
      <w:lvlText w:val="(%1)"/>
      <w:numFmt w:val="lowerLetter"/>
      <w:start w:val="4"/>
    </w:lvl>
    <w:lvl w:ilvl="1">
      <w:lvlJc w:val="left"/>
      <w:lvlText w:val="%2"/>
      <w:numFmt w:val="lowerRoman"/>
      <w:start w:val="1"/>
    </w:lvl>
  </w:abstractNum>
  <w:abstractNum w:abstractNumId="59">
    <w:nsid w:val="68B867D3"/>
    <w:multiLevelType w:val="hybridMultilevel"/>
    <w:lvl w:ilvl="0">
      <w:lvlJc w:val="left"/>
      <w:lvlText w:val="(%1)"/>
      <w:numFmt w:val="lowerLetter"/>
      <w:start w:val="1"/>
    </w:lvl>
  </w:abstractNum>
  <w:abstractNum w:abstractNumId="60">
    <w:nsid w:val="3F7F5DD9"/>
    <w:multiLevelType w:val="hybridMultilevel"/>
    <w:lvl w:ilvl="0">
      <w:lvlJc w:val="left"/>
      <w:lvlText w:val="(%1)"/>
      <w:numFmt w:val="lowerLetter"/>
      <w:start w:val="3"/>
    </w:lvl>
  </w:abstractNum>
  <w:abstractNum w:abstractNumId="61">
    <w:nsid w:val="2AE05A34"/>
    <w:multiLevelType w:val="hybridMultilevel"/>
    <w:lvl w:ilvl="0">
      <w:lvlJc w:val="left"/>
      <w:lvlText w:val="(%1)"/>
      <w:numFmt w:val="lowerLetter"/>
      <w:start w:val="1"/>
    </w:lvl>
    <w:lvl w:ilvl="1">
      <w:lvlJc w:val="left"/>
      <w:lvlText w:val="(%2)"/>
      <w:numFmt w:val="lowerRoman"/>
      <w:start w:val="1"/>
    </w:lvl>
  </w:abstractNum>
  <w:abstractNum w:abstractNumId="62">
    <w:nsid w:val="32794FF7"/>
    <w:multiLevelType w:val="hybridMultilevel"/>
    <w:lvl w:ilvl="0">
      <w:lvlJc w:val="left"/>
      <w:lvlText w:val="(%1)"/>
      <w:numFmt w:val="lowerLetter"/>
      <w:start w:val="1"/>
    </w:lvl>
    <w:lvl w:ilvl="1">
      <w:lvlJc w:val="left"/>
      <w:lvlText w:val="(%2)"/>
      <w:numFmt w:val="lowerRoman"/>
      <w:start w:val="1"/>
    </w:lvl>
  </w:abstractNum>
  <w:abstractNum w:abstractNumId="63">
    <w:nsid w:val="5454945E"/>
    <w:multiLevelType w:val="hybridMultilevel"/>
    <w:lvl w:ilvl="0">
      <w:lvlJc w:val="left"/>
      <w:lvlText w:val="(%1)"/>
      <w:numFmt w:val="lowerLetter"/>
      <w:start w:val="2"/>
    </w:lvl>
  </w:abstractNum>
  <w:abstractNum w:abstractNumId="64">
    <w:nsid w:val="4DEFDFA0"/>
    <w:multiLevelType w:val="hybridMultilevel"/>
    <w:lvl w:ilvl="0">
      <w:lvlJc w:val="left"/>
      <w:lvlText w:val="(%1)"/>
      <w:numFmt w:val="lowerLetter"/>
      <w:start w:val="1"/>
    </w:lvl>
  </w:abstractNum>
  <w:abstractNum w:abstractNumId="65">
    <w:nsid w:val="2123D5F2"/>
    <w:multiLevelType w:val="hybridMultilevel"/>
    <w:lvl w:ilvl="0">
      <w:lvlJc w:val="left"/>
      <w:lvlText w:val="(%1)"/>
      <w:numFmt w:val="lowerLetter"/>
      <w:start w:val="1"/>
    </w:lvl>
  </w:abstractNum>
  <w:abstractNum w:abstractNumId="66">
    <w:nsid w:val="135B8110"/>
    <w:multiLevelType w:val="hybridMultilevel"/>
    <w:lvl w:ilvl="0">
      <w:lvlJc w:val="left"/>
      <w:lvlText w:val="(%1)"/>
      <w:numFmt w:val="lowerLetter"/>
      <w:start w:val="2"/>
    </w:lvl>
  </w:abstractNum>
  <w:abstractNum w:abstractNumId="67">
    <w:nsid w:val="94927A8"/>
    <w:multiLevelType w:val="hybridMultilevel"/>
    <w:lvl w:ilvl="0">
      <w:lvlJc w:val="left"/>
      <w:lvlText w:val="(%1)"/>
      <w:numFmt w:val="lowerLetter"/>
      <w:start w:val="1"/>
    </w:lvl>
  </w:abstractNum>
  <w:abstractNum w:abstractNumId="68">
    <w:nsid w:val="DCDF8F6"/>
    <w:multiLevelType w:val="hybridMultilevel"/>
    <w:lvl w:ilvl="0">
      <w:lvlJc w:val="left"/>
      <w:lvlText w:val="(%1)"/>
      <w:numFmt w:val="lowerLetter"/>
      <w:start w:val="2"/>
    </w:lvl>
  </w:abstractNum>
  <w:abstractNum w:abstractNumId="69">
    <w:nsid w:val="52D7B105"/>
    <w:multiLevelType w:val="hybridMultilevel"/>
    <w:lvl w:ilvl="0">
      <w:lvlJc w:val="left"/>
      <w:lvlText w:val="(%1)"/>
      <w:numFmt w:val="lowerLetter"/>
      <w:start w:val="1"/>
    </w:lvl>
  </w:abstractNum>
  <w:abstractNum w:abstractNumId="70">
    <w:nsid w:val="2E8A6394"/>
    <w:multiLevelType w:val="hybridMultilevel"/>
    <w:lvl w:ilvl="0">
      <w:lvlJc w:val="left"/>
      <w:lvlText w:val="(%1)"/>
      <w:numFmt w:val="lowerLetter"/>
      <w:start w:val="5"/>
    </w:lvl>
    <w:lvl w:ilvl="1">
      <w:lvlJc w:val="left"/>
      <w:lvlText w:val="(%2)"/>
      <w:numFmt w:val="lowerRoman"/>
      <w:start w:val="1"/>
    </w:lvl>
  </w:abstractNum>
  <w:abstractNum w:abstractNumId="71">
    <w:nsid w:val="24E6040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72">
    <w:nsid w:val="2A6AD9BE"/>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1"/>
    </w:lvl>
  </w:abstractNum>
  <w:abstractNum w:abstractNumId="73">
    <w:nsid w:val="BAAC1B4"/>
    <w:multiLevelType w:val="hybridMultilevel"/>
    <w:lvl w:ilvl="0">
      <w:lvlJc w:val="left"/>
      <w:lvlText w:val="%1"/>
      <w:numFmt w:val="lowerLetter"/>
      <w:start w:val="1"/>
    </w:lvl>
    <w:lvl w:ilvl="1">
      <w:lvlJc w:val="left"/>
      <w:lvlText w:val="(%2)"/>
      <w:numFmt w:val="lowerRoman"/>
      <w:start w:val="7"/>
    </w:lvl>
  </w:abstractNum>
  <w:abstractNum w:abstractNumId="74">
    <w:nsid w:val="36B2ACBC"/>
    <w:multiLevelType w:val="hybridMultilevel"/>
    <w:lvl w:ilvl="0">
      <w:lvlJc w:val="left"/>
      <w:lvlText w:val="(%1)"/>
      <w:numFmt w:val="lowerLetter"/>
      <w:start w:val="8"/>
    </w:lvl>
    <w:lvl w:ilvl="1">
      <w:lvlJc w:val="left"/>
      <w:lvlText w:val="%2"/>
      <w:numFmt w:val="lowerRoman"/>
      <w:start w:val="1"/>
    </w:lvl>
  </w:abstractNum>
  <w:abstractNum w:abstractNumId="75">
    <w:nsid w:val="779D8544"/>
    <w:multiLevelType w:val="hybridMultilevel"/>
    <w:lvl w:ilvl="0">
      <w:lvlJc w:val="left"/>
      <w:lvlText w:val="(%1)"/>
      <w:numFmt w:val="lowerLetter"/>
      <w:start w:val="15"/>
    </w:lvl>
  </w:abstractNum>
  <w:abstractNum w:abstractNumId="76">
    <w:nsid w:val="4AB26E78"/>
    <w:multiLevelType w:val="hybridMultilevel"/>
    <w:lvl w:ilvl="0">
      <w:lvlJc w:val="left"/>
      <w:lvlText w:val="(%1)"/>
      <w:numFmt w:val="lowerLetter"/>
      <w:start w:val="16"/>
    </w:lvl>
  </w:abstractNum>
  <w:abstractNum w:abstractNumId="77">
    <w:nsid w:val="21FAA2FA"/>
    <w:multiLevelType w:val="hybridMultilevel"/>
    <w:lvl w:ilvl="0">
      <w:lvlJc w:val="left"/>
      <w:lvlText w:val="(%1)"/>
      <w:numFmt w:val="lowerLetter"/>
      <w:start w:val="1"/>
    </w:lvl>
  </w:abstractNum>
  <w:abstractNum w:abstractNumId="78">
    <w:nsid w:val="5451CF49"/>
    <w:multiLevelType w:val="hybridMultilevel"/>
    <w:lvl w:ilvl="0">
      <w:lvlJc w:val="left"/>
      <w:lvlText w:val="(%1)"/>
      <w:numFmt w:val="lowerLetter"/>
      <w:start w:val="4"/>
    </w:lvl>
  </w:abstractNum>
  <w:abstractNum w:abstractNumId="79">
    <w:nsid w:val="6181EF69"/>
    <w:multiLevelType w:val="hybridMultilevel"/>
    <w:lvl w:ilvl="0">
      <w:lvlJc w:val="left"/>
      <w:lvlText w:val="(%1)"/>
      <w:numFmt w:val="lowerLetter"/>
      <w:start w:val="1"/>
    </w:lvl>
  </w:abstractNum>
  <w:abstractNum w:abstractNumId="80">
    <w:nsid w:val="3E6400E6"/>
    <w:multiLevelType w:val="hybridMultilevel"/>
    <w:lvl w:ilvl="0">
      <w:lvlJc w:val="left"/>
      <w:lvlText w:val="(%1)"/>
      <w:numFmt w:val="lowerLetter"/>
      <w:start w:val="1"/>
    </w:lvl>
  </w:abstractNum>
  <w:abstractNum w:abstractNumId="81">
    <w:nsid w:val="14217E23"/>
    <w:multiLevelType w:val="hybridMultilevel"/>
    <w:lvl w:ilvl="0">
      <w:lvlJc w:val="left"/>
      <w:lvlText w:val="(%1)"/>
      <w:numFmt w:val="lowerLetter"/>
      <w:start w:val="1"/>
    </w:lvl>
  </w:abstractNum>
  <w:abstractNum w:abstractNumId="82">
    <w:nsid w:val="710757D0"/>
    <w:multiLevelType w:val="hybridMultilevel"/>
    <w:lvl w:ilvl="0">
      <w:lvlJc w:val="left"/>
      <w:lvlText w:val="(%1)"/>
      <w:numFmt w:val="lowerLetter"/>
      <w:start w:val="4"/>
    </w:lvl>
  </w:abstractNum>
  <w:abstractNum w:abstractNumId="83">
    <w:nsid w:val="5015CD1A"/>
    <w:multiLevelType w:val="hybridMultilevel"/>
    <w:lvl w:ilvl="0">
      <w:lvlJc w:val="left"/>
      <w:lvlText w:val="(%1)"/>
      <w:numFmt w:val="lowerLetter"/>
      <w:start w:val="1"/>
    </w:lvl>
  </w:abstractNum>
  <w:abstractNum w:abstractNumId="84">
    <w:nsid w:val="424479DA"/>
    <w:multiLevelType w:val="hybridMultilevel"/>
    <w:lvl w:ilvl="0">
      <w:lvlJc w:val="left"/>
      <w:lvlText w:val="(%1)"/>
      <w:numFmt w:val="lowerLetter"/>
      <w:start w:val="1"/>
    </w:lvl>
  </w:abstractNum>
  <w:abstractNum w:abstractNumId="85">
    <w:nsid w:val="1A9A9E69"/>
    <w:multiLevelType w:val="hybridMultilevel"/>
    <w:lvl w:ilvl="0">
      <w:lvlJc w:val="left"/>
      <w:lvlText w:val="(%1)"/>
      <w:numFmt w:val="lowerLetter"/>
      <w:start w:val="3"/>
    </w:lvl>
  </w:abstractNum>
  <w:abstractNum w:abstractNumId="86">
    <w:nsid w:val="475E256A"/>
    <w:multiLevelType w:val="hybridMultilevel"/>
    <w:lvl w:ilvl="0">
      <w:lvlJc w:val="left"/>
      <w:lvlText w:val="%1"/>
      <w:numFmt w:val="lowerLetter"/>
      <w:start w:val="1"/>
    </w:lvl>
    <w:lvl w:ilvl="1">
      <w:lvlJc w:val="left"/>
      <w:lvlText w:val="(%2)"/>
      <w:numFmt w:val="lowerLetter"/>
      <w:start w:val="1"/>
    </w:lvl>
  </w:abstractNum>
  <w:abstractNum w:abstractNumId="87">
    <w:nsid w:val="368DB37E"/>
    <w:multiLevelType w:val="hybridMultilevel"/>
    <w:lvl w:ilvl="0">
      <w:lvlJc w:val="left"/>
      <w:lvlText w:val="(%1)"/>
      <w:numFmt w:val="lowerLetter"/>
      <w:start w:val="9"/>
    </w:lvl>
    <w:lvl w:ilvl="1">
      <w:lvlJc w:val="left"/>
      <w:lvlText w:val="(%2)"/>
      <w:numFmt w:val="lowerLetter"/>
      <w:start w:val="2"/>
    </w:lvl>
  </w:abstractNum>
  <w:abstractNum w:abstractNumId="88">
    <w:nsid w:val="6A3B714C"/>
    <w:multiLevelType w:val="hybridMultilevel"/>
    <w:lvl w:ilvl="0">
      <w:lvlJc w:val="left"/>
      <w:lvlText w:val="(%1)"/>
      <w:numFmt w:val="lowerLetter"/>
      <w:start w:val="1"/>
    </w:lvl>
  </w:abstractNum>
  <w:abstractNum w:abstractNumId="89">
    <w:nsid w:val="327B517E"/>
    <w:multiLevelType w:val="hybridMultilevel"/>
    <w:lvl w:ilvl="0">
      <w:lvlJc w:val="left"/>
      <w:lvlText w:val="(%1)"/>
      <w:numFmt w:val="lowerLetter"/>
      <w:start w:val="2"/>
    </w:lvl>
  </w:abstractNum>
  <w:abstractNum w:abstractNumId="90">
    <w:nsid w:val="1F461B51"/>
    <w:multiLevelType w:val="hybridMultilevel"/>
    <w:lvl w:ilvl="0">
      <w:lvlJc w:val="left"/>
      <w:lvlText w:val="(%1)"/>
      <w:numFmt w:val="lowerLetter"/>
      <w:start w:val="1"/>
    </w:lvl>
  </w:abstractNum>
  <w:abstractNum w:abstractNumId="91">
    <w:nsid w:val="29BACF25"/>
    <w:multiLevelType w:val="hybridMultilevel"/>
    <w:lvl w:ilvl="0">
      <w:lvlJc w:val="left"/>
      <w:lvlText w:val="(%1)"/>
      <w:numFmt w:val="lowerLetter"/>
      <w:start w:val="2"/>
    </w:lvl>
  </w:abstractNum>
  <w:abstractNum w:abstractNumId="92">
    <w:nsid w:val="5D5BABB3"/>
    <w:multiLevelType w:val="hybridMultilevel"/>
    <w:lvl w:ilvl="0">
      <w:lvlJc w:val="left"/>
      <w:lvlText w:val="%1"/>
      <w:numFmt w:val="lowerLetter"/>
      <w:start w:val="1"/>
    </w:lvl>
    <w:lvl w:ilvl="1">
      <w:lvlJc w:val="left"/>
      <w:lvlText w:val="(%2)"/>
      <w:numFmt w:val="lowerLetter"/>
      <w:start w:val="1"/>
    </w:lvl>
  </w:abstractNum>
  <w:abstractNum w:abstractNumId="93">
    <w:nsid w:val="51BF6B48"/>
    <w:multiLevelType w:val="hybridMultilevel"/>
    <w:lvl w:ilvl="0">
      <w:lvlJc w:val="left"/>
      <w:lvlText w:val="(%1)"/>
      <w:numFmt w:val="lowerLetter"/>
      <w:start w:val="9"/>
    </w:lvl>
    <w:lvl w:ilvl="1">
      <w:lvlJc w:val="left"/>
      <w:lvlText w:val="%2"/>
      <w:numFmt w:val="lowerLetter"/>
      <w:start w:val="1"/>
    </w:lvl>
  </w:abstractNum>
  <w:abstractNum w:abstractNumId="94">
    <w:nsid w:val="7E0F6384"/>
    <w:multiLevelType w:val="hybridMultilevel"/>
    <w:lvl w:ilvl="0">
      <w:lvlJc w:val="left"/>
      <w:lvlText w:val="(%1)"/>
      <w:numFmt w:val="lowerLetter"/>
      <w:start w:val="2"/>
    </w:lvl>
  </w:abstractNum>
  <w:abstractNum w:abstractNumId="95">
    <w:nsid w:val="2B4B8B53"/>
    <w:multiLevelType w:val="hybridMultilevel"/>
    <w:lvl w:ilvl="0">
      <w:lvlJc w:val="left"/>
      <w:lvlText w:val="(%1)"/>
      <w:numFmt w:val="lowerLetter"/>
      <w:start w:val="1"/>
    </w:lvl>
    <w:lvl w:ilvl="1">
      <w:lvlJc w:val="left"/>
      <w:lvlText w:val="(%2)"/>
      <w:numFmt w:val="lowerRoman"/>
      <w:start w:val="1"/>
    </w:lvl>
  </w:abstractNum>
  <w:abstractNum w:abstractNumId="96">
    <w:nsid w:val="72E3413A"/>
    <w:multiLevelType w:val="hybridMultilevel"/>
    <w:lvl w:ilvl="0">
      <w:lvlJc w:val="left"/>
      <w:lvlText w:val="(%1)"/>
      <w:numFmt w:val="lowerRoman"/>
      <w:start w:val="5"/>
    </w:lvl>
  </w:abstractNum>
  <w:abstractNum w:abstractNumId="97">
    <w:nsid w:val="116AE49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98">
    <w:nsid w:val="3494B2FB"/>
    <w:multiLevelType w:val="hybridMultilevel"/>
    <w:lvl w:ilvl="0">
      <w:lvlJc w:val="left"/>
      <w:lvlText w:val="(%1)"/>
      <w:numFmt w:val="lowerRoman"/>
      <w:start w:val="7"/>
    </w:lvl>
  </w:abstractNum>
  <w:abstractNum w:abstractNumId="99">
    <w:nsid w:val="B13A31"/>
    <w:multiLevelType w:val="hybridMultilevel"/>
    <w:lvl w:ilvl="0">
      <w:lvlJc w:val="left"/>
      <w:lvlText w:val="%1"/>
      <w:numFmt w:val="decimal"/>
      <w:start w:val="1"/>
    </w:lvl>
    <w:lvl w:ilvl="1">
      <w:lvlJc w:val="left"/>
      <w:lvlText w:val="(%2)"/>
      <w:numFmt w:val="lowerLetter"/>
      <w:start w:val="1"/>
    </w:lvl>
  </w:abstractNum>
  <w:abstractNum w:abstractNumId="100">
    <w:nsid w:val="64429599"/>
    <w:multiLevelType w:val="hybridMultilevel"/>
    <w:lvl w:ilvl="0">
      <w:lvlJc w:val="left"/>
      <w:lvlText w:val="(%1)"/>
      <w:numFmt w:val="decimal"/>
      <w:start w:val="15"/>
    </w:lvl>
    <w:lvl w:ilvl="1">
      <w:lvlJc w:val="left"/>
      <w:lvlText w:val="(%2)"/>
      <w:numFmt w:val="lowerLetter"/>
      <w:start w:val="2"/>
    </w:lvl>
  </w:abstractNum>
  <w:abstractNum w:abstractNumId="101">
    <w:nsid w:val="631F1690"/>
    <w:multiLevelType w:val="hybridMultilevel"/>
    <w:lvl w:ilvl="0">
      <w:lvlJc w:val="left"/>
      <w:lvlText w:val="(%1)"/>
      <w:numFmt w:val="lowerLetter"/>
      <w:start w:val="1"/>
    </w:lvl>
  </w:abstractNum>
  <w:abstractNum w:abstractNumId="102">
    <w:nsid w:val="25973E32"/>
    <w:multiLevelType w:val="hybridMultilevel"/>
    <w:lvl w:ilvl="0">
      <w:lvlJc w:val="left"/>
      <w:lvlText w:val="(%1)"/>
      <w:numFmt w:val="lowerLetter"/>
      <w:start w:val="2"/>
    </w:lvl>
  </w:abstractNum>
  <w:abstractNum w:abstractNumId="103">
    <w:nsid w:val="EAD6F57"/>
    <w:multiLevelType w:val="hybridMultilevel"/>
    <w:lvl w:ilvl="0">
      <w:lvlJc w:val="left"/>
      <w:lvlText w:val="%1"/>
      <w:numFmt w:val="lowerLetter"/>
      <w:start w:val="1"/>
    </w:lvl>
    <w:lvl w:ilvl="1">
      <w:lvlJc w:val="left"/>
      <w:lvlText w:val="(%2)"/>
      <w:numFmt w:val="lowerLetter"/>
      <w:start w:val="3"/>
    </w:lvl>
  </w:abstractNum>
  <w:abstractNum w:abstractNumId="104">
    <w:nsid w:val="6EC9D844"/>
    <w:multiLevelType w:val="hybridMultilevel"/>
    <w:lvl w:ilvl="0">
      <w:lvlJc w:val="left"/>
      <w:lvlText w:val="(%1)"/>
      <w:numFmt w:val="lowerLetter"/>
      <w:start w:val="9"/>
    </w:lvl>
    <w:lvl w:ilvl="1">
      <w:lvlJc w:val="left"/>
      <w:lvlText w:val="(%2)"/>
      <w:numFmt w:val="lowerLetter"/>
      <w:start w:val="8"/>
    </w:lvl>
  </w:abstractNum>
  <w:abstractNum w:abstractNumId="105">
    <w:nsid w:val="5C49EAEE"/>
    <w:multiLevelType w:val="hybridMultilevel"/>
    <w:lvl w:ilvl="0">
      <w:lvlJc w:val="left"/>
      <w:lvlText w:val="(%1)"/>
      <w:numFmt w:val="lowerLetter"/>
      <w:start w:val="1"/>
    </w:lvl>
  </w:abstractNum>
  <w:abstractNum w:abstractNumId="106">
    <w:nsid w:val="64AF49B"/>
    <w:multiLevelType w:val="hybridMultilevel"/>
    <w:lvl w:ilvl="0">
      <w:lvlJc w:val="left"/>
      <w:lvlText w:val="(%1)"/>
      <w:numFmt w:val="lowerLetter"/>
      <w:start w:val="1"/>
    </w:lvl>
  </w:abstractNum>
  <w:abstractNum w:abstractNumId="107">
    <w:nsid w:val="397C46BC"/>
    <w:multiLevelType w:val="hybridMultilevel"/>
    <w:lvl w:ilvl="0">
      <w:lvlJc w:val="left"/>
      <w:lvlText w:val="(%1)"/>
      <w:numFmt w:val="lowerLetter"/>
      <w:start w:val="1"/>
    </w:lvl>
  </w:abstractNum>
  <w:abstractNum w:abstractNumId="108">
    <w:nsid w:val="7E448DE9"/>
    <w:multiLevelType w:val="hybridMultilevel"/>
    <w:lvl w:ilvl="0">
      <w:lvlJc w:val="left"/>
      <w:lvlText w:val="(%1)"/>
      <w:numFmt w:val="lowerLetter"/>
      <w:start w:val="1"/>
    </w:lvl>
  </w:abstractNum>
  <w:abstractNum w:abstractNumId="109">
    <w:nsid w:val="5A9CC3E5"/>
    <w:multiLevelType w:val="hybridMultilevel"/>
    <w:lvl w:ilvl="0">
      <w:lvlJc w:val="left"/>
      <w:lvlText w:val="(%1)"/>
      <w:numFmt w:val="lowerLetter"/>
      <w:start w:val="2"/>
    </w:lvl>
  </w:abstractNum>
  <w:abstractNum w:abstractNumId="110">
    <w:nsid w:val="1AFE3625"/>
    <w:multiLevelType w:val="hybridMultilevel"/>
    <w:lvl w:ilvl="0">
      <w:lvlJc w:val="left"/>
      <w:lvlText w:val="(%1)"/>
      <w:numFmt w:val="lowerLetter"/>
      <w:start w:val="1"/>
    </w:lvl>
  </w:abstractNum>
  <w:abstractNum w:abstractNumId="111">
    <w:nsid w:val="3CA88ECF"/>
    <w:multiLevelType w:val="hybridMultilevel"/>
    <w:lvl w:ilvl="0">
      <w:lvlJc w:val="left"/>
      <w:lvlText w:val="(%1)"/>
      <w:numFmt w:val="lowerLetter"/>
      <w:start w:val="1"/>
    </w:lvl>
  </w:abstractNum>
  <w:abstractNum w:abstractNumId="112">
    <w:nsid w:val="6EBE4208"/>
    <w:multiLevelType w:val="hybridMultilevel"/>
    <w:lvl w:ilvl="0">
      <w:lvlJc w:val="left"/>
      <w:lvlText w:val="(%1)"/>
      <w:numFmt w:val="lowerLetter"/>
      <w:start w:val="2"/>
    </w:lvl>
  </w:abstractNum>
  <w:abstractNum w:abstractNumId="113">
    <w:nsid w:val="C058DF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14">
    <w:nsid w:val="CBE5BE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15">
    <w:nsid w:val="3102BBE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16">
    <w:nsid w:val="26A02C5E"/>
    <w:multiLevelType w:val="hybridMultilevel"/>
    <w:lvl w:ilvl="0">
      <w:lvlJc w:val="left"/>
      <w:lvlText w:val="(%1)"/>
      <w:numFmt w:val="lowerLetter"/>
      <w:start w:val="1"/>
    </w:lvl>
  </w:abstractNum>
  <w:abstractNum w:abstractNumId="117">
    <w:nsid w:val="541C8153"/>
    <w:multiLevelType w:val="hybridMultilevel"/>
    <w:lvl w:ilvl="0">
      <w:lvlJc w:val="left"/>
      <w:lvlText w:val="(%1)"/>
      <w:numFmt w:val="lowerLetter"/>
      <w:start w:val="1"/>
    </w:lvl>
  </w:abstractNum>
  <w:abstractNum w:abstractNumId="118">
    <w:nsid w:val="67906F60"/>
    <w:multiLevelType w:val="hybridMultilevel"/>
    <w:lvl w:ilvl="0">
      <w:lvlJc w:val="left"/>
      <w:lvlText w:val="%1"/>
      <w:numFmt w:val="decimal"/>
      <w:start w:val="1"/>
    </w:lvl>
    <w:lvl w:ilvl="1">
      <w:lvlJc w:val="left"/>
      <w:lvlText w:val="(%2)"/>
      <w:numFmt w:val="lowerLetter"/>
      <w:start w:val="2"/>
    </w:lvl>
  </w:abstractNum>
  <w:abstractNum w:abstractNumId="119">
    <w:nsid w:val="10DB9DAA"/>
    <w:multiLevelType w:val="hybridMultilevel"/>
    <w:lvl w:ilvl="0">
      <w:lvlJc w:val="left"/>
      <w:lvlText w:val="(%1)"/>
      <w:numFmt w:val="decimal"/>
      <w:start w:val="3"/>
    </w:lvl>
    <w:lvl w:ilvl="1">
      <w:lvlJc w:val="left"/>
      <w:lvlText w:val="%2"/>
      <w:numFmt w:val="lowerLetter"/>
      <w:start w:val="1"/>
    </w:lvl>
  </w:abstractNum>
  <w:abstractNum w:abstractNumId="120">
    <w:nsid w:val="697D2D2"/>
    <w:multiLevelType w:val="hybridMultilevel"/>
    <w:lvl w:ilvl="0">
      <w:lvlJc w:val="left"/>
      <w:lvlText w:val="(%1)"/>
      <w:numFmt w:val="lowerLetter"/>
      <w:start w:val="1"/>
    </w:lvl>
  </w:abstractNum>
  <w:abstractNum w:abstractNumId="121">
    <w:nsid w:val="6D68AB2"/>
    <w:multiLevelType w:val="hybridMultilevel"/>
    <w:lvl w:ilvl="0">
      <w:lvlJc w:val="left"/>
      <w:lvlText w:val="(%1)"/>
      <w:numFmt w:val="lowerLetter"/>
      <w:start w:val="10"/>
    </w:lvl>
  </w:abstractNum>
  <w:abstractNum w:abstractNumId="122">
    <w:nsid w:val="3A966CD0"/>
    <w:multiLevelType w:val="hybridMultilevel"/>
    <w:lvl w:ilvl="0">
      <w:lvlJc w:val="left"/>
      <w:lvlText w:val="(%1)"/>
      <w:numFmt w:val="lowerLetter"/>
      <w:start w:val="14"/>
    </w:lvl>
  </w:abstractNum>
  <w:abstractNum w:abstractNumId="123">
    <w:nsid w:val="63F37E85"/>
    <w:multiLevelType w:val="hybridMultilevel"/>
    <w:lvl w:ilvl="0">
      <w:lvlJc w:val="left"/>
      <w:lvlText w:val="(%1)"/>
      <w:numFmt w:val="lowerLetter"/>
      <w:start w:val="1"/>
    </w:lvl>
  </w:abstractNum>
  <w:abstractNum w:abstractNumId="124">
    <w:nsid w:val="5895F5FA"/>
    <w:multiLevelType w:val="hybridMultilevel"/>
    <w:lvl w:ilvl="0">
      <w:lvlJc w:val="left"/>
      <w:lvlText w:val="(%1)"/>
      <w:numFmt w:val="lowerLetter"/>
      <w:start w:val="7"/>
    </w:lvl>
  </w:abstractNum>
  <w:abstractNum w:abstractNumId="125">
    <w:nsid w:val="38A5D054"/>
    <w:multiLevelType w:val="hybridMultilevel"/>
    <w:lvl w:ilvl="0">
      <w:lvlJc w:val="left"/>
      <w:lvlText w:val="(%1)"/>
      <w:numFmt w:val="lowerLetter"/>
      <w:start w:val="1"/>
    </w:lvl>
  </w:abstractNum>
  <w:abstractNum w:abstractNumId="126">
    <w:nsid w:val="F3F09D8"/>
    <w:multiLevelType w:val="hybridMultilevel"/>
    <w:lvl w:ilvl="0">
      <w:lvlJc w:val="left"/>
      <w:lvlText w:val="%1"/>
      <w:numFmt w:val="lowerLetter"/>
      <w:start w:val="1"/>
    </w:lvl>
    <w:lvl w:ilvl="1">
      <w:lvlJc w:val="left"/>
      <w:lvlText w:val="(%2)"/>
      <w:numFmt w:val="lowerLetter"/>
      <w:start w:val="5"/>
    </w:lvl>
  </w:abstractNum>
  <w:abstractNum w:abstractNumId="127">
    <w:nsid w:val="4B793735"/>
    <w:multiLevelType w:val="hybridMultilevel"/>
    <w:lvl w:ilvl="0">
      <w:lvlJc w:val="left"/>
      <w:lvlText w:val="(%1)"/>
      <w:numFmt w:val="lowerLetter"/>
      <w:start w:val="35"/>
    </w:lvl>
    <w:lvl w:ilvl="1">
      <w:lvlJc w:val="left"/>
      <w:lvlText w:val="(%2)"/>
      <w:numFmt w:val="lowerLetter"/>
      <w:start w:val="8"/>
    </w:lvl>
  </w:abstractNum>
  <w:abstractNum w:abstractNumId="128">
    <w:nsid w:val="4A10B4E8"/>
    <w:multiLevelType w:val="hybridMultilevel"/>
    <w:lvl w:ilvl="0">
      <w:lvlJc w:val="left"/>
      <w:lvlText w:val="(%1)"/>
      <w:numFmt w:val="lowerLetter"/>
      <w:start w:val="11"/>
    </w:lvl>
  </w:abstractNum>
  <w:abstractNum w:abstractNumId="129">
    <w:nsid w:val="43D3BCD4"/>
    <w:multiLevelType w:val="hybridMultilevel"/>
    <w:lvl w:ilvl="0">
      <w:lvlJc w:val="left"/>
      <w:lvlText w:val="(%1)"/>
      <w:numFmt w:val="lowerLetter"/>
      <w:start w:val="1"/>
    </w:lvl>
  </w:abstractNum>
  <w:abstractNum w:abstractNumId="130">
    <w:nsid w:val="4C2A7166"/>
    <w:multiLevelType w:val="hybridMultilevel"/>
    <w:lvl w:ilvl="0">
      <w:lvlJc w:val="left"/>
      <w:lvlText w:val="(%1)"/>
      <w:numFmt w:val="lowerLetter"/>
      <w:start w:val="3"/>
    </w:lvl>
  </w:abstractNum>
  <w:abstractNum w:abstractNumId="131">
    <w:nsid w:val="2E534A82"/>
    <w:multiLevelType w:val="hybridMultilevel"/>
    <w:lvl w:ilvl="0">
      <w:lvlJc w:val="left"/>
      <w:lvlText w:val="(%1)"/>
      <w:numFmt w:val="lowerLetter"/>
      <w:start w:val="6"/>
    </w:lvl>
  </w:abstractNum>
  <w:abstractNum w:abstractNumId="132">
    <w:nsid w:val="26F2D364"/>
    <w:multiLevelType w:val="hybridMultilevel"/>
    <w:lvl w:ilvl="0">
      <w:lvlJc w:val="left"/>
      <w:lvlText w:val="(%1)"/>
      <w:numFmt w:val="lowerRoman"/>
      <w:start w:val="4"/>
    </w:lvl>
  </w:abstractNum>
  <w:abstractNum w:abstractNumId="133">
    <w:nsid w:val="71C1AF98"/>
    <w:multiLevelType w:val="hybridMultilevel"/>
    <w:lvl w:ilvl="0">
      <w:lvlJc w:val="left"/>
      <w:lvlText w:val="(%1)"/>
      <w:numFmt w:val="lowerRoman"/>
      <w:start w:val="10"/>
    </w:lvl>
  </w:abstractNum>
  <w:abstractNum w:abstractNumId="134">
    <w:nsid w:val="3D00B9D9"/>
    <w:multiLevelType w:val="hybridMultilevel"/>
    <w:lvl w:ilvl="0">
      <w:lvlJc w:val="left"/>
      <w:lvlText w:val="(%1)"/>
      <w:numFmt w:val="lowerLetter"/>
      <w:start w:val="1"/>
    </w:lvl>
  </w:abstractNum>
  <w:abstractNum w:abstractNumId="135">
    <w:nsid w:val="15BCABA8"/>
    <w:multiLevelType w:val="hybridMultilevel"/>
    <w:lvl w:ilvl="0">
      <w:lvlJc w:val="left"/>
      <w:lvlText w:val="(%1)"/>
      <w:numFmt w:val="lowerLetter"/>
      <w:start w:val="5"/>
    </w:lvl>
  </w:abstractNum>
  <w:abstractNum w:abstractNumId="136">
    <w:nsid w:val="4E0B9A87"/>
    <w:multiLevelType w:val="hybridMultilevel"/>
    <w:lvl w:ilvl="0">
      <w:lvlJc w:val="left"/>
      <w:lvlText w:val="(%1)"/>
      <w:numFmt w:val="lowerLetter"/>
      <w:start w:val="1"/>
    </w:lvl>
  </w:abstractNum>
  <w:abstractNum w:abstractNumId="137">
    <w:nsid w:val="434BAE75"/>
    <w:multiLevelType w:val="hybridMultilevel"/>
    <w:lvl w:ilvl="0">
      <w:lvlJc w:val="left"/>
      <w:lvlText w:val="(%1)"/>
      <w:numFmt w:val="lowerLetter"/>
      <w:start w:val="2"/>
    </w:lvl>
  </w:abstractNum>
  <w:abstractNum w:abstractNumId="138">
    <w:nsid w:val="4F38F26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9">
    <w:nsid w:val="4C502870"/>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40">
    <w:nsid w:val="1DE8725A"/>
    <w:multiLevelType w:val="hybridMultilevel"/>
    <w:lvl w:ilvl="0">
      <w:lvlJc w:val="left"/>
      <w:lvlText w:val="(%1)"/>
      <w:numFmt w:val="lowerRoman"/>
      <w:start w:val="2"/>
    </w:lvl>
  </w:abstractNum>
  <w:abstractNum w:abstractNumId="141">
    <w:nsid w:val="6A37288A"/>
    <w:multiLevelType w:val="hybridMultilevel"/>
    <w:lvl w:ilvl="0">
      <w:lvlJc w:val="left"/>
      <w:lvlText w:val="(%1)"/>
      <w:numFmt w:val="lowerRoman"/>
      <w:start w:val="10"/>
    </w:lvl>
  </w:abstractNum>
  <w:abstractNum w:abstractNumId="142">
    <w:nsid w:val="8F8B73F"/>
    <w:multiLevelType w:val="hybridMultilevel"/>
    <w:lvl w:ilvl="0">
      <w:lvlJc w:val="left"/>
      <w:lvlText w:val="(%1)"/>
      <w:numFmt w:val="lowerRoman"/>
      <w:start w:val="2"/>
    </w:lvl>
  </w:abstractNum>
  <w:abstractNum w:abstractNumId="143">
    <w:nsid w:val="CA6B462"/>
    <w:multiLevelType w:val="hybridMultilevel"/>
    <w:lvl w:ilvl="0">
      <w:lvlJc w:val="left"/>
      <w:lvlText w:val="(%1)"/>
      <w:numFmt w:val="lowerLetter"/>
      <w:start w:val="1"/>
    </w:lvl>
  </w:abstractNum>
  <w:abstractNum w:abstractNumId="144">
    <w:nsid w:val="763CB680"/>
    <w:multiLevelType w:val="hybridMultilevel"/>
    <w:lvl w:ilvl="0">
      <w:lvlJc w:val="left"/>
      <w:lvlText w:val="%1"/>
      <w:numFmt w:val="lowerLetter"/>
      <w:start w:val="1"/>
    </w:lvl>
    <w:lvl w:ilvl="1">
      <w:lvlJc w:val="left"/>
      <w:lvlText w:val="(%2)"/>
      <w:numFmt w:val="lowerLetter"/>
      <w:start w:val="3"/>
    </w:lvl>
  </w:abstractNum>
  <w:abstractNum w:abstractNumId="145">
    <w:nsid w:val="15B71329"/>
    <w:multiLevelType w:val="hybridMultilevel"/>
    <w:lvl w:ilvl="0">
      <w:lvlJc w:val="left"/>
      <w:lvlText w:val="(%1)"/>
      <w:numFmt w:val="lowerLetter"/>
      <w:start w:val="2"/>
    </w:lvl>
    <w:lvl w:ilvl="1">
      <w:lvlJc w:val="left"/>
      <w:lvlText w:val="(%2)"/>
      <w:numFmt w:val="lowerLetter"/>
      <w:start w:val="4"/>
    </w:lvl>
  </w:abstractNum>
  <w:abstractNum w:abstractNumId="146">
    <w:nsid w:val="3DA97044"/>
    <w:multiLevelType w:val="hybridMultilevel"/>
    <w:lvl w:ilvl="0">
      <w:lvlJc w:val="left"/>
      <w:lvlText w:val="%1"/>
      <w:numFmt w:val="lowerLetter"/>
      <w:start w:val="1"/>
    </w:lvl>
    <w:lvl w:ilvl="1">
      <w:lvlJc w:val="left"/>
      <w:lvlText w:val="(%2)"/>
      <w:numFmt w:val="lowerLetter"/>
      <w:start w:val="7"/>
    </w:lvl>
  </w:abstractNum>
  <w:abstractNum w:abstractNumId="147">
    <w:nsid w:val="1CDCE2DE"/>
    <w:multiLevelType w:val="hybridMultilevel"/>
    <w:lvl w:ilvl="0">
      <w:lvlJc w:val="left"/>
      <w:lvlText w:val="(%1)"/>
      <w:numFmt w:val="lowerLetter"/>
      <w:start w:val="35"/>
    </w:lvl>
    <w:lvl w:ilvl="1">
      <w:lvlJc w:val="left"/>
      <w:lvlText w:val="(%2)"/>
      <w:numFmt w:val="lowerLetter"/>
      <w:start w:val="10"/>
    </w:lvl>
  </w:abstractNum>
  <w:abstractNum w:abstractNumId="148">
    <w:nsid w:val="69D3947C"/>
    <w:multiLevelType w:val="hybridMultilevel"/>
    <w:lvl w:ilvl="0">
      <w:lvlJc w:val="left"/>
      <w:lvlText w:val="(%1)"/>
      <w:numFmt w:val="lowerLetter"/>
      <w:start w:val="13"/>
    </w:lvl>
  </w:abstractNum>
  <w:abstractNum w:abstractNumId="149">
    <w:nsid w:val="2539DFA5"/>
    <w:multiLevelType w:val="hybridMultilevel"/>
    <w:lvl w:ilvl="0">
      <w:lvlJc w:val="left"/>
      <w:lvlText w:val="(%1)"/>
      <w:numFmt w:val="lowerLetter"/>
      <w:start w:val="1"/>
    </w:lvl>
  </w:abstractNum>
  <w:abstractNum w:abstractNumId="150">
    <w:nsid w:val="2DB88089"/>
    <w:multiLevelType w:val="hybridMultilevel"/>
    <w:lvl w:ilvl="0">
      <w:lvlJc w:val="left"/>
      <w:lvlText w:val="(%1)"/>
      <w:numFmt w:val="lowerLetter"/>
      <w:start w:val="1"/>
    </w:lvl>
  </w:abstractNum>
  <w:abstractNum w:abstractNumId="151">
    <w:nsid w:val="706B674E"/>
    <w:multiLevelType w:val="hybridMultilevel"/>
    <w:lvl w:ilvl="0">
      <w:lvlJc w:val="left"/>
      <w:lvlText w:val="(%1)"/>
      <w:numFmt w:val="lowerLetter"/>
      <w:start w:val="2"/>
    </w:lvl>
  </w:abstractNum>
  <w:abstractNum w:abstractNumId="152">
    <w:nsid w:val="2C106A57"/>
    <w:multiLevelType w:val="hybridMultilevel"/>
    <w:lvl w:ilvl="0">
      <w:lvlJc w:val="left"/>
      <w:lvlText w:val="(%1)"/>
      <w:numFmt w:val="lowerLetter"/>
      <w:start w:val="1"/>
    </w:lvl>
  </w:abstractNum>
  <w:abstractNum w:abstractNumId="153">
    <w:nsid w:val="684EED59"/>
    <w:multiLevelType w:val="hybridMultilevel"/>
    <w:lvl w:ilvl="0">
      <w:lvlJc w:val="left"/>
      <w:lvlText w:val="(%1)"/>
      <w:numFmt w:val="lowerLetter"/>
      <w:start w:val="1"/>
    </w:lvl>
  </w:abstractNum>
  <w:abstractNum w:abstractNumId="154">
    <w:nsid w:val="545EE5D3"/>
    <w:multiLevelType w:val="hybridMultilevel"/>
    <w:lvl w:ilvl="0">
      <w:lvlJc w:val="left"/>
      <w:lvlText w:val="(%1)"/>
      <w:numFmt w:val="lowerLetter"/>
      <w:start w:val="2"/>
    </w:lvl>
  </w:abstractNum>
  <w:abstractNum w:abstractNumId="155">
    <w:nsid w:val="4A66051"/>
    <w:multiLevelType w:val="hybridMultilevel"/>
    <w:lvl w:ilvl="0">
      <w:lvlJc w:val="left"/>
      <w:lvlText w:val="(%1)"/>
      <w:numFmt w:val="lowerLetter"/>
      <w:start w:val="1"/>
    </w:lvl>
  </w:abstractNum>
  <w:abstractNum w:abstractNumId="156">
    <w:nsid w:val="20F4BDAD"/>
    <w:multiLevelType w:val="hybridMultilevel"/>
    <w:lvl w:ilvl="0">
      <w:lvlJc w:val="left"/>
      <w:lvlText w:val="(%1)"/>
      <w:numFmt w:val="lowerLetter"/>
      <w:start w:val="1"/>
    </w:lvl>
    <w:lvl w:ilvl="1">
      <w:lvlJc w:val="left"/>
      <w:lvlText w:val="(%2)"/>
      <w:numFmt w:val="lowerRoman"/>
      <w:start w:val="1"/>
    </w:lvl>
  </w:abstractNum>
  <w:abstractNum w:abstractNumId="157">
    <w:nsid w:val="639DEFAC"/>
    <w:multiLevelType w:val="hybridMultilevel"/>
    <w:lvl w:ilvl="0">
      <w:lvlJc w:val="left"/>
      <w:lvlText w:val="(%1)"/>
      <w:numFmt w:val="lowerLetter"/>
      <w:start w:val="2"/>
    </w:lvl>
  </w:abstractNum>
  <w:abstractNum w:abstractNumId="158">
    <w:nsid w:val="501F9786"/>
    <w:multiLevelType w:val="hybridMultilevel"/>
    <w:lvl w:ilvl="0">
      <w:lvlJc w:val="left"/>
      <w:lvlText w:val="(%1)"/>
      <w:numFmt w:val="lowerLetter"/>
      <w:start w:val="1"/>
    </w:lvl>
    <w:lvl w:ilvl="1">
      <w:lvlJc w:val="left"/>
      <w:lvlText w:val="(%2)"/>
      <w:numFmt w:val="lowerRoman"/>
      <w:start w:val="1"/>
    </w:lvl>
  </w:abstractNum>
  <w:abstractNum w:abstractNumId="159">
    <w:nsid w:val="6B057295"/>
    <w:multiLevelType w:val="hybridMultilevel"/>
    <w:lvl w:ilvl="0">
      <w:lvlJc w:val="left"/>
      <w:lvlText w:val="(%1)"/>
      <w:numFmt w:val="lowerLetter"/>
      <w:start w:val="2"/>
    </w:lvl>
  </w:abstractNum>
  <w:abstractNum w:abstractNumId="160">
    <w:nsid w:val="2771AC80"/>
    <w:multiLevelType w:val="hybridMultilevel"/>
    <w:lvl w:ilvl="0">
      <w:lvlJc w:val="left"/>
      <w:lvlText w:val="(%1)"/>
      <w:numFmt w:val="lowerLetter"/>
      <w:start w:val="3"/>
    </w:lvl>
  </w:abstractNum>
  <w:abstractNum w:abstractNumId="161">
    <w:nsid w:val="1C4A08EC"/>
    <w:multiLevelType w:val="hybridMultilevel"/>
    <w:lvl w:ilvl="0">
      <w:lvlJc w:val="left"/>
      <w:lvlText w:val="(%1)"/>
      <w:numFmt w:val="lowerLetter"/>
      <w:start w:val="1"/>
    </w:lvl>
  </w:abstractNum>
  <w:abstractNum w:abstractNumId="162">
    <w:nsid w:val="1958BD17"/>
    <w:multiLevelType w:val="hybridMultilevel"/>
    <w:lvl w:ilvl="0">
      <w:lvlJc w:val="left"/>
      <w:lvlText w:val="(%1)"/>
      <w:numFmt w:val="lowerLetter"/>
      <w:start w:val="22"/>
    </w:lvl>
    <w:lvl w:ilvl="1">
      <w:lvlJc w:val="left"/>
      <w:lvlText w:val="(%2)"/>
      <w:numFmt w:val="lowerLetter"/>
      <w:start w:val="3"/>
    </w:lvl>
  </w:abstractNum>
  <w:abstractNum w:abstractNumId="163">
    <w:nsid w:val="4E647FE4"/>
    <w:multiLevelType w:val="hybridMultilevel"/>
    <w:lvl w:ilvl="0">
      <w:lvlJc w:val="left"/>
      <w:lvlText w:val="(%1)"/>
      <w:numFmt w:val="lowerLetter"/>
      <w:start w:val="1"/>
    </w:lvl>
  </w:abstractNum>
  <w:abstractNum w:abstractNumId="164">
    <w:nsid w:val="E0BB885"/>
    <w:multiLevelType w:val="hybridMultilevel"/>
    <w:lvl w:ilvl="0">
      <w:lvlJc w:val="left"/>
      <w:lvlText w:val="(%1)"/>
      <w:numFmt w:val="lowerLetter"/>
      <w:start w:val="2"/>
    </w:lvl>
    <w:lvl w:ilvl="1">
      <w:lvlJc w:val="left"/>
      <w:lvlText w:val="(%2)"/>
      <w:numFmt w:val="lowerLetter"/>
      <w:start w:val="9"/>
    </w:lvl>
  </w:abstractNum>
  <w:abstractNum w:abstractNumId="165">
    <w:nsid w:val="565976F1"/>
    <w:multiLevelType w:val="hybridMultilevel"/>
    <w:lvl w:ilvl="0">
      <w:lvlJc w:val="left"/>
      <w:lvlText w:val="(%1)"/>
      <w:numFmt w:val="upperLetter"/>
      <w:start w:val="1"/>
    </w:lvl>
  </w:abstractNum>
  <w:abstractNum w:abstractNumId="166">
    <w:nsid w:val="64212B8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167">
    <w:nsid w:val="5C17530C"/>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168">
    <w:nsid w:val="19A52566"/>
    <w:multiLevelType w:val="hybridMultilevel"/>
    <w:lvl w:ilvl="0">
      <w:lvlJc w:val="left"/>
      <w:lvlText w:val="(%1)"/>
      <w:numFmt w:val="upperLetter"/>
      <w:start w:val="2"/>
    </w:lvl>
    <w:lvl w:ilvl="1">
      <w:lvlJc w:val="left"/>
      <w:lvlText w:val="%2"/>
      <w:numFmt w:val="lowerRoman"/>
      <w:start w:val="1"/>
    </w:lvl>
    <w:lvl w:ilvl="2">
      <w:lvlJc w:val="left"/>
      <w:lvlText w:val="(%3)"/>
      <w:numFmt w:val="decimal"/>
    </w:lvl>
    <w:lvl w:ilvl="3">
      <w:lvlJc w:val="left"/>
      <w:lvlText w:val="(%4)"/>
      <w:numFmt w:val="upperLetter"/>
      <w:start w:val="1"/>
    </w:lvl>
  </w:abstractNum>
  <w:abstractNum w:abstractNumId="169">
    <w:nsid w:val="335A1DF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170">
    <w:nsid w:val="28677B7C"/>
    <w:multiLevelType w:val="hybridMultilevel"/>
    <w:lvl w:ilvl="0">
      <w:lvlJc w:val="left"/>
      <w:lvlText w:val="%1"/>
      <w:numFmt w:val="upp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171">
    <w:nsid w:val="378D97C0"/>
    <w:multiLevelType w:val="hybridMultilevel"/>
    <w:lvl w:ilvl="0">
      <w:lvlJc w:val="left"/>
      <w:lvlText w:val="%1"/>
      <w:numFmt w:val="lowerRoman"/>
      <w:start w:val="1"/>
    </w:lvl>
    <w:lvl w:ilvl="1">
      <w:lvlJc w:val="left"/>
      <w:lvlText w:val="(%2)"/>
      <w:numFmt w:val="lowerRoman"/>
      <w:start w:val="6"/>
    </w:lvl>
  </w:abstractNum>
  <w:abstractNum w:abstractNumId="172">
    <w:nsid w:val="1D91467C"/>
    <w:multiLevelType w:val="hybridMultilevel"/>
    <w:lvl w:ilvl="0">
      <w:lvlJc w:val="left"/>
      <w:lvlText w:val="(%1)"/>
      <w:numFmt w:val="lowerRoman"/>
      <w:start w:val="10"/>
    </w:lvl>
    <w:lvl w:ilvl="1">
      <w:lvlJc w:val="left"/>
      <w:lvlText w:val="%2"/>
      <w:numFmt w:val="lowerRoman"/>
      <w:start w:val="1"/>
    </w:lvl>
  </w:abstractNum>
  <w:abstractNum w:abstractNumId="173">
    <w:nsid w:val="316032BB"/>
    <w:multiLevelType w:val="hybridMultilevel"/>
    <w:lvl w:ilvl="0">
      <w:lvlJc w:val="left"/>
      <w:lvlText w:val="(%1)"/>
      <w:numFmt w:val="lowerLetter"/>
      <w:start w:val="3"/>
    </w:lvl>
  </w:abstractNum>
  <w:abstractNum w:abstractNumId="174">
    <w:nsid w:val="44344C22"/>
    <w:multiLevelType w:val="hybridMultilevel"/>
    <w:lvl w:ilvl="0">
      <w:lvlJc w:val="left"/>
      <w:lvlText w:val="(%1)"/>
      <w:numFmt w:val="lowerLetter"/>
      <w:start w:val="5"/>
    </w:lvl>
  </w:abstractNum>
  <w:abstractNum w:abstractNumId="175">
    <w:nsid w:val="13CDFCFC"/>
    <w:multiLevelType w:val="hybridMultilevel"/>
    <w:lvl w:ilvl="0">
      <w:lvlJc w:val="left"/>
      <w:lvlText w:val="(%1)"/>
      <w:numFmt w:val="lowerLetter"/>
      <w:start w:val="4"/>
    </w:lvl>
  </w:abstractNum>
  <w:abstractNum w:abstractNumId="176">
    <w:nsid w:val="471745E4"/>
    <w:multiLevelType w:val="hybridMultilevel"/>
    <w:lvl w:ilvl="0">
      <w:lvlJc w:val="left"/>
      <w:lvlText w:val="(%1)"/>
      <w:numFmt w:val="lowerLetter"/>
      <w:start w:val="6"/>
    </w:lvl>
  </w:abstractNum>
  <w:abstractNum w:abstractNumId="177">
    <w:nsid w:val="1DDBC66"/>
    <w:multiLevelType w:val="hybridMultilevel"/>
    <w:lvl w:ilvl="0">
      <w:lvlJc w:val="left"/>
      <w:lvlText w:val="(%1)"/>
      <w:numFmt w:val="lowerLetter"/>
      <w:start w:val="35"/>
    </w:lvl>
  </w:abstractNum>
  <w:abstractNum w:abstractNumId="178">
    <w:nsid w:val="30AADFDA"/>
    <w:multiLevelType w:val="hybridMultilevel"/>
    <w:lvl w:ilvl="0">
      <w:lvlJc w:val="left"/>
      <w:lvlText w:val="(%1)"/>
      <w:numFmt w:val="lowerLetter"/>
      <w:start w:val="25"/>
    </w:lvl>
  </w:abstractNum>
  <w:abstractNum w:abstractNumId="179">
    <w:nsid w:val="30EADA61"/>
    <w:multiLevelType w:val="hybridMultilevel"/>
    <w:lvl w:ilvl="0">
      <w:lvlJc w:val="left"/>
      <w:lvlText w:val="(%1)"/>
      <w:numFmt w:val="lowerLetter"/>
      <w:start w:val="1"/>
    </w:lvl>
  </w:abstractNum>
  <w:abstractNum w:abstractNumId="180">
    <w:nsid w:val="27179C0B"/>
    <w:multiLevelType w:val="hybridMultilevel"/>
    <w:lvl w:ilvl="0">
      <w:lvlJc w:val="left"/>
      <w:lvlText w:val="(%1)"/>
      <w:numFmt w:val="lowerLetter"/>
      <w:start w:val="1"/>
    </w:lvl>
  </w:abstractNum>
  <w:abstractNum w:abstractNumId="181">
    <w:nsid w:val="5E636063"/>
    <w:multiLevelType w:val="hybridMultilevel"/>
    <w:lvl w:ilvl="0">
      <w:lvlJc w:val="left"/>
      <w:lvlText w:val="(%1)"/>
      <w:numFmt w:val="lowerRoman"/>
      <w:start w:val="3"/>
    </w:lvl>
  </w:abstractNum>
  <w:abstractNum w:abstractNumId="182">
    <w:nsid w:val="215641AF"/>
    <w:multiLevelType w:val="hybridMultilevel"/>
    <w:lvl w:ilvl="0">
      <w:lvlJc w:val="left"/>
      <w:lvlText w:val="1"/>
      <w:numFmt w:val="bullet"/>
      <w:start w:val="1"/>
    </w:lvl>
  </w:abstractNum>
  <w:abstractNum w:abstractNumId="183">
    <w:nsid w:val="53280662"/>
    <w:multiLevelType w:val="hybridMultilevel"/>
    <w:lvl w:ilvl="0">
      <w:lvlJc w:val="left"/>
      <w:lvlText w:val="%1."/>
      <w:numFmt w:val="decimal"/>
      <w:start w:val="1"/>
    </w:lvl>
  </w:abstractNum>
  <w:abstractNum w:abstractNumId="184">
    <w:nsid w:val="46B24DBC"/>
    <w:multiLevelType w:val="hybridMultilevel"/>
    <w:lvl w:ilvl="0">
      <w:lvlJc w:val="left"/>
      <w:lvlText w:val="%1."/>
      <w:numFmt w:val="decimal"/>
      <w:start w:val="4"/>
    </w:lvl>
    <w:lvl w:ilvl="1">
      <w:lvlJc w:val="left"/>
      <w:lvlText w:val="(%2)"/>
      <w:numFmt w:val="lowerLetter"/>
      <w:start w:val="1"/>
    </w:lvl>
  </w:abstractNum>
  <w:abstractNum w:abstractNumId="185">
    <w:nsid w:val="75B52783"/>
    <w:multiLevelType w:val="hybridMultilevel"/>
    <w:lvl w:ilvl="0">
      <w:lvlJc w:val="left"/>
      <w:lvlText w:val="(%1)"/>
      <w:numFmt w:val="lowerRoman"/>
      <w:start w:val="1"/>
    </w:lvl>
  </w:abstractNum>
  <w:abstractNum w:abstractNumId="186">
    <w:nsid w:val="57CE66B4"/>
    <w:multiLevelType w:val="hybridMultilevel"/>
    <w:lvl w:ilvl="0">
      <w:lvlJc w:val="left"/>
      <w:lvlText w:val="%1"/>
      <w:numFmt w:val="lowerLetter"/>
      <w:start w:val="1"/>
    </w:lvl>
    <w:lvl w:ilvl="1">
      <w:lvlJc w:val="left"/>
      <w:lvlText w:val="(%2)"/>
      <w:numFmt w:val="lowerLetter"/>
      <w:start w:val="8"/>
    </w:lvl>
  </w:abstractNum>
  <w:abstractNum w:abstractNumId="187">
    <w:nsid w:val="67A70B69"/>
    <w:multiLevelType w:val="hybridMultilevel"/>
    <w:lvl w:ilvl="0">
      <w:lvlJc w:val="left"/>
      <w:lvlText w:val="(%1)"/>
      <w:numFmt w:val="lowerLetter"/>
      <w:start w:val="61"/>
    </w:lvl>
    <w:lvl w:ilvl="1">
      <w:lvlJc w:val="left"/>
      <w:lvlText w:val="%2"/>
      <w:numFmt w:val="lowerLetter"/>
      <w:start w:val="1"/>
    </w:lvl>
  </w:abstractNum>
  <w:abstractNum w:abstractNumId="188">
    <w:nsid w:val="5953172F"/>
    <w:multiLevelType w:val="hybridMultilevel"/>
    <w:lvl w:ilvl="0">
      <w:lvlJc w:val="left"/>
      <w:lvlText w:val="(%1)"/>
      <w:numFmt w:val="lowerLetter"/>
      <w:start w:val="22"/>
    </w:lvl>
    <w:lvl w:ilvl="1">
      <w:lvlJc w:val="left"/>
      <w:lvlText w:val="%2"/>
      <w:numFmt w:val="lowerLetter"/>
      <w:start w:val="1"/>
    </w:lvl>
  </w:abstractNum>
  <w:abstractNum w:abstractNumId="189">
    <w:nsid w:val="27EDFE3A"/>
    <w:multiLevelType w:val="hybridMultilevel"/>
    <w:lvl w:ilvl="0">
      <w:lvlJc w:val="left"/>
      <w:lvlText w:val="%1."/>
      <w:numFmt w:val="decimal"/>
      <w:start w:val="5"/>
    </w:lvl>
  </w:abstractNum>
  <w:abstractNum w:abstractNumId="190">
    <w:nsid w:val="52AC7DFF"/>
    <w:multiLevelType w:val="hybridMultilevel"/>
    <w:lvl w:ilvl="0">
      <w:lvlJc w:val="left"/>
      <w:lvlText w:val="%1."/>
      <w:numFmt w:val="decimal"/>
      <w:start w:val="1"/>
    </w:lvl>
  </w:abstractNum>
  <w:abstractNum w:abstractNumId="191">
    <w:nsid w:val="C4C3AF"/>
    <w:multiLevelType w:val="hybridMultilevel"/>
    <w:lvl w:ilvl="0">
      <w:lvlJc w:val="left"/>
      <w:lvlText w:val="%1."/>
      <w:numFmt w:val="decimal"/>
      <w:start w:val="6"/>
    </w:lvl>
  </w:abstractNum>
  <w:abstractNum w:abstractNumId="192">
    <w:nsid w:val="44380727"/>
    <w:multiLevelType w:val="hybridMultilevel"/>
    <w:lvl w:ilvl="0">
      <w:lvlJc w:val="left"/>
      <w:lvlText w:val="%1."/>
      <w:numFmt w:val="decimal"/>
      <w:start w:val="7"/>
    </w:lvl>
  </w:abstractNum>
  <w:abstractNum w:abstractNumId="193">
    <w:nsid w:val="6C053B16"/>
    <w:multiLevelType w:val="hybridMultilevel"/>
    <w:lvl w:ilvl="0">
      <w:lvlJc w:val="left"/>
      <w:lvlText w:val="5"/>
      <w:numFmt w:val="bullet"/>
      <w:start w:val="1"/>
    </w:lvl>
  </w:abstractNum>
  <w:abstractNum w:abstractNumId="194">
    <w:nsid w:val="4F294393"/>
    <w:multiLevelType w:val="hybridMultilevel"/>
    <w:lvl w:ilvl="0">
      <w:lvlJc w:val="left"/>
      <w:lvlText w:val="8"/>
      <w:numFmt w:val="bullet"/>
      <w:start w:val="1"/>
    </w:lvl>
  </w:abstractNum>
  <w:abstractNum w:abstractNumId="195">
    <w:nsid w:val="5243BFAC"/>
    <w:multiLevelType w:val="hybridMultilevel"/>
    <w:lvl w:ilvl="0">
      <w:lvlJc w:val="left"/>
      <w:lvlText w:val="%1."/>
      <w:numFmt w:val="decimal"/>
      <w:start w:val="1"/>
    </w:lvl>
  </w:abstractNum>
  <w:abstractNum w:abstractNumId="196">
    <w:nsid w:val="425EB207"/>
    <w:multiLevelType w:val="hybridMultilevel"/>
    <w:lvl w:ilvl="0">
      <w:lvlJc w:val="left"/>
      <w:lvlText w:val="(%1)"/>
      <w:numFmt w:val="lowerRoman"/>
      <w:start w:val="7"/>
    </w:lvl>
  </w:abstractNum>
  <w:abstractNum w:abstractNumId="197">
    <w:nsid w:val="334A6F1F"/>
    <w:multiLevelType w:val="hybridMultilevel"/>
    <w:lvl w:ilvl="0">
      <w:lvlJc w:val="left"/>
      <w:lvlText w:val="%1."/>
      <w:numFmt w:val="decimal"/>
      <w:start w:val="2"/>
    </w:lvl>
  </w:abstractNum>
  <w:abstractNum w:abstractNumId="198">
    <w:nsid w:val="2E5B12B8"/>
    <w:multiLevelType w:val="hybridMultilevel"/>
    <w:lvl w:ilvl="0">
      <w:lvlJc w:val="left"/>
      <w:lvlText w:val="%1."/>
      <w:numFmt w:val="decimal"/>
      <w:start w:val="2"/>
    </w:lvl>
  </w:abstractNum>
  <w:abstractNum w:abstractNumId="199">
    <w:nsid w:val="5C03D76D"/>
    <w:multiLevelType w:val="hybridMultilevel"/>
    <w:lvl w:ilvl="0">
      <w:lvlJc w:val="left"/>
      <w:lvlText w:val="%1."/>
      <w:numFmt w:val="decimal"/>
      <w:start w:val="3"/>
    </w:lvl>
  </w:abstractNum>
  <w:abstractNum w:abstractNumId="200">
    <w:nsid w:val="66A48D11"/>
    <w:multiLevelType w:val="hybridMultilevel"/>
    <w:lvl w:ilvl="0">
      <w:lvlJc w:val="left"/>
      <w:lvlText w:val="%1."/>
      <w:numFmt w:val="decimal"/>
      <w:start w:val="4"/>
    </w:lvl>
  </w:abstractNum>
  <w:abstractNum w:abstractNumId="201">
    <w:nsid w:val="56C28E34"/>
    <w:multiLevelType w:val="hybridMultilevel"/>
    <w:lvl w:ilvl="0">
      <w:lvlJc w:val="left"/>
      <w:lvlText w:val="%1."/>
      <w:numFmt w:val="decimal"/>
      <w:start w:val="1"/>
    </w:lvl>
  </w:abstractNum>
  <w:abstractNum w:abstractNumId="202">
    <w:nsid w:val="13916F2D"/>
    <w:multiLevelType w:val="hybridMultilevel"/>
    <w:lvl w:ilvl="0">
      <w:lvlJc w:val="left"/>
      <w:lvlText w:val="%1."/>
      <w:numFmt w:val="decimal"/>
      <w:start w:val="1"/>
    </w:lvl>
    <w:lvl w:ilvl="1">
      <w:lvlJc w:val="left"/>
      <w:lvlText w:val="(%2)"/>
      <w:numFmt w:val="lowerLetter"/>
      <w:start w:val="1"/>
    </w:lvl>
  </w:abstractNum>
  <w:abstractNum w:abstractNumId="203">
    <w:nsid w:val="435D38D"/>
    <w:multiLevelType w:val="hybridMultilevel"/>
    <w:lvl w:ilvl="0">
      <w:lvlJc w:val="left"/>
      <w:lvlText w:val="%1."/>
      <w:numFmt w:val="decimal"/>
      <w:start w:val="2"/>
    </w:lvl>
    <w:lvl w:ilvl="1">
      <w:lvlJc w:val="left"/>
      <w:lvlText w:val="(%2)"/>
      <w:numFmt w:val="lowerLetter"/>
      <w:start w:val="1"/>
    </w:lvl>
  </w:abstractNum>
  <w:abstractNum w:abstractNumId="204">
    <w:nsid w:val="822C0EF"/>
    <w:multiLevelType w:val="hybridMultilevel"/>
    <w:lvl w:ilvl="0">
      <w:lvlJc w:val="left"/>
      <w:lvlText w:val="(%1)"/>
      <w:numFmt w:val="lowerLetter"/>
      <w:start w:val="5"/>
    </w:lvl>
  </w:abstractNum>
  <w:abstractNum w:abstractNumId="205">
    <w:nsid w:val="57C5BB4F"/>
    <w:multiLevelType w:val="hybridMultilevel"/>
    <w:lvl w:ilvl="0">
      <w:lvlJc w:val="left"/>
      <w:lvlText w:val="(%1)"/>
      <w:numFmt w:val="lowerLetter"/>
      <w:start w:val="13"/>
    </w:lvl>
  </w:abstractNum>
  <w:abstractNum w:abstractNumId="206">
    <w:nsid w:val="1803D089"/>
    <w:multiLevelType w:val="hybridMultilevel"/>
    <w:lvl w:ilvl="0">
      <w:lvlJc w:val="left"/>
      <w:lvlText w:val="(%1)"/>
      <w:numFmt w:val="lowerLetter"/>
      <w:start w:val="27"/>
    </w:lvl>
  </w:abstractNum>
  <w:abstractNum w:abstractNumId="207">
    <w:nsid w:val="4F3A06D4"/>
    <w:multiLevelType w:val="hybridMultilevel"/>
    <w:lvl w:ilvl="0">
      <w:lvlJc w:val="left"/>
      <w:lvlText w:val="(%1)"/>
      <w:numFmt w:val="lowerRoman"/>
      <w:start w:val="2"/>
    </w:lvl>
  </w:abstractNum>
  <w:abstractNum w:abstractNumId="208">
    <w:nsid w:val="59A377B6"/>
    <w:multiLevelType w:val="hybridMultilevel"/>
    <w:lvl w:ilvl="0">
      <w:lvlJc w:val="left"/>
      <w:lvlText w:val="%1."/>
      <w:numFmt w:val="decimal"/>
      <w:start w:val="3"/>
    </w:lvl>
    <w:lvl w:ilvl="1">
      <w:lvlJc w:val="left"/>
      <w:lvlText w:val="(%2)"/>
      <w:numFmt w:val="lowerLetter"/>
      <w:start w:val="1"/>
    </w:lvl>
  </w:abstractNum>
  <w:abstractNum w:abstractNumId="209">
    <w:nsid w:val="48AEB063"/>
    <w:multiLevelType w:val="hybridMultilevel"/>
    <w:lvl w:ilvl="0">
      <w:lvlJc w:val="left"/>
      <w:lvlText w:val="%1."/>
      <w:numFmt w:val="decimal"/>
      <w:start w:val="4"/>
    </w:lvl>
    <w:lvl w:ilvl="1">
      <w:lvlJc w:val="left"/>
      <w:lvlText w:val="(%2)"/>
      <w:numFmt w:val="lowerLetter"/>
      <w:start w:val="1"/>
    </w:lvl>
  </w:abstractNum>
  <w:abstractNum w:abstractNumId="210">
    <w:nsid w:val="24E135"/>
    <w:multiLevelType w:val="hybridMultilevel"/>
    <w:lvl w:ilvl="0">
      <w:lvlJc w:val="left"/>
      <w:lvlText w:val="(%1)"/>
      <w:numFmt w:val="lowerLetter"/>
      <w:start w:val="7"/>
    </w:lvl>
  </w:abstractNum>
  <w:abstractNum w:abstractNumId="211">
    <w:nsid w:val="BB13C1"/>
    <w:multiLevelType w:val="hybridMultilevel"/>
    <w:lvl w:ilvl="0">
      <w:lvlJc w:val="left"/>
      <w:lvlText w:val="%1"/>
      <w:numFmt w:val="decimal"/>
      <w:start w:val="1"/>
    </w:lvl>
    <w:lvl w:ilvl="1">
      <w:lvlJc w:val="left"/>
      <w:lvlText w:val="(%2)"/>
      <w:numFmt w:val="lowerLetter"/>
      <w:start w:val="8"/>
    </w:lvl>
  </w:abstractNum>
  <w:abstractNum w:abstractNumId="212">
    <w:nsid w:val="271210C7"/>
    <w:multiLevelType w:val="hybridMultilevel"/>
    <w:lvl w:ilvl="0">
      <w:lvlJc w:val="left"/>
      <w:lvlText w:val="%1."/>
      <w:numFmt w:val="decimal"/>
      <w:start w:val="5"/>
    </w:lvl>
    <w:lvl w:ilvl="1">
      <w:lvlJc w:val="left"/>
      <w:lvlText w:val="(%2)"/>
      <w:numFmt w:val="lowerLetter"/>
      <w:start w:val="1"/>
    </w:lvl>
  </w:abstractNum>
  <w:abstractNum w:abstractNumId="213">
    <w:nsid w:val="217B22E4"/>
    <w:multiLevelType w:val="hybridMultilevel"/>
    <w:lvl w:ilvl="0">
      <w:lvlJc w:val="left"/>
      <w:lvlText w:val="(%1)"/>
      <w:numFmt w:val="lowerLetter"/>
      <w:start w:val="4"/>
    </w:lvl>
  </w:abstractNum>
  <w:abstractNum w:abstractNumId="214">
    <w:nsid w:val="53E31A24"/>
    <w:multiLevelType w:val="hybridMultilevel"/>
    <w:lvl w:ilvl="0">
      <w:lvlJc w:val="left"/>
      <w:lvlText w:val="%1"/>
      <w:numFmt w:val="lowerLetter"/>
      <w:start w:val="1"/>
    </w:lvl>
    <w:lvl w:ilvl="1">
      <w:lvlJc w:val="left"/>
      <w:lvlText w:val="(%2)"/>
      <w:numFmt w:val="lowerLetter"/>
      <w:start w:val="5"/>
    </w:lvl>
  </w:abstractNum>
  <w:abstractNum w:abstractNumId="215">
    <w:nsid w:val="6DC45E83"/>
    <w:multiLevelType w:val="hybridMultilevel"/>
    <w:lvl w:ilvl="0">
      <w:lvlJc w:val="left"/>
      <w:lvlText w:val="(%1)"/>
      <w:numFmt w:val="lowerLetter"/>
      <w:start w:val="9"/>
    </w:lvl>
    <w:lvl w:ilvl="1">
      <w:lvlJc w:val="left"/>
      <w:lvlText w:val="%2"/>
      <w:numFmt w:val="lowerLetter"/>
      <w:start w:val="1"/>
    </w:lvl>
  </w:abstractNum>
  <w:abstractNum w:abstractNumId="216">
    <w:nsid w:val="17304A6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17">
    <w:nsid w:val="2BB180D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8">
    <w:nsid w:val="556B69ED"/>
    <w:multiLevelType w:val="hybridMultilevel"/>
    <w:lvl w:ilvl="0">
      <w:lvlJc w:val="left"/>
      <w:lvlText w:val="(%1)"/>
      <w:numFmt w:val="lowerLetter"/>
      <w:start w:val="2"/>
    </w:lvl>
    <w:lvl w:ilvl="1">
      <w:lvlJc w:val="left"/>
      <w:lvlText w:val="(%2)"/>
      <w:numFmt w:val="lowerRoman"/>
      <w:start w:val="1"/>
    </w:lvl>
  </w:abstractNum>
  <w:abstractNum w:abstractNumId="219">
    <w:nsid w:val="70836196"/>
    <w:multiLevelType w:val="hybridMultilevel"/>
    <w:lvl w:ilvl="0">
      <w:lvlJc w:val="left"/>
      <w:lvlText w:val="%1"/>
      <w:numFmt w:val="lowerLetter"/>
      <w:start w:val="1"/>
    </w:lvl>
    <w:lvl w:ilvl="1">
      <w:lvlJc w:val="left"/>
      <w:lvlText w:val="(%2)"/>
      <w:numFmt w:val="lowerLetter"/>
      <w:start w:val="61"/>
    </w:lvl>
  </w:abstractNum>
  <w:abstractNum w:abstractNumId="220">
    <w:nsid w:val="539F7F12"/>
    <w:multiLevelType w:val="hybridMultilevel"/>
    <w:lvl w:ilvl="0">
      <w:lvlJc w:val="left"/>
      <w:lvlText w:val="(%1)"/>
      <w:numFmt w:val="lowerLetter"/>
      <w:start w:val="3"/>
    </w:lvl>
    <w:lvl w:ilvl="1">
      <w:lvlJc w:val="left"/>
      <w:lvlText w:val="%2"/>
      <w:numFmt w:val="lowerLetter"/>
      <w:start w:val="1"/>
    </w:lvl>
  </w:abstractNum>
  <w:abstractNum w:abstractNumId="221">
    <w:nsid w:val="2817E7EC"/>
    <w:multiLevelType w:val="hybridMultilevel"/>
    <w:lvl w:ilvl="0">
      <w:lvlJc w:val="left"/>
      <w:lvlText w:val="%1"/>
      <w:numFmt w:val="decimal"/>
      <w:start w:val="1"/>
    </w:lvl>
    <w:lvl w:ilvl="1">
      <w:lvlJc w:val="left"/>
      <w:lvlText w:val="(%2)"/>
      <w:numFmt w:val="lowerLetter"/>
      <w:start w:val="6"/>
    </w:lvl>
  </w:abstractNum>
  <w:abstractNum w:abstractNumId="222">
    <w:nsid w:val="71482545"/>
    <w:multiLevelType w:val="hybridMultilevel"/>
    <w:lvl w:ilvl="0">
      <w:lvlJc w:val="left"/>
      <w:lvlText w:val="%1."/>
      <w:numFmt w:val="decimal"/>
      <w:start w:val="7"/>
    </w:lvl>
    <w:lvl w:ilvl="1">
      <w:lvlJc w:val="left"/>
      <w:lvlText w:val="(%2)"/>
      <w:numFmt w:val="lowerLetter"/>
      <w:start w:val="1"/>
    </w:lvl>
  </w:abstractNum>
  <w:abstractNum w:abstractNumId="223">
    <w:nsid w:val="17D78639"/>
    <w:multiLevelType w:val="hybridMultilevel"/>
    <w:lvl w:ilvl="0">
      <w:lvlJc w:val="left"/>
      <w:lvlText w:val="(%1)"/>
      <w:numFmt w:val="lowerLetter"/>
      <w:start w:val="2"/>
    </w:lvl>
  </w:abstractNum>
  <w:abstractNum w:abstractNumId="224">
    <w:nsid w:val="141D2302"/>
    <w:multiLevelType w:val="hybridMultilevel"/>
    <w:lvl w:ilvl="0">
      <w:lvlJc w:val="left"/>
      <w:lvlText w:val="(%1)"/>
      <w:numFmt w:val="lowerLetter"/>
      <w:start w:val="61"/>
    </w:lvl>
    <w:lvl w:ilvl="1">
      <w:lvlJc w:val="left"/>
      <w:lvlText w:val="(%2)"/>
      <w:numFmt w:val="lowerLetter"/>
      <w:start w:val="3"/>
    </w:lvl>
  </w:abstractNum>
  <w:abstractNum w:abstractNumId="225">
    <w:nsid w:val="407168D8"/>
    <w:multiLevelType w:val="hybridMultilevel"/>
    <w:lvl w:ilvl="0">
      <w:lvlJc w:val="left"/>
      <w:lvlText w:val="%1."/>
      <w:numFmt w:val="decimal"/>
      <w:start w:val="9"/>
    </w:lvl>
    <w:lvl w:ilvl="1">
      <w:lvlJc w:val="left"/>
      <w:lvlText w:val="(%2)"/>
      <w:numFmt w:val="lowerLetter"/>
      <w:start w:val="1"/>
    </w:lvl>
  </w:abstractNum>
  <w:abstractNum w:abstractNumId="226">
    <w:nsid w:val="6A1B45E5"/>
    <w:multiLevelType w:val="hybridMultilevel"/>
    <w:lvl w:ilvl="0">
      <w:lvlJc w:val="left"/>
      <w:lvlText w:val="(%1)"/>
      <w:numFmt w:val="lowerRoman"/>
      <w:start w:val="1"/>
    </w:lvl>
  </w:abstractNum>
  <w:abstractNum w:abstractNumId="227">
    <w:nsid w:val="567BD50A"/>
    <w:multiLevelType w:val="hybridMultilevel"/>
    <w:lvl w:ilvl="0">
      <w:lvlJc w:val="left"/>
      <w:lvlText w:val="(%1)"/>
      <w:numFmt w:val="lowerRoman"/>
      <w:start w:val="12"/>
    </w:lvl>
  </w:abstractNum>
  <w:abstractNum w:abstractNumId="228">
    <w:nsid w:val="73BBD7F8"/>
    <w:multiLevelType w:val="hybridMultilevel"/>
    <w:lvl w:ilvl="0">
      <w:lvlJc w:val="left"/>
      <w:lvlText w:val="(%1)"/>
      <w:numFmt w:val="lowerLetter"/>
      <w:start w:val="2"/>
    </w:lvl>
  </w:abstractNum>
  <w:abstractNum w:abstractNumId="229">
    <w:nsid w:val="1876589D"/>
    <w:multiLevelType w:val="hybridMultilevel"/>
    <w:lvl w:ilvl="0">
      <w:lvlJc w:val="left"/>
      <w:lvlText w:val="%1."/>
      <w:numFmt w:val="decimal"/>
      <w:start w:val="10"/>
    </w:lvl>
    <w:lvl w:ilvl="1">
      <w:lvlJc w:val="left"/>
      <w:lvlText w:val="(%2)"/>
      <w:numFmt w:val="lowerLetter"/>
      <w:start w:val="1"/>
    </w:lvl>
  </w:abstractNum>
  <w:abstractNum w:abstractNumId="230">
    <w:nsid w:val="327FAC77"/>
    <w:multiLevelType w:val="hybridMultilevel"/>
    <w:lvl w:ilvl="0">
      <w:lvlJc w:val="left"/>
      <w:lvlText w:val="%1."/>
      <w:numFmt w:val="decimal"/>
      <w:start w:val="15"/>
    </w:lvl>
  </w:abstractNum>
  <w:abstractNum w:abstractNumId="231">
    <w:nsid w:val="5A606509"/>
    <w:multiLevelType w:val="hybridMultilevel"/>
    <w:lvl w:ilvl="0">
      <w:lvlJc w:val="left"/>
      <w:lvlText w:val="%1."/>
      <w:numFmt w:val="decimal"/>
      <w:start w:val="22"/>
    </w:lvl>
  </w:abstractNum>
  <w:abstractNum w:abstractNumId="232">
    <w:nsid w:val="6F38E6D1"/>
    <w:multiLevelType w:val="hybridMultilevel"/>
    <w:lvl w:ilvl="0">
      <w:lvlJc w:val="left"/>
      <w:lvlText w:val="%1"/>
      <w:numFmt w:val="decimal"/>
      <w:start w:val="1"/>
    </w:lvl>
    <w:lvl w:ilvl="1">
      <w:lvlJc w:val="left"/>
      <w:lvlText w:val="(%2)"/>
      <w:numFmt w:val="lowerLetter"/>
      <w:start w:val="1"/>
    </w:lvl>
  </w:abstractNum>
  <w:abstractNum w:abstractNumId="233">
    <w:nsid w:val="46111BA5"/>
    <w:multiLevelType w:val="hybridMultilevel"/>
    <w:lvl w:ilvl="0">
      <w:lvlJc w:val="left"/>
      <w:lvlText w:val="%1."/>
      <w:numFmt w:val="decimal"/>
      <w:start w:val="24"/>
    </w:lvl>
    <w:lvl w:ilvl="1">
      <w:lvlJc w:val="left"/>
      <w:lvlText w:val="%2"/>
      <w:numFmt w:val="lowerLetter"/>
      <w:start w:val="1"/>
    </w:lvl>
  </w:abstractNum>
  <w:abstractNum w:abstractNumId="234">
    <w:nsid w:val="5E963896"/>
    <w:multiLevelType w:val="hybridMultilevel"/>
    <w:lvl w:ilvl="0">
      <w:lvlJc w:val="left"/>
      <w:lvlText w:val="%1."/>
      <w:numFmt w:val="decimal"/>
      <w:start w:val="1"/>
    </w:lvl>
    <w:lvl w:ilvl="1">
      <w:lvlJc w:val="left"/>
      <w:lvlText w:val="(%2)"/>
      <w:numFmt w:val="lowerLetter"/>
      <w:start w:val="1"/>
    </w:lvl>
  </w:abstractNum>
  <w:abstractNum w:abstractNumId="235">
    <w:nsid w:val="775BA7C1"/>
    <w:multiLevelType w:val="hybridMultilevel"/>
    <w:lvl w:ilvl="0">
      <w:lvlJc w:val="left"/>
      <w:lvlText w:val="%1."/>
      <w:numFmt w:val="decimal"/>
      <w:start w:val="2"/>
    </w:lvl>
    <w:lvl w:ilvl="1">
      <w:lvlJc w:val="left"/>
      <w:lvlText w:val="(%2)"/>
      <w:numFmt w:val="lowerLetter"/>
      <w:start w:val="1"/>
    </w:lvl>
  </w:abstractNum>
  <w:abstractNum w:abstractNumId="236">
    <w:nsid w:val="1DD6D6F4"/>
    <w:multiLevelType w:val="hybridMultilevel"/>
    <w:lvl w:ilvl="0">
      <w:lvlJc w:val="left"/>
      <w:lvlText w:val="(%1)"/>
      <w:numFmt w:val="lowerRoman"/>
      <w:start w:val="1"/>
    </w:lvl>
  </w:abstractNum>
  <w:abstractNum w:abstractNumId="237">
    <w:nsid w:val="769A091F"/>
    <w:multiLevelType w:val="hybridMultilevel"/>
    <w:lvl w:ilvl="0">
      <w:lvlJc w:val="left"/>
      <w:lvlText w:val="%1"/>
      <w:numFmt w:val="lowerLetter"/>
      <w:start w:val="1"/>
    </w:lvl>
    <w:lvl w:ilvl="1">
      <w:lvlJc w:val="left"/>
      <w:lvlText w:val="(%2)"/>
      <w:numFmt w:val="lowerLetter"/>
      <w:start w:val="35"/>
    </w:lvl>
  </w:abstractNum>
  <w:abstractNum w:abstractNumId="238">
    <w:nsid w:val="4695AE95"/>
    <w:multiLevelType w:val="hybridMultilevel"/>
    <w:lvl w:ilvl="0">
      <w:lvlJc w:val="left"/>
      <w:lvlText w:val="(%1)"/>
      <w:numFmt w:val="lowerLetter"/>
      <w:start w:val="2"/>
    </w:lvl>
    <w:lvl w:ilvl="1">
      <w:lvlJc w:val="left"/>
      <w:lvlText w:val="%2"/>
      <w:numFmt w:val="lowerLetter"/>
      <w:start w:val="1"/>
    </w:lvl>
  </w:abstractNum>
  <w:abstractNum w:abstractNumId="239">
    <w:nsid w:val="777A4EAA"/>
    <w:multiLevelType w:val="hybridMultilevel"/>
    <w:lvl w:ilvl="0">
      <w:lvlJc w:val="left"/>
      <w:lvlText w:val="%1."/>
      <w:numFmt w:val="decimal"/>
      <w:start w:val="3"/>
    </w:lvl>
    <w:lvl w:ilvl="1">
      <w:lvlJc w:val="left"/>
      <w:lvlText w:val="(%2)"/>
      <w:numFmt w:val="lowerLetter"/>
      <w:start w:val="1"/>
    </w:lvl>
  </w:abstractNum>
  <w:abstractNum w:abstractNumId="240">
    <w:nsid w:val="3F48B982"/>
    <w:multiLevelType w:val="hybridMultilevel"/>
    <w:lvl w:ilvl="0">
      <w:lvlJc w:val="left"/>
      <w:lvlText w:val="%1"/>
      <w:numFmt w:val="lowerRoman"/>
      <w:start w:val="1"/>
    </w:lvl>
    <w:lvl w:ilvl="1">
      <w:lvlJc w:val="left"/>
      <w:lvlText w:val="(%2)"/>
      <w:numFmt w:val="lowerLetter"/>
      <w:start w:val="2"/>
    </w:lvl>
  </w:abstractNum>
  <w:abstractNum w:abstractNumId="241">
    <w:nsid w:val="46BA8FCA"/>
    <w:multiLevelType w:val="hybridMultilevel"/>
    <w:lvl w:ilvl="0">
      <w:lvlJc w:val="left"/>
      <w:lvlText w:val="(%1)"/>
      <w:numFmt w:val="lowerRoman"/>
      <w:start w:val="4"/>
    </w:lvl>
    <w:lvl w:ilvl="1">
      <w:lvlJc w:val="left"/>
      <w:lvlText w:val="(%2)"/>
      <w:numFmt w:val="lowerLetter"/>
      <w:start w:val="3"/>
    </w:lvl>
  </w:abstractNum>
  <w:abstractNum w:abstractNumId="242">
    <w:nsid w:val="7835626C"/>
    <w:multiLevelType w:val="hybridMultilevel"/>
    <w:lvl w:ilvl="0">
      <w:lvlJc w:val="left"/>
      <w:lvlText w:val="%1."/>
      <w:numFmt w:val="decimal"/>
      <w:start w:val="5"/>
    </w:lvl>
  </w:abstractNum>
  <w:abstractNum w:abstractNumId="243">
    <w:nsid w:val="665ACA49"/>
    <w:multiLevelType w:val="hybridMultilevel"/>
    <w:lvl w:ilvl="0">
      <w:lvlJc w:val="left"/>
      <w:lvlText w:val="(%1)"/>
      <w:numFmt w:val="lowerLetter"/>
      <w:start w:val="1"/>
    </w:lvl>
  </w:abstractNum>
  <w:abstractNum w:abstractNumId="244">
    <w:nsid w:val="6835B2AE"/>
    <w:multiLevelType w:val="hybridMultilevel"/>
    <w:lvl w:ilvl="0">
      <w:lvlJc w:val="left"/>
      <w:lvlText w:val="%1"/>
      <w:numFmt w:val="lowerLetter"/>
      <w:start w:val="1"/>
    </w:lvl>
    <w:lvl w:ilvl="1">
      <w:lvlJc w:val="left"/>
      <w:lvlText w:val="(%2)"/>
      <w:numFmt w:val="lowerLetter"/>
      <w:start w:val="5"/>
    </w:lvl>
  </w:abstractNum>
  <w:abstractNum w:abstractNumId="245">
    <w:nsid w:val="4C187C90"/>
    <w:multiLevelType w:val="hybridMultilevel"/>
    <w:lvl w:ilvl="0">
      <w:lvlJc w:val="left"/>
      <w:lvlText w:val="(%1)"/>
      <w:numFmt w:val="lowerLetter"/>
      <w:start w:val="35"/>
    </w:lvl>
    <w:lvl w:ilvl="1">
      <w:lvlJc w:val="left"/>
      <w:lvlText w:val="(%2)"/>
      <w:numFmt w:val="lowerLetter"/>
      <w:start w:val="7"/>
    </w:lvl>
  </w:abstractNum>
  <w:abstractNum w:abstractNumId="246">
    <w:nsid w:val="541F28CD"/>
    <w:multiLevelType w:val="hybridMultilevel"/>
    <w:lvl w:ilvl="0">
      <w:lvlJc w:val="left"/>
      <w:lvlText w:val="%1."/>
      <w:numFmt w:val="decimal"/>
      <w:start w:val="6"/>
    </w:lvl>
    <w:lvl w:ilvl="1">
      <w:lvlJc w:val="left"/>
      <w:lvlText w:val="(%2)"/>
      <w:numFmt w:val="lowerLetter"/>
      <w:start w:val="1"/>
    </w:lvl>
  </w:abstractNum>
  <w:abstractNum w:abstractNumId="247">
    <w:nsid w:val="7F65FD16"/>
    <w:multiLevelType w:val="hybridMultilevel"/>
    <w:lvl w:ilvl="0">
      <w:lvlJc w:val="left"/>
      <w:lvlText w:val="(%1)"/>
      <w:numFmt w:val="lowerLetter"/>
      <w:start w:val="3"/>
    </w:lvl>
  </w:abstractNum>
  <w:abstractNum w:abstractNumId="248">
    <w:nsid w:val="77C9FD68"/>
    <w:multiLevelType w:val="hybridMultilevel"/>
    <w:lvl w:ilvl="0">
      <w:lvlJc w:val="left"/>
      <w:lvlText w:val="%1."/>
      <w:numFmt w:val="decimal"/>
      <w:start w:val="7"/>
    </w:lvl>
    <w:lvl w:ilvl="1">
      <w:lvlJc w:val="left"/>
      <w:lvlText w:val="(%2)"/>
      <w:numFmt w:val="lowerLetter"/>
      <w:start w:val="1"/>
    </w:lvl>
  </w:abstractNum>
  <w:abstractNum w:abstractNumId="249">
    <w:nsid w:val="298A92BA"/>
    <w:multiLevelType w:val="hybridMultilevel"/>
    <w:lvl w:ilvl="0">
      <w:lvlJc w:val="left"/>
      <w:lvlText w:val="%1"/>
      <w:numFmt w:val="decimal"/>
      <w:start w:val="1"/>
    </w:lvl>
    <w:lvl w:ilvl="1">
      <w:lvlJc w:val="left"/>
      <w:lvlText w:val="(%2)"/>
      <w:numFmt w:val="lowerLetter"/>
      <w:start w:val="2"/>
    </w:lvl>
  </w:abstractNum>
  <w:abstractNum w:abstractNumId="250">
    <w:nsid w:val="6FE95EAC"/>
    <w:multiLevelType w:val="hybridMultilevel"/>
    <w:lvl w:ilvl="0">
      <w:lvlJc w:val="left"/>
      <w:lvlText w:val="(%1)"/>
      <w:numFmt w:val="decimal"/>
      <w:start w:val="10"/>
    </w:lvl>
    <w:lvl w:ilvl="1">
      <w:lvlJc w:val="left"/>
      <w:lvlText w:val="(%2)"/>
      <w:numFmt w:val="lowerLetter"/>
      <w:start w:val="3"/>
    </w:lvl>
  </w:abstractNum>
  <w:abstractNum w:abstractNumId="251">
    <w:nsid w:val="4B697C7A"/>
    <w:multiLevelType w:val="hybridMultilevel"/>
    <w:lvl w:ilvl="0">
      <w:lvlJc w:val="left"/>
      <w:lvlText w:val="(%1)"/>
      <w:numFmt w:val="lowerLetter"/>
      <w:start w:val="5"/>
    </w:lvl>
  </w:abstractNum>
  <w:abstractNum w:abstractNumId="252">
    <w:nsid w:val="51A27AA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53">
    <w:nsid w:val="613183F2"/>
    <w:multiLevelType w:val="hybridMultilevel"/>
    <w:lvl w:ilvl="0">
      <w:lvlJc w:val="left"/>
      <w:lvlText w:val="(%1)"/>
      <w:numFmt w:val="lowerRoman"/>
      <w:start w:val="9"/>
    </w:lvl>
  </w:abstractNum>
  <w:abstractNum w:abstractNumId="254">
    <w:nsid w:val="634102B4"/>
    <w:multiLevelType w:val="hybridMultilevel"/>
    <w:lvl w:ilvl="0">
      <w:lvlJc w:val="left"/>
      <w:lvlText w:val="(%1)"/>
      <w:numFmt w:val="lowerLetter"/>
      <w:start w:val="2"/>
    </w:lvl>
  </w:abstractNum>
  <w:abstractNum w:abstractNumId="255">
    <w:nsid w:val="65BF9DA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56">
    <w:nsid w:val="21A2ECCA"/>
    <w:multiLevelType w:val="hybridMultilevel"/>
    <w:lvl w:ilvl="0">
      <w:lvlJc w:val="left"/>
      <w:lvlText w:val="%1"/>
      <w:numFmt w:val="decimal"/>
      <w:start w:val="1"/>
    </w:lvl>
    <w:lvl w:ilvl="1">
      <w:lvlJc w:val="left"/>
      <w:lvlText w:val="(%2)"/>
      <w:numFmt w:val="lowerLetter"/>
      <w:start w:val="6"/>
    </w:lvl>
  </w:abstractNum>
  <w:abstractNum w:abstractNumId="257">
    <w:nsid w:val="4D5C4899"/>
    <w:multiLevelType w:val="hybridMultilevel"/>
    <w:lvl w:ilvl="0">
      <w:lvlJc w:val="left"/>
      <w:lvlText w:val="%1."/>
      <w:numFmt w:val="decimal"/>
      <w:start w:val="10"/>
    </w:lvl>
    <w:lvl w:ilvl="1">
      <w:lvlJc w:val="left"/>
      <w:lvlText w:val="(%2)"/>
      <w:numFmt w:val="lowerLetter"/>
      <w:start w:val="1"/>
    </w:lvl>
  </w:abstractNum>
  <w:abstractNum w:abstractNumId="258">
    <w:nsid w:val="3C3B72B2"/>
    <w:multiLevelType w:val="hybridMultilevel"/>
    <w:lvl w:ilvl="0">
      <w:lvlJc w:val="left"/>
      <w:lvlText w:val="%1."/>
      <w:numFmt w:val="decimal"/>
      <w:start w:val="12"/>
    </w:lvl>
  </w:abstractNum>
  <w:abstractNum w:abstractNumId="259">
    <w:nsid w:val="155EC4C2"/>
    <w:multiLevelType w:val="hybridMultilevel"/>
    <w:lvl w:ilvl="0">
      <w:lvlJc w:val="left"/>
      <w:lvlText w:val="%1."/>
      <w:numFmt w:val="decimal"/>
      <w:start w:val="13"/>
    </w:lvl>
  </w:abstractNum>
  <w:abstractNum w:abstractNumId="260">
    <w:nsid w:val="65D2A137"/>
    <w:multiLevelType w:val="hybridMultilevel"/>
    <w:lvl w:ilvl="0">
      <w:lvlJc w:val="left"/>
      <w:lvlText w:val="%1."/>
      <w:numFmt w:val="decimal"/>
      <w:start w:val="22"/>
    </w:lvl>
    <w:lvl w:ilvl="1">
      <w:lvlJc w:val="left"/>
      <w:lvlText w:val="(%2)"/>
      <w:numFmt w:val="lowerLetter"/>
      <w:start w:val="1"/>
    </w:lvl>
  </w:abstractNum>
  <w:abstractNum w:abstractNumId="261">
    <w:nsid w:val="6EBB1F2A"/>
    <w:multiLevelType w:val="hybridMultilevel"/>
    <w:lvl w:ilvl="0">
      <w:lvlJc w:val="left"/>
      <w:lvlText w:val="%1."/>
      <w:numFmt w:val="decimal"/>
      <w:start w:val="24"/>
    </w:lvl>
  </w:abstractNum>
  <w:abstractNum w:abstractNumId="262">
    <w:nsid w:val="6FBF29CB"/>
    <w:multiLevelType w:val="hybridMultilevel"/>
    <w:lvl w:ilvl="0">
      <w:lvlJc w:val="left"/>
      <w:lvlText w:val="%1."/>
      <w:numFmt w:val="decimal"/>
      <w:start w:val="1"/>
    </w:lvl>
    <w:lvl w:ilvl="1">
      <w:lvlJc w:val="left"/>
      <w:lvlText w:val="(%2)"/>
      <w:numFmt w:val="lowerLetter"/>
      <w:start w:val="1"/>
    </w:lvl>
  </w:abstractNum>
  <w:abstractNum w:abstractNumId="263">
    <w:nsid w:val="550B8808"/>
    <w:multiLevelType w:val="hybridMultilevel"/>
    <w:lvl w:ilvl="0">
      <w:lvlJc w:val="left"/>
      <w:lvlText w:val="(%1)"/>
      <w:numFmt w:val="lowerLetter"/>
      <w:start w:val="2"/>
    </w:lvl>
  </w:abstractNum>
  <w:abstractNum w:abstractNumId="264">
    <w:nsid w:val="34CC3ACF"/>
    <w:multiLevelType w:val="hybridMultilevel"/>
    <w:lvl w:ilvl="0">
      <w:lvlJc w:val="left"/>
      <w:lvlText w:val="(%1)"/>
      <w:numFmt w:val="lowerLetter"/>
      <w:start w:val="4"/>
    </w:lvl>
  </w:abstractNum>
  <w:abstractNum w:abstractNumId="265">
    <w:nsid w:val="4E55626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266">
    <w:nsid w:val="4C672FC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6"/>
    </w:lvl>
  </w:abstractNum>
  <w:abstractNum w:abstractNumId="267">
    <w:nsid w:val="52A311C3"/>
    <w:multiLevelType w:val="hybridMultilevel"/>
    <w:lvl w:ilvl="0">
      <w:lvlJc w:val="left"/>
      <w:lvlText w:val="%1."/>
      <w:numFmt w:val="decimal"/>
      <w:start w:val="3"/>
    </w:lvl>
  </w:abstractNum>
  <w:abstractNum w:abstractNumId="268">
    <w:nsid w:val="44EF6B80"/>
    <w:multiLevelType w:val="hybridMultilevel"/>
    <w:lvl w:ilvl="0">
      <w:lvlJc w:val="left"/>
      <w:lvlText w:val="%1."/>
      <w:numFmt w:val="decimal"/>
      <w:start w:val="4"/>
    </w:lvl>
    <w:lvl w:ilvl="1">
      <w:lvlJc w:val="left"/>
      <w:lvlText w:val="(%2)"/>
      <w:numFmt w:val="lowerLetter"/>
      <w:start w:val="1"/>
    </w:lvl>
  </w:abstractNum>
  <w:abstractNum w:abstractNumId="269">
    <w:nsid w:val="12FCDE5E"/>
    <w:multiLevelType w:val="hybridMultilevel"/>
    <w:lvl w:ilvl="0">
      <w:lvlJc w:val="left"/>
      <w:lvlText w:val="(%1)"/>
      <w:numFmt w:val="lowerLetter"/>
      <w:start w:val="7"/>
    </w:lvl>
  </w:abstractNum>
  <w:abstractNum w:abstractNumId="270">
    <w:nsid w:val="4A1D606E"/>
    <w:multiLevelType w:val="hybridMultilevel"/>
    <w:lvl w:ilvl="0">
      <w:lvlJc w:val="left"/>
      <w:lvlText w:val="%1."/>
      <w:numFmt w:val="decimal"/>
      <w:start w:val="1"/>
    </w:lvl>
    <w:lvl w:ilvl="1">
      <w:lvlJc w:val="left"/>
      <w:lvlText w:val="%2)"/>
      <w:numFmt w:val="lowerLetter"/>
      <w:start w:val="1"/>
    </w:lvl>
  </w:abstractNum>
  <w:abstractNum w:abstractNumId="271">
    <w:nsid w:val="4382503"/>
    <w:multiLevelType w:val="hybridMultilevel"/>
    <w:lvl w:ilvl="0">
      <w:lvlJc w:val="left"/>
      <w:lvlText w:val="%1."/>
      <w:numFmt w:val="decimal"/>
      <w:start w:val="1"/>
    </w:lvl>
    <w:lvl w:ilvl="1">
      <w:lvlJc w:val="left"/>
      <w:lvlText w:val="%2)"/>
      <w:numFmt w:val="lowerLetter"/>
      <w:start w:val="1"/>
    </w:lvl>
  </w:abstractNum>
  <w:abstractNum w:abstractNumId="272">
    <w:nsid w:val="59B76E28"/>
    <w:multiLevelType w:val="hybridMultilevel"/>
    <w:lvl w:ilvl="0">
      <w:lvlJc w:val="left"/>
      <w:lvlText w:val="(%1)"/>
      <w:numFmt w:val="decimal"/>
      <w:start w:val="1"/>
    </w:lvl>
  </w:abstractNum>
  <w:abstractNum w:abstractNumId="273">
    <w:nsid w:val="4252C2D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2019-12-29T10:45:30Z</dcterms:created>
  <dcterms:modified xsi:type="dcterms:W3CDTF">2019-12-29T10:45:30Z</dcterms:modified>
</cp:coreProperties>
</file>