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22,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85"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60"/>
          </w:cols>
          <w:pgMar w:left="240" w:top="544" w:right="279" w:bottom="185" w:gutter="0" w:footer="0" w:header="0"/>
          <w:type w:val="continuous"/>
        </w:sectPr>
      </w:pPr>
    </w:p>
    <w:p>
      <w:pPr>
        <w:spacing w:after="0" w:line="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600" w:space="720"/>
            <w:col w:w="2060"/>
          </w:cols>
          <w:pgMar w:left="240" w:top="544" w:right="279" w:bottom="185"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40" w:firstLine="648"/>
        <w:spacing w:after="0" w:line="273" w:lineRule="auto"/>
        <w:rPr>
          <w:sz w:val="20"/>
          <w:szCs w:val="20"/>
          <w:color w:val="auto"/>
        </w:rPr>
      </w:pPr>
      <w:r>
        <w:rPr>
          <w:rFonts w:ascii="Arial" w:cs="Arial" w:eastAsia="Arial" w:hAnsi="Arial"/>
          <w:sz w:val="17"/>
          <w:szCs w:val="17"/>
          <w:color w:val="auto"/>
        </w:rPr>
        <w:t>On April 22, 2015, Veracyte, Inc. (the “Company”) entered into a Securities Purchase Agreement (the “Purchase Agreement”) with certain accredited investors (the “Investors”) pursuant to which the Company, in a private placement, agreed to issue and sell to the Investors an aggregate of 4,907,975 shares of the Company’s common stock, par value $0.001 per share (the “Common Stock”) at a price of $8.15 per share, for gross proceeds to the Company of approximately $40 million (the “Private Placement”). The Private Placement is expected to close on or about April 27, 2015, subject to the satisfaction of customary closing conditions. Under the Purchase Agreement, the Company has agreed to use the net proceeds from the Private Placement for research and development, commercialization, working capital and general corporate purposes.</w:t>
      </w:r>
    </w:p>
    <w:p>
      <w:pPr>
        <w:spacing w:after="0" w:line="178"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the sale of the Common Stock in the Private Placement, the Company entered into a Registration Rights Agreement with the Investors, dated as of April 22, 2015 (the “Registration Rights Agreement”), pursuant to which the Company has agreed to file a registration statement with the Securities and Exchange Commission (the “SEC”) covering the resale of the Common Stock sold in the Private Placement. The Company has agreed to file the registration statement within 30 days of the closing of the Private Placement. The Registration Rights Agreement includes customary indemnification rights in connection with the registration statement.</w:t>
      </w:r>
    </w:p>
    <w:p>
      <w:pPr>
        <w:spacing w:after="0" w:line="188" w:lineRule="exact"/>
        <w:rPr>
          <w:sz w:val="24"/>
          <w:szCs w:val="24"/>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foregoing summary descriptions of the Purchase Agreement and the Registration Rights Agreement do not purport to be complete and are qualified in their entirety by reference to the Purchase Agreement and the Registration Rights Agreement, which are attached as Exhibits 10.1 and 10.2 hereto, respectively, and incorporated herein by reference.</w:t>
      </w:r>
    </w:p>
    <w:p>
      <w:pPr>
        <w:spacing w:after="0" w:line="181"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The representations, warranties and covenants contained in the Purchase Agreement and the Registration Rights Agreement were made solely for the benefit of the parties to the Purchase Agreement and the Registration Rights Agreement and may be subject to limitations agreed upon by the contracting parties. Accordingly, the Purchase Agreement and the Registration Rights Agreement are incorporated herein by reference only to provide investors with information regarding the terms of the Purchase Agreement and the Registration Rights Agreement and not to provide investors with any other factual information regarding the Company or its business, and should be read in conjunction with the disclosures in the Company’s periodic reports and other filings with the SEC.</w:t>
      </w:r>
    </w:p>
    <w:p>
      <w:pPr>
        <w:spacing w:after="0" w:line="189"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ectPr>
          <w:pgSz w:w="11900" w:h="16838" w:orient="portrait"/>
          <w:cols w:equalWidth="0" w:num="1">
            <w:col w:w="11380"/>
          </w:cols>
          <w:pgMar w:left="240" w:top="544" w:right="279" w:bottom="185" w:gutter="0" w:footer="0" w:header="0"/>
          <w:type w:val="continuous"/>
        </w:sectPr>
      </w:pPr>
    </w:p>
    <w:bookmarkStart w:id="1" w:name="page2"/>
    <w:bookmarkEnd w:id="1"/>
    <w:p>
      <w:pPr>
        <w:ind w:right="100" w:firstLine="648"/>
        <w:spacing w:after="0" w:line="270" w:lineRule="auto"/>
        <w:rPr>
          <w:sz w:val="20"/>
          <w:szCs w:val="20"/>
          <w:color w:val="auto"/>
        </w:rPr>
      </w:pPr>
      <w:r>
        <w:rPr>
          <w:rFonts w:ascii="Arial" w:cs="Arial" w:eastAsia="Arial" w:hAnsi="Arial"/>
          <w:sz w:val="17"/>
          <w:szCs w:val="17"/>
          <w:color w:val="auto"/>
        </w:rPr>
        <w:t>Pursuant to the Private Placement described in Item 1.01 above, which description is hereby incorporated by reference into this Item 3.02, the Company has agreed to sell the shares of Common Stock to be issued in the Private Placement to accredited investors in reliance on the exemption from registration provided by Section 4(a)(2) of the Securities Act of 1933. The Company will rely on this exemption from registration based in part on representations made by the Investors. Piper Jaffray &amp; Co. acted as sole lead placement agent and William Blair &amp; Company, L.L.C. acted as a co-placement agent for the Company in connection with the Private Placement and will receive fees of approximately $2.5 million. The net proceeds to the Company from the Private Placement, after deducting the placement agent fees and other expenses payable by the Company, are expected to be approximately $37.3 million. The securities to be sold in the Private Placement have not been registered under the Securities Act of 1933 or applicable state securities laws and may not be offered or sold in the United States absent registration under the Securities Act or an exemption from such registration requirements. Neither this Current Report on Form 8-K nor any exhibit attached hereto shall constitute an offer to sell or the solicitation of an offer to buy shares of Common Stock or any other securities of the Company.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On April 23, 2015, the Company issued a press release announcing the Private Placement. A copy of the press release is attached hereto as Exhibit 99.1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20" w:hanging="131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10.1    Securities Purchase Agreement, dated as of April 22, 2015.</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10.2    Registration Rights Agreement, dated as of April 22, 2015.</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99.1    Press Release issued by Veracyte, Inc., dated April 23, 2015.</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23,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6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dated as of April 22, 2015, by and among Veracyte,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i w:val="1"/>
          <w:iCs w:val="1"/>
          <w:color w:val="auto"/>
        </w:rPr>
        <w:t>Purchaser</w:t>
      </w:r>
      <w:r>
        <w:rPr>
          <w:rFonts w:ascii="Arial" w:cs="Arial" w:eastAsia="Arial" w:hAnsi="Arial"/>
          <w:sz w:val="18"/>
          <w:szCs w:val="18"/>
          <w:color w:val="auto"/>
        </w:rPr>
        <w:t>” and collectively, the “</w:t>
      </w:r>
      <w:r>
        <w:rPr>
          <w:rFonts w:ascii="Arial" w:cs="Arial" w:eastAsia="Arial" w:hAnsi="Arial"/>
          <w:sz w:val="18"/>
          <w:szCs w:val="18"/>
          <w:i w:val="1"/>
          <w:iCs w:val="1"/>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40" w:firstLine="1305"/>
        <w:spacing w:after="0" w:line="264" w:lineRule="auto"/>
        <w:tabs>
          <w:tab w:leader="none" w:pos="195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and each Purchaser is executing and delivering this Agreement in reliance upon the exemption from securities registration afforded by Section 4(a)(2)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under the Securities Act.</w:t>
      </w:r>
    </w:p>
    <w:p>
      <w:pPr>
        <w:spacing w:after="0" w:line="181" w:lineRule="exact"/>
        <w:rPr>
          <w:rFonts w:ascii="Arial" w:cs="Arial" w:eastAsia="Arial" w:hAnsi="Arial"/>
          <w:sz w:val="18"/>
          <w:szCs w:val="18"/>
          <w:color w:val="auto"/>
        </w:rPr>
      </w:pPr>
    </w:p>
    <w:p>
      <w:pPr>
        <w:ind w:right="380" w:firstLine="1305"/>
        <w:spacing w:after="0" w:line="259" w:lineRule="auto"/>
        <w:tabs>
          <w:tab w:leader="none" w:pos="1948"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Purchaser, severally and not jointly, wishes to purchase, and the Company wishes to sell, upon the terms and conditions stated in this Agreement, that aggregate number of shares of common stock, par value $0.001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of the Company, set forth below such Purchaser’s name on the signature page of this Agreement (which aggregate amount for all Purchasers together shall be 4,907,975 shares of Common Stock and shall be collectively referred to herein as the “</w:t>
      </w:r>
      <w:r>
        <w:rPr>
          <w:rFonts w:ascii="Arial" w:cs="Arial" w:eastAsia="Arial" w:hAnsi="Arial"/>
          <w:sz w:val="18"/>
          <w:szCs w:val="18"/>
          <w:i w:val="1"/>
          <w:iCs w:val="1"/>
          <w:color w:val="auto"/>
        </w:rPr>
        <w:t>Shares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40" w:firstLine="1305"/>
        <w:spacing w:after="0" w:line="277" w:lineRule="auto"/>
        <w:tabs>
          <w:tab w:leader="none" w:pos="19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engaged Piper Jaffray &amp; Co. as its sole lead placement agent and William Blair &amp; Company, L.L.C. as its co-placement agent (collectively, the “</w:t>
      </w:r>
      <w:r>
        <w:rPr>
          <w:rFonts w:ascii="Arial" w:cs="Arial" w:eastAsia="Arial" w:hAnsi="Arial"/>
          <w:sz w:val="18"/>
          <w:szCs w:val="18"/>
          <w:i w:val="1"/>
          <w:iCs w:val="1"/>
          <w:color w:val="auto"/>
        </w:rPr>
        <w:t>Placement Agents</w:t>
      </w:r>
      <w:r>
        <w:rPr>
          <w:rFonts w:ascii="Arial" w:cs="Arial" w:eastAsia="Arial" w:hAnsi="Arial"/>
          <w:sz w:val="18"/>
          <w:szCs w:val="18"/>
          <w:color w:val="auto"/>
        </w:rPr>
        <w:t>”) for the offering of the Shares on a “best efforts” basis.</w:t>
      </w:r>
    </w:p>
    <w:p>
      <w:pPr>
        <w:spacing w:after="0" w:line="170" w:lineRule="exact"/>
        <w:rPr>
          <w:rFonts w:ascii="Arial" w:cs="Arial" w:eastAsia="Arial" w:hAnsi="Arial"/>
          <w:sz w:val="18"/>
          <w:szCs w:val="18"/>
          <w:color w:val="auto"/>
        </w:rPr>
      </w:pPr>
    </w:p>
    <w:p>
      <w:pPr>
        <w:ind w:right="80" w:firstLine="1305"/>
        <w:spacing w:after="0" w:line="259" w:lineRule="auto"/>
        <w:tabs>
          <w:tab w:leader="none" w:pos="195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Contemporaneously with the execution and delivery of this Agreement, the parties hereto are executing and delivering a Registration Rights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pursuant to which, among other things, the Company will agree to provide certain registration rights with respect to the Shares under the Securities Act and the rules and regulations promulgated thereunder and applicable state securities laws.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for all purposes of this Agreement, the following terms shall have the meanings indicated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Acquiring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Action</w:t>
      </w:r>
      <w:r>
        <w:rPr>
          <w:rFonts w:ascii="Arial" w:cs="Arial" w:eastAsia="Arial" w:hAnsi="Arial"/>
          <w:sz w:val="16"/>
          <w:szCs w:val="16"/>
          <w:color w:val="auto"/>
        </w:rPr>
        <w:t>” means any action, suit, inquiry, notice of violation, proceeding (including any partial proceeding such as a deposition) or investigation pending or, to the Company’s Knowledge, threatened in writing against the Company, any Subsidiary or any of their respective properties or any officer, director or employee of the Company or any Subsidiary acting in his or her capacity as an officer, director or employee before or by any federal, state, county, local or foreign court, arbitrator, governmental or administrative agency, regulatory authority, stock market, stock exchange or trading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 as such terms are used in and construed under Rule 405 under the Securities Act. With respect to a Purchaser, any investment fund or managed account that is managed on a discretionary basis by the same investment manager as such Purchaser will be deemed to be an Affiliate of such Purchaser.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 means the board of directors of the Company.</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except Saturday, Sunday, any day which is a federal legal holiday in the United States or any day on which banking institutions in the State of New York are authorized or required by law or other governmental action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 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 In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purchase and sale of the Shares pursuant to this Agreement.</w:t>
      </w:r>
    </w:p>
    <w:p>
      <w:pPr>
        <w:spacing w:after="0" w:line="225"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i w:val="1"/>
          <w:iCs w:val="1"/>
          <w:color w:val="auto"/>
        </w:rPr>
        <w:t xml:space="preserve">“Closing Bid Price” </w:t>
      </w:r>
      <w:r>
        <w:rPr>
          <w:rFonts w:ascii="Arial" w:cs="Arial" w:eastAsia="Arial" w:hAnsi="Arial"/>
          <w:sz w:val="17"/>
          <w:szCs w:val="17"/>
          <w:color w:val="auto"/>
        </w:rPr>
        <w:t>means, as of any date, (a) the last reported closing bid price per share of Common Stock for such security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Trading Market, as reported by Bloomberg Financial Markets, or, (b) if the Principal Trading Market begins to operate on an extended hours basis and does not designate the closing bid price then the last bid price of such security prior to 4:00 P.M., New York City time, as reported by Bloomberg Financial Markets, or (c) if the foregoing do not apply, the last closing price of such security in the over-the-counter market on the electronic bulletin board for such security as reported by Bloomberg Financial Markets, or (d) if no closing bid price is reported for such security by Bloomberg Financial Markets, the average of the bid prices of any market makers for such security as reported by OTC Markets Group, Inc. or similar organization. If the Closing Bid Price cannot be calculated for a security on a particular date on any of the foregoing bases, the Closing Bid Price of such security on such date shall be the fair market value as mutually determined by the Company and the holder of such security. All such determinations shall be appropriately adjusted for any stock dividend, stock split, stock combination or other similar transaction during the applicable calculation period.</w:t>
      </w:r>
    </w:p>
    <w:p>
      <w:pPr>
        <w:spacing w:after="0" w:line="182"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xml:space="preserve">” means the Trading Day when all of the Transaction Documents have been executed and delivered by the applicable parties thereto, and all of the conditions set forth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hereof are satisfied or waived, as the case may be, or such other date as the parties</w:t>
      </w:r>
    </w:p>
    <w:p>
      <w:pPr>
        <w:sectPr>
          <w:pgSz w:w="11900" w:h="1690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may agree.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has the meaning set forth in the Recitals, and also includes any other class of securities into which the Common Stock may hereafter be reclassified or changed into.</w:t>
      </w:r>
    </w:p>
    <w:p>
      <w:pPr>
        <w:spacing w:after="0" w:line="170"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 Equivalents</w:t>
      </w:r>
      <w:r>
        <w:rPr>
          <w:rFonts w:ascii="Arial" w:cs="Arial" w:eastAsia="Arial" w:hAnsi="Arial"/>
          <w:sz w:val="18"/>
          <w:szCs w:val="18"/>
          <w:color w:val="auto"/>
        </w:rPr>
        <w:t>” means any securities of the Company or any Subsidiary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or other securities that entitle the holder to receive, directly or indirectly, Common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Counsel</w:t>
      </w:r>
      <w:r>
        <w:rPr>
          <w:rFonts w:ascii="Arial" w:cs="Arial" w:eastAsia="Arial" w:hAnsi="Arial"/>
          <w:sz w:val="16"/>
          <w:szCs w:val="16"/>
          <w:color w:val="auto"/>
        </w:rPr>
        <w:t>” means Pillsbury Winthrop Shaw Pittman LLP with offices located at 2550 Hanover Street, Palo Alto, California 94304</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Deliverables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Company’s Knowledge</w:t>
      </w:r>
      <w:r>
        <w:rPr>
          <w:rFonts w:ascii="Arial" w:cs="Arial" w:eastAsia="Arial" w:hAnsi="Arial"/>
          <w:sz w:val="16"/>
          <w:szCs w:val="16"/>
          <w:color w:val="auto"/>
        </w:rPr>
        <w:t>” means with respect to any statement made to the Company’s Knowledge, that the statement is based upon the actual knowledge of the executive officers of the Company having responsibility for the matter or matters that are the subject of the statement.</w:t>
      </w:r>
    </w:p>
    <w:p>
      <w:pPr>
        <w:spacing w:after="0" w:line="124"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Deadline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initial Registration Statement required by Section 2(a) of the Registration Rights Agreement is first declared effective by the Commission.</w:t>
      </w:r>
    </w:p>
    <w:p>
      <w:pPr>
        <w:spacing w:after="0" w:line="170" w:lineRule="exact"/>
        <w:rPr>
          <w:sz w:val="20"/>
          <w:szCs w:val="20"/>
          <w:color w:val="auto"/>
        </w:rPr>
      </w:pPr>
    </w:p>
    <w:p>
      <w:pPr>
        <w:jc w:val="both"/>
        <w:ind w:right="40" w:firstLine="1297"/>
        <w:spacing w:after="0" w:line="277" w:lineRule="auto"/>
        <w:rPr>
          <w:sz w:val="20"/>
          <w:szCs w:val="20"/>
          <w:color w:val="auto"/>
        </w:rPr>
      </w:pPr>
      <w:r>
        <w:rPr>
          <w:rFonts w:ascii="Arial" w:cs="Arial" w:eastAsia="Arial" w:hAnsi="Arial"/>
          <w:sz w:val="18"/>
          <w:szCs w:val="18"/>
          <w:i w:val="1"/>
          <w:iCs w:val="1"/>
          <w:color w:val="auto"/>
        </w:rPr>
        <w:t>“Effectiveness Deadline</w:t>
      </w:r>
      <w:r>
        <w:rPr>
          <w:rFonts w:ascii="Arial" w:cs="Arial" w:eastAsia="Arial" w:hAnsi="Arial"/>
          <w:sz w:val="18"/>
          <w:szCs w:val="18"/>
          <w:color w:val="auto"/>
        </w:rPr>
        <w:t>” means the date on which the initial Registration Statement is required to be declared effective by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the Registration Rights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Evaluation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3.1(t)</w:t>
      </w:r>
      <w:r>
        <w:rPr>
          <w:rFonts w:ascii="Arial" w:cs="Arial" w:eastAsia="Arial" w:hAnsi="Arial"/>
          <w:sz w:val="18"/>
          <w:szCs w:val="18"/>
          <w:color w:val="auto"/>
        </w:rPr>
        <w:t>.</w:t>
      </w:r>
    </w:p>
    <w:p>
      <w:pPr>
        <w:spacing w:after="0" w:line="225" w:lineRule="exact"/>
        <w:rPr>
          <w:sz w:val="20"/>
          <w:szCs w:val="20"/>
          <w:color w:val="auto"/>
        </w:rPr>
      </w:pPr>
    </w:p>
    <w:p>
      <w:pPr>
        <w:ind w:right="8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U.S. generally accepted accounting principles, as applied by the Company.</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3.1(p)</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Irrevocable Transfer Agent Instructions</w:t>
      </w:r>
      <w:r>
        <w:rPr>
          <w:rFonts w:ascii="Arial" w:cs="Arial" w:eastAsia="Arial" w:hAnsi="Arial"/>
          <w:sz w:val="18"/>
          <w:szCs w:val="18"/>
          <w:color w:val="auto"/>
        </w:rPr>
        <w:t xml:space="preserve">” means, with respect to the Company, the Irrevocable Transfer Agent Instructions,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executed by the Company and delivered to and acknowledged in writing by the Transfer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Legend Removal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any lien, charge, claim, encumbrance, security interest, right of first refusal, preemptive right or other restrictions of any kind.</w:t>
      </w:r>
    </w:p>
    <w:p>
      <w:pPr>
        <w:spacing w:after="0" w:line="248"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 adverse effect on the results of operations, assets, prospects, business or financial condition of the Company and the Subsidiaries, taken as a whole, except that any of the following, either alone or in combination, shall not be deemed a Material Adverse Effect: (i) effects caused by changes or circumstances affecting general market conditions in the 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economy or which are generally applicable to the industry in which the Company operates, provided that such effects are not borne disproportionately by the Company, (ii) effects caused by earthquakes, hostilities, acts of war, sabotage, terrorism or military actions, or any material worsening of any such hostilities, acts of war, sabotage, terrorism or military actions existing as of the date hereof, (iii) effects resulting from or relating to the announcement or disclosure of the sale of the Shares or other transactions contemplated by this Agreement, or (iv) effects caused by any event, occurrence or condition resulting from or relating to the taking of any action in accordance with this Agreement.</w:t>
      </w:r>
    </w:p>
    <w:p>
      <w:pPr>
        <w:sectPr>
          <w:pgSz w:w="11900" w:h="16838" w:orient="portrait"/>
          <w:cols w:equalWidth="0" w:num="1">
            <w:col w:w="11400"/>
          </w:cols>
          <w:pgMar w:left="240" w:top="125" w:right="259" w:bottom="0" w:gutter="0" w:footer="0" w:header="0"/>
        </w:sectPr>
      </w:pPr>
    </w:p>
    <w:bookmarkStart w:id="4" w:name="page5"/>
    <w:bookmarkEnd w:id="4"/>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Contract</w:t>
      </w:r>
      <w:r>
        <w:rPr>
          <w:rFonts w:ascii="Arial" w:cs="Arial" w:eastAsia="Arial" w:hAnsi="Arial"/>
          <w:sz w:val="18"/>
          <w:szCs w:val="18"/>
          <w:color w:val="auto"/>
        </w:rPr>
        <w:t>” means any contract of the Company that has been filed or was required to have been filed as an exhibit to the SEC Reports pursuant to Item 601(b)(4) or Item 601(b)(10) of Regulation S-K.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Courts</w:t>
      </w:r>
      <w:r>
        <w:rPr>
          <w:rFonts w:ascii="Arial" w:cs="Arial" w:eastAsia="Arial" w:hAnsi="Arial"/>
          <w:sz w:val="18"/>
          <w:szCs w:val="18"/>
          <w:color w:val="auto"/>
        </w:rPr>
        <w:t>” means the state and federal courts sitting in the City of New York, Borough of Manhattan.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3.1(jj)</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means the thirtieth day following the date of this Agreement.</w:t>
      </w:r>
    </w:p>
    <w:p>
      <w:pPr>
        <w:spacing w:after="0" w:line="225"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Placement Agents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Trading Market</w:t>
      </w:r>
      <w:r>
        <w:rPr>
          <w:rFonts w:ascii="Arial" w:cs="Arial" w:eastAsia="Arial" w:hAnsi="Arial"/>
          <w:sz w:val="18"/>
          <w:szCs w:val="18"/>
          <w:color w:val="auto"/>
        </w:rPr>
        <w:t>” means the Trading Market on which the Common Stock is primarily listed on and quoted for trading, which, as of the date of this Agreement and the Closing Date, shall be The NASDAQ Global Market.</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means $8.15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or “</w:t>
      </w:r>
      <w:r>
        <w:rPr>
          <w:rFonts w:ascii="Arial" w:cs="Arial" w:eastAsia="Arial" w:hAnsi="Arial"/>
          <w:sz w:val="18"/>
          <w:szCs w:val="18"/>
          <w:i w:val="1"/>
          <w:iCs w:val="1"/>
          <w:color w:val="auto"/>
        </w:rPr>
        <w:t>Purchasers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Deliverables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Purchasers of the Registrable Securities (as defined in the Registration Rights Agreement).</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144</w:t>
      </w:r>
      <w:r>
        <w:rPr>
          <w:rFonts w:ascii="Arial" w:cs="Arial" w:eastAsia="Arial" w:hAnsi="Arial"/>
          <w:sz w:val="17"/>
          <w:szCs w:val="17"/>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 Report</w:t>
      </w:r>
      <w:r>
        <w:rPr>
          <w:rFonts w:ascii="Arial" w:cs="Arial" w:eastAsia="Arial" w:hAnsi="Arial"/>
          <w:sz w:val="18"/>
          <w:szCs w:val="18"/>
          <w:color w:val="auto"/>
        </w:rPr>
        <w:t xml:space="preserve">s” has the meaning set forth in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Secretary’s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2.2(a)(vi)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Short Sales</w:t>
      </w:r>
      <w:r>
        <w:rPr>
          <w:rFonts w:ascii="Arial" w:cs="Arial" w:eastAsia="Arial" w:hAnsi="Arial"/>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foreign regulated brokers (but shall not be deemed to include the location and/or reservation of borrowable shares of Common Stock).</w:t>
      </w:r>
    </w:p>
    <w:p>
      <w:pPr>
        <w:spacing w:after="0" w:line="188" w:lineRule="exact"/>
        <w:rPr>
          <w:sz w:val="20"/>
          <w:szCs w:val="20"/>
          <w:color w:val="auto"/>
        </w:rPr>
      </w:pPr>
    </w:p>
    <w:p>
      <w:pPr>
        <w:jc w:val="both"/>
        <w:ind w:right="44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Amount</w:t>
      </w:r>
      <w:r>
        <w:rPr>
          <w:rFonts w:ascii="Arial" w:cs="Arial" w:eastAsia="Arial" w:hAnsi="Arial"/>
          <w:sz w:val="18"/>
          <w:szCs w:val="18"/>
          <w:color w:val="auto"/>
        </w:rPr>
        <w:t>” means, with respect to each Purchaser, the aggregate amount to be paid for the Shares purchased hereunder as indicated on such Purchaser’s signature page to this Agreement next to the heading “Aggregate Purchase Price (Subscription Amount)” in United States dollars and in immediately available funds.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Allegro Diagnostics Corp. and shall, where applicable, include any subsidiary of the Company formed or acquired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date 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3.2(h)</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xml:space="preserve">” means (i) a day on which the Common Stock is listed or quoted and traded on its Principal Trading Market (other than the OTC Bulletin Board), or (ii) if the Common Stock is not listed on a Trading Market (other than the OTC Bulletin Board), a day on which the Common Stock is traded in the over-the-counter market, as reported by the OTC Bulletin Board, or (iii) if the Common Stock is not quoted on any Trading Market, a day on which the Common Stock is quoted in the over-the-counter market as reported in the “pink sheets” by Pink Sheets LLC (or any similar organization or agency succeeding to its functions of reporting prices);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the Common Stock is not listed or quoted as set forth in (i), (ii) and (iii) hereof, then Trading Day shall mean a Business Day.</w:t>
      </w:r>
    </w:p>
    <w:p>
      <w:pPr>
        <w:sectPr>
          <w:pgSz w:w="11900" w:h="16838" w:orient="portrait"/>
          <w:cols w:equalWidth="0" w:num="1">
            <w:col w:w="11420"/>
          </w:cols>
          <w:pgMar w:left="240" w:top="125" w:right="239" w:bottom="0" w:gutter="0" w:footer="0" w:header="0"/>
        </w:sectPr>
      </w:pPr>
    </w:p>
    <w:bookmarkStart w:id="5" w:name="page6"/>
    <w:bookmarkEnd w:id="5"/>
    <w:p>
      <w:pPr>
        <w:spacing w:after="0" w:line="9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Market</w:t>
      </w:r>
      <w:r>
        <w:rPr>
          <w:rFonts w:ascii="Arial" w:cs="Arial" w:eastAsia="Arial" w:hAnsi="Arial"/>
          <w:sz w:val="18"/>
          <w:szCs w:val="18"/>
          <w:color w:val="auto"/>
        </w:rPr>
        <w:t>” means whichever of the New York Stock Exchange, the NYSE Alternext (formerly the American Stock Exchange), The NASDAQ Global Select Market, The NASDAQ Global Market, The NASDAQ Capital Market or the OTC Bulletin Board on which the Common Stock is listed or quoted for trading on the date in question.</w:t>
      </w:r>
    </w:p>
    <w:p>
      <w:pPr>
        <w:spacing w:after="0" w:line="181"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Documents</w:t>
      </w:r>
      <w:r>
        <w:rPr>
          <w:rFonts w:ascii="Arial" w:cs="Arial" w:eastAsia="Arial" w:hAnsi="Arial"/>
          <w:sz w:val="18"/>
          <w:szCs w:val="18"/>
          <w:color w:val="auto"/>
        </w:rPr>
        <w:t>” means this Agreement, the schedules and exhibits attached hereto, the Registration Rights Agreement, the Irrevocable Transfer Agent Instructions and any other documents or agreements explicitly contemplated hereunder.</w:t>
      </w:r>
    </w:p>
    <w:p>
      <w:pPr>
        <w:spacing w:after="0" w:line="170"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 Agent</w:t>
      </w:r>
      <w:r>
        <w:rPr>
          <w:rFonts w:ascii="Arial" w:cs="Arial" w:eastAsia="Arial" w:hAnsi="Arial"/>
          <w:sz w:val="16"/>
          <w:szCs w:val="16"/>
          <w:color w:val="auto"/>
        </w:rPr>
        <w:t>” means Broadridge Issuer Solutions, Inc., the current transfer agent of the Company, with a mailing address of 1717 Arch Street, Suite 1300, Philadelphia, Pennsylvania 19103, and a facsimile number of 215-553-5402 or any successor transfer agent for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312" w:lineRule="auto"/>
        <w:tabs>
          <w:tab w:leader="none" w:pos="194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Amount</w:t>
      </w:r>
      <w:r>
        <w:rPr>
          <w:rFonts w:ascii="Arial" w:cs="Arial" w:eastAsia="Arial" w:hAnsi="Arial"/>
          <w:sz w:val="16"/>
          <w:szCs w:val="16"/>
          <w:color w:val="auto"/>
        </w:rPr>
        <w:t>. Subject to the terms and conditions set forth in this Agreement, at the Closing, the Company shall issue and sell to each Purchaser, and each Purchaser shall, severally and not jointly, purchase from the Company, such number of shares of Common Stock equal to the quotient resulting from dividing (i) the Subscription Amount for such Purchaser by (ii) the Purchase Price, rounded down to the nearest whole Share.</w:t>
      </w:r>
    </w:p>
    <w:p>
      <w:pPr>
        <w:spacing w:after="0" w:line="146" w:lineRule="exact"/>
        <w:rPr>
          <w:rFonts w:ascii="Arial" w:cs="Arial" w:eastAsia="Arial" w:hAnsi="Arial"/>
          <w:sz w:val="16"/>
          <w:szCs w:val="16"/>
          <w:color w:val="auto"/>
        </w:rPr>
      </w:pPr>
    </w:p>
    <w:p>
      <w:pPr>
        <w:ind w:firstLine="1305"/>
        <w:spacing w:after="0" w:line="264" w:lineRule="auto"/>
        <w:tabs>
          <w:tab w:leader="none" w:pos="195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purchase and sale of the Shares shall take place at the offices of Goodwin Procter LLP, The New York Times Building, 620 Eighth Avenue, New York, New York on the Closing Date or at such other locations or remotely by facsimile transmission or other electronic means as the parties may mutually agree.</w:t>
      </w:r>
    </w:p>
    <w:p>
      <w:pPr>
        <w:spacing w:after="0" w:line="181" w:lineRule="exact"/>
        <w:rPr>
          <w:rFonts w:ascii="Arial" w:cs="Arial" w:eastAsia="Arial" w:hAnsi="Arial"/>
          <w:sz w:val="18"/>
          <w:szCs w:val="18"/>
          <w:color w:val="auto"/>
        </w:rPr>
      </w:pPr>
    </w:p>
    <w:p>
      <w:pPr>
        <w:ind w:firstLine="1305"/>
        <w:spacing w:after="0" w:line="269" w:lineRule="auto"/>
        <w:tabs>
          <w:tab w:leader="none" w:pos="195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Except as may otherwise be agreed to among the Company and one or more of the Purchasers, on or prior to the Business Day immediately prior to the Closing Date, each Purchaser shall wire its Subscription Amount, in United States dollars and in immediately available funds, to a non-interest bearing escrow account established by the Company and the Placement Agents with Continental Stock Transfer &amp; Trust Company (the “</w:t>
      </w:r>
      <w:r>
        <w:rPr>
          <w:rFonts w:ascii="Arial" w:cs="Arial" w:eastAsia="Arial" w:hAnsi="Arial"/>
          <w:sz w:val="17"/>
          <w:szCs w:val="17"/>
          <w:i w:val="1"/>
          <w:iCs w:val="1"/>
          <w:color w:val="auto"/>
        </w:rPr>
        <w:t>Escrow Agent</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 (the aggregate amounts received being held in escrow by the Escrow Agent are referred to herein as the “</w:t>
      </w:r>
      <w:r>
        <w:rPr>
          <w:rFonts w:ascii="Arial" w:cs="Arial" w:eastAsia="Arial" w:hAnsi="Arial"/>
          <w:sz w:val="17"/>
          <w:szCs w:val="17"/>
          <w:i w:val="1"/>
          <w:iCs w:val="1"/>
          <w:color w:val="auto"/>
        </w:rPr>
        <w:t>Escrow Amount</w:t>
      </w:r>
      <w:r>
        <w:rPr>
          <w:rFonts w:ascii="Arial" w:cs="Arial" w:eastAsia="Arial" w:hAnsi="Arial"/>
          <w:sz w:val="17"/>
          <w:szCs w:val="17"/>
          <w:color w:val="auto"/>
        </w:rPr>
        <w:t xml:space="preserve">”). On the Closing Date, (a) the Company and Piper Jaffray &amp; Co. shall instruct the Escrow Agent to deliver, in immediately available funds, the Escrow Amount constituting the aggregate Purchase Price as follows: (1) to the Placement Agents, the fees and reimbursable expenses payable to the Placement Agents (which fees and expenses shall be set forth in such instructions), and (2) the balance of the aggregate purchase price to the Company, and (b) the Company shall irrevocably instruct the Transfer Agent to enter in the name of each Purchaser a book entry position, free and clear of all restrictive and other legends (except as expressly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hereof), evidencing the number of Shares such Purchaser is purchasing as is set forth on such Purchaser’s signature page to this Agreement next to the heading “Number of Shares to be Acquired”, within three (3) Trading Days after the Closing.</w:t>
      </w:r>
    </w:p>
    <w:p>
      <w:pPr>
        <w:spacing w:after="0" w:line="183" w:lineRule="exact"/>
        <w:rPr>
          <w:sz w:val="20"/>
          <w:szCs w:val="20"/>
          <w:color w:val="auto"/>
        </w:rPr>
      </w:pPr>
    </w:p>
    <w:p>
      <w:pPr>
        <w:ind w:left="660"/>
        <w:spacing w:after="0"/>
        <w:tabs>
          <w:tab w:leader="none" w:pos="1280" w:val="left"/>
          <w:tab w:leader="none" w:pos="3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Closing Deliveries</w:t>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On or prior to the Closing, the Company shall issue, deliver or cause to be delivered to each Purchaser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Company Deliverables</w:t>
      </w:r>
      <w:r>
        <w:rPr>
          <w:rFonts w:ascii="Arial" w:cs="Arial" w:eastAsia="Arial" w:hAnsi="Arial"/>
          <w:sz w:val="18"/>
          <w:szCs w:val="18"/>
          <w:color w:val="auto"/>
        </w:rPr>
        <w:t>”):</w:t>
      </w:r>
    </w:p>
    <w:p>
      <w:pPr>
        <w:spacing w:after="0" w:line="211" w:lineRule="exact"/>
        <w:rPr>
          <w:sz w:val="20"/>
          <w:szCs w:val="20"/>
          <w:color w:val="auto"/>
        </w:rPr>
      </w:pPr>
    </w:p>
    <w:p>
      <w:pPr>
        <w:ind w:left="2620" w:hanging="667"/>
        <w:spacing w:after="0"/>
        <w:tabs>
          <w:tab w:leader="none" w:pos="2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evidence of a book entry position, free and clear of all restrictive and other legends (except as provided in</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hereof), evidencing the Shares subscribed for by such Purchaser hereunder, registered in the name of such Purchaser as set forth on the Stock Certificate Questionnaire included as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hereto;</w:t>
      </w:r>
    </w:p>
    <w:p>
      <w:pPr>
        <w:spacing w:after="0" w:line="184" w:lineRule="exact"/>
        <w:rPr>
          <w:sz w:val="20"/>
          <w:szCs w:val="20"/>
          <w:color w:val="auto"/>
        </w:rPr>
      </w:pPr>
    </w:p>
    <w:p>
      <w:pPr>
        <w:ind w:right="40" w:firstLine="1953"/>
        <w:spacing w:after="0" w:line="277" w:lineRule="auto"/>
        <w:tabs>
          <w:tab w:leader="none" w:pos="2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dated as of the Closing Date and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executed by such counsel and addressed to the Purchasers;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duly executed Irrevocable Transfer Agent Instructions acknowledged in writing by the Transfer Agent in the form</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953"/>
        <w:spacing w:after="0" w:line="257" w:lineRule="auto"/>
        <w:tabs>
          <w:tab w:leader="none" w:pos="26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of the Secretary of the Company (the “</w:t>
      </w:r>
      <w:r>
        <w:rPr>
          <w:rFonts w:ascii="Arial" w:cs="Arial" w:eastAsia="Arial" w:hAnsi="Arial"/>
          <w:sz w:val="18"/>
          <w:szCs w:val="18"/>
          <w:i w:val="1"/>
          <w:iCs w:val="1"/>
          <w:color w:val="auto"/>
        </w:rPr>
        <w:t>Secretary’s Certificate</w:t>
      </w:r>
      <w:r>
        <w:rPr>
          <w:rFonts w:ascii="Arial" w:cs="Arial" w:eastAsia="Arial" w:hAnsi="Arial"/>
          <w:sz w:val="18"/>
          <w:szCs w:val="18"/>
          <w:color w:val="auto"/>
        </w:rPr>
        <w:t xml:space="preserve">”), dated as of the Closing Date, (a) certifying the resolutions adopted by the Board of Directors of the Company or a duly authorized committee thereof approving the transactions contemplated by this Agreement and the other Transaction Documents and the issuance of the Shares, (b) certifying the current versions of the certificate of incorporation, as amended, and by-laws of the Company and (c) certifying as to the signatures and authority of persons signing the Transaction Documents and related documents on behalf of the Company,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Compliance Certificate referred to in </w:t>
      </w:r>
      <w:r>
        <w:rPr>
          <w:rFonts w:ascii="Arial" w:cs="Arial" w:eastAsia="Arial" w:hAnsi="Arial"/>
          <w:sz w:val="18"/>
          <w:szCs w:val="18"/>
          <w:u w:val="single" w:color="auto"/>
          <w:color w:val="auto"/>
        </w:rPr>
        <w:t>Section 5.1(h)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277" w:lineRule="auto"/>
        <w:tabs>
          <w:tab w:leader="none" w:pos="262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Lock-Up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(the “</w:t>
      </w:r>
      <w:r>
        <w:rPr>
          <w:rFonts w:ascii="Arial" w:cs="Arial" w:eastAsia="Arial" w:hAnsi="Arial"/>
          <w:sz w:val="18"/>
          <w:szCs w:val="18"/>
          <w:i w:val="1"/>
          <w:iCs w:val="1"/>
          <w:color w:val="auto"/>
        </w:rPr>
        <w:t>Lock-Up Agreement</w:t>
      </w:r>
      <w:r>
        <w:rPr>
          <w:rFonts w:ascii="Arial" w:cs="Arial" w:eastAsia="Arial" w:hAnsi="Arial"/>
          <w:sz w:val="18"/>
          <w:szCs w:val="18"/>
          <w:color w:val="auto"/>
        </w:rPr>
        <w:t xml:space="preserve">”) executed by each person listed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and each such Lock-Up Agreement shall be in full force and effect on the Closing Date;</w:t>
      </w:r>
    </w:p>
    <w:p>
      <w:pPr>
        <w:spacing w:after="0" w:line="170" w:lineRule="exact"/>
        <w:rPr>
          <w:rFonts w:ascii="Arial" w:cs="Arial" w:eastAsia="Arial" w:hAnsi="Arial"/>
          <w:sz w:val="18"/>
          <w:szCs w:val="18"/>
          <w:color w:val="auto"/>
        </w:rPr>
      </w:pPr>
    </w:p>
    <w:p>
      <w:pPr>
        <w:ind w:right="60" w:firstLine="1953"/>
        <w:spacing w:after="0" w:line="277" w:lineRule="auto"/>
        <w:tabs>
          <w:tab w:leader="none" w:pos="26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evidencing the formation and good standing of the Company issued by the Secretary of State (or comparable office) of the State of Delaware as of a date within three (3) Business Days of the Closing Date;</w:t>
      </w:r>
    </w:p>
    <w:p>
      <w:pPr>
        <w:spacing w:after="0" w:line="170" w:lineRule="exact"/>
        <w:rPr>
          <w:rFonts w:ascii="Arial" w:cs="Arial" w:eastAsia="Arial" w:hAnsi="Arial"/>
          <w:sz w:val="18"/>
          <w:szCs w:val="18"/>
          <w:color w:val="auto"/>
        </w:rPr>
      </w:pPr>
    </w:p>
    <w:p>
      <w:pPr>
        <w:ind w:firstLine="1953"/>
        <w:spacing w:after="0" w:line="277"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evidencing the Company’s qualification as a foreign corporation and good standing issued by the Secretary of State (or comparable office) of Texas, as of a date within three (3) Business Days of the Closing Date;</w:t>
      </w:r>
    </w:p>
    <w:p>
      <w:pPr>
        <w:sectPr>
          <w:pgSz w:w="11900" w:h="16929" w:orient="portrait"/>
          <w:cols w:equalWidth="0" w:num="1">
            <w:col w:w="11400"/>
          </w:cols>
          <w:pgMar w:left="240" w:top="125" w:right="259" w:bottom="0" w:gutter="0" w:footer="0" w:header="0"/>
        </w:sectPr>
      </w:pPr>
    </w:p>
    <w:bookmarkStart w:id="6" w:name="page7"/>
    <w:bookmarkEnd w:id="6"/>
    <w:p>
      <w:pPr>
        <w:spacing w:after="0" w:line="106" w:lineRule="exact"/>
        <w:rPr>
          <w:sz w:val="20"/>
          <w:szCs w:val="20"/>
          <w:color w:val="auto"/>
        </w:rPr>
      </w:pPr>
    </w:p>
    <w:p>
      <w:pPr>
        <w:ind w:right="760" w:firstLine="1953"/>
        <w:spacing w:after="0" w:line="277" w:lineRule="auto"/>
        <w:tabs>
          <w:tab w:leader="none" w:pos="2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certificate evidencing the Company’s good standing issued by the Secretary of State (or comparable office) of California, as of a date within three (3) Business Days of the Closing Date; and</w:t>
      </w:r>
    </w:p>
    <w:p>
      <w:pPr>
        <w:spacing w:after="0" w:line="170" w:lineRule="exact"/>
        <w:rPr>
          <w:rFonts w:ascii="Arial" w:cs="Arial" w:eastAsia="Arial" w:hAnsi="Arial"/>
          <w:sz w:val="18"/>
          <w:szCs w:val="18"/>
          <w:color w:val="auto"/>
        </w:rPr>
      </w:pPr>
    </w:p>
    <w:p>
      <w:pPr>
        <w:ind w:right="20" w:firstLine="1953"/>
        <w:spacing w:after="0" w:line="277" w:lineRule="auto"/>
        <w:tabs>
          <w:tab w:leader="none" w:pos="2619"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certified copy of the certificate of incorporation, as certified by the Secretary of State (or comparable office) of the State of Delaware as of a date within three (3) Business Days of the Closing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or prior to the Closing, each Purchaser shall deliver or cause to be delivered to the Company the following (the “</w:t>
      </w:r>
      <w:r>
        <w:rPr>
          <w:rFonts w:ascii="Arial" w:cs="Arial" w:eastAsia="Arial" w:hAnsi="Arial"/>
          <w:sz w:val="17"/>
          <w:szCs w:val="17"/>
          <w:i w:val="1"/>
          <w:iCs w:val="1"/>
          <w:color w:val="auto"/>
        </w:rPr>
        <w:t>Purchaser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i w:val="1"/>
          <w:iCs w:val="1"/>
          <w:color w:val="auto"/>
        </w:rPr>
        <w:t>Deliverables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duly executed by such Purchaser;</w:t>
      </w:r>
    </w:p>
    <w:p>
      <w:pPr>
        <w:spacing w:after="0" w:line="225" w:lineRule="exact"/>
        <w:rPr>
          <w:rFonts w:ascii="Arial" w:cs="Arial" w:eastAsia="Arial" w:hAnsi="Arial"/>
          <w:sz w:val="18"/>
          <w:szCs w:val="18"/>
          <w:color w:val="auto"/>
        </w:rPr>
      </w:pPr>
    </w:p>
    <w:p>
      <w:pPr>
        <w:ind w:right="120" w:firstLine="1953"/>
        <w:spacing w:after="0" w:line="264" w:lineRule="auto"/>
        <w:tabs>
          <w:tab w:leader="none" w:pos="2624"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its Subscription Amount, in United States dollars and in immediately available funds, in the amount set forth as the “Purchase Price” indicated below such Purchaser’s name on the applicable signature page hereto under the heading “Aggregate Purchase Price (Subscription Amount)” by wire transfer to the Escrow Account, as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Purchaser;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fully completed and duly executed Selling Stockholder Questionnaire in the form attached as Annex B to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Registration Rights Agreement; and</w:t>
      </w:r>
    </w:p>
    <w:p>
      <w:pPr>
        <w:spacing w:after="0" w:line="210" w:lineRule="exact"/>
        <w:rPr>
          <w:rFonts w:ascii="Arial" w:cs="Arial" w:eastAsia="Arial" w:hAnsi="Arial"/>
          <w:sz w:val="18"/>
          <w:szCs w:val="18"/>
          <w:color w:val="auto"/>
        </w:rPr>
      </w:pPr>
    </w:p>
    <w:p>
      <w:pPr>
        <w:ind w:right="760" w:firstLine="1953"/>
        <w:spacing w:after="0" w:line="277" w:lineRule="auto"/>
        <w:tabs>
          <w:tab w:leader="none" w:pos="2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 fully completed and duly executed Accredited Investor Questionnaire, satisfactory to the Company, and Stock Certificate Questionnaire in the forms attached hereto as </w:t>
      </w:r>
      <w:r>
        <w:rPr>
          <w:rFonts w:ascii="Arial" w:cs="Arial" w:eastAsia="Arial" w:hAnsi="Arial"/>
          <w:sz w:val="18"/>
          <w:szCs w:val="18"/>
          <w:u w:val="single" w:color="auto"/>
          <w:color w:val="auto"/>
        </w:rPr>
        <w:t>Exhibits 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B-2</w:t>
      </w:r>
      <w:r>
        <w:rPr>
          <w:rFonts w:ascii="Arial" w:cs="Arial" w:eastAsia="Arial" w:hAnsi="Arial"/>
          <w:sz w:val="18"/>
          <w:szCs w:val="18"/>
          <w:color w:val="auto"/>
        </w:rPr>
        <w:t>,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(i) as set forth in the schedules delivered herewith (the “</w:t>
      </w:r>
      <w:r>
        <w:rPr>
          <w:rFonts w:ascii="Arial" w:cs="Arial" w:eastAsia="Arial" w:hAnsi="Arial"/>
          <w:sz w:val="18"/>
          <w:szCs w:val="18"/>
          <w:i w:val="1"/>
          <w:iCs w:val="1"/>
          <w:color w:val="auto"/>
        </w:rPr>
        <w:t>Disclosure Schedules</w:t>
      </w:r>
      <w:r>
        <w:rPr>
          <w:rFonts w:ascii="Arial" w:cs="Arial" w:eastAsia="Arial" w:hAnsi="Arial"/>
          <w:sz w:val="18"/>
          <w:szCs w:val="18"/>
          <w:color w:val="auto"/>
        </w:rPr>
        <w:t>”), which Disclosure Schedules shall be deemed a part hereof and shall qualify any representation made herein to the extent of the disclosure contained in the corresponding section of the Disclosure Schedules, or (ii) disclosed in the SEC Reports, the Company hereby represents and warrants as of the date hereof and the Closing Date (except for the representations and warranties that speak as of a specific date, which shall be made as of such date), to each of the Purchasers:</w:t>
      </w:r>
    </w:p>
    <w:p>
      <w:pPr>
        <w:spacing w:after="0" w:line="188" w:lineRule="exact"/>
        <w:rPr>
          <w:sz w:val="20"/>
          <w:szCs w:val="20"/>
          <w:color w:val="auto"/>
        </w:rPr>
      </w:pPr>
    </w:p>
    <w:p>
      <w:pPr>
        <w:ind w:right="460" w:firstLine="1305"/>
        <w:spacing w:after="0" w:line="259" w:lineRule="auto"/>
        <w:tabs>
          <w:tab w:leader="none" w:pos="194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has no direct or indirect Subsidiaries other than Allegro Diagnostics Corp. The Company owns, directly or indirectly, all of the capital stock or comparable equity interests of each Subsidiary free and clear of any and all Liens, and all the issued and outstanding shares of capital stock or comparable equity interest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right="40" w:firstLine="1305"/>
        <w:spacing w:after="0" w:line="286" w:lineRule="auto"/>
        <w:tabs>
          <w:tab w:leader="none" w:pos="19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is an entity duly incorporated or otherwise organized, validly existing and in good standing under the laws of the jurisdiction of its incorporation or organization (as applicable), with the requisite corporate power and authority to own or lease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w:t>
      </w:r>
    </w:p>
    <w:p>
      <w:pPr>
        <w:spacing w:after="0" w:line="1"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The Company and each of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a Material Adverse Effect, and no Proceeding has been instituted, is pending, or, to the Company’s Knowledge, has been threatened in writing in any such jurisdiction revoking, limiting or curtailing or seeking to revoke, limit or curtail such power and authority or qualification.</w:t>
      </w:r>
    </w:p>
    <w:p>
      <w:pPr>
        <w:spacing w:after="0" w:line="191" w:lineRule="exact"/>
        <w:rPr>
          <w:rFonts w:ascii="Arial" w:cs="Arial" w:eastAsia="Arial" w:hAnsi="Arial"/>
          <w:sz w:val="16"/>
          <w:szCs w:val="16"/>
          <w:color w:val="auto"/>
        </w:rPr>
      </w:pPr>
    </w:p>
    <w:p>
      <w:pPr>
        <w:ind w:right="240" w:firstLine="1305"/>
        <w:spacing w:after="0" w:line="287" w:lineRule="auto"/>
        <w:tabs>
          <w:tab w:leader="none" w:pos="195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corporate power and authority to enter into and to consummate the transactions contemplated by each of the Transaction Documents to which it is a party and otherwise to carry out its obligations hereunder and thereunder. The Company’s execution and delivery of each of the Transaction Documents to which it is a party and the consummation by it of the transactions contemplated hereby and thereby (including, but not limited to, the sale and delivery of the Shares) have been duly authorized by all necessary corporate action on the part of the Company, and no further corporate action is required by the Company, its Board of Directors or its stockholders in connection therewith other than in connection with the Required Approvals. Each of the Transaction Documents to which it is a party has been (or upon delivery will have been) duly executed by the Company and is, or when delivered in accordance with the terms hereof, will constitute the legal, valid and binding obligation of the Company enforceable against the Company in accordance with its terms, except (i) as such enforceability may be limited by applicable bankruptcy,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spacing w:after="0" w:line="172" w:lineRule="exact"/>
        <w:rPr>
          <w:rFonts w:ascii="Arial" w:cs="Arial" w:eastAsia="Arial" w:hAnsi="Arial"/>
          <w:sz w:val="16"/>
          <w:szCs w:val="16"/>
          <w:color w:val="auto"/>
        </w:rPr>
      </w:pPr>
    </w:p>
    <w:p>
      <w:pPr>
        <w:jc w:val="both"/>
        <w:ind w:right="160" w:firstLine="1305"/>
        <w:spacing w:after="0" w:line="264" w:lineRule="auto"/>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the Company of the Transaction Documents to which it is a party and the consummation by the Company of the transactions contemplated hereby or thereby (including, without limitation, the issuance of the Shares) do not and will not (i) conflict with or violate any provisions of the Company’s or any Subsidiary’s certificate or articles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incorporation, bylaws or otherwise result in a violation of the organizational documents of the Company, (ii) conflict with, or constitute a default (or an event that with notice or lapse of time or both would result in a default) under, result in the creation of any Lien upon any of the properties or assets of the Company or any Subsidiary or give to others any rights of termination, amendment, acceleration or cancellation (with or without notice, lapse of time or both) of, any Material Contract, or (iii) subject to the Required Approvals, conflict with or result in a violation of any law, rule, regulation, order, judgment, injunction,</w:t>
      </w:r>
    </w:p>
    <w:p>
      <w:pPr>
        <w:sectPr>
          <w:pgSz w:w="11900" w:h="16945" w:orient="portrait"/>
          <w:cols w:equalWidth="0" w:num="1">
            <w:col w:w="11420"/>
          </w:cols>
          <w:pgMar w:left="240" w:top="341" w:right="239" w:bottom="0" w:gutter="0" w:footer="0" w:header="0"/>
        </w:sectPr>
      </w:pPr>
    </w:p>
    <w:bookmarkStart w:id="7" w:name="page8"/>
    <w:bookmarkEnd w:id="7"/>
    <w:p>
      <w:pPr>
        <w:spacing w:after="0" w:line="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decree or other restriction of any court or governmental authority to which the Company or a Subsidiary is subject (including federal and state securities laws and regulations and the rules and regulations, assuming the correctness of the representations and warranties made by the Purchasers herein, of any self-regulatory organization to which the Company or its securities are subject, including all applicable Trading Markets), or by which any property or asset of the Company or a Subsidiary is bound or affected, except in the case of clauses (ii) and (iii) such as would not, individually or in the aggregate, have or reasonably be expected to result in a Material Adverse Effect.</w:t>
      </w:r>
    </w:p>
    <w:p>
      <w:pPr>
        <w:spacing w:after="0" w:line="188" w:lineRule="exact"/>
        <w:rPr>
          <w:sz w:val="20"/>
          <w:szCs w:val="20"/>
          <w:color w:val="auto"/>
        </w:rPr>
      </w:pPr>
    </w:p>
    <w:p>
      <w:pPr>
        <w:ind w:right="40" w:firstLine="1305"/>
        <w:spacing w:after="0" w:line="271" w:lineRule="auto"/>
        <w:tabs>
          <w:tab w:leader="none" w:pos="195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xml:space="preserve">. Neither the Company nor any of its Subsidiaries is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(including the issuance of the Shares), other than (i) the filing with the Commission of one or more Registration Statements in accordance with the requirements of the Registration Rights Agreement, (ii) filings required by applicable state securities laws, (iii) the filing of any requisite notices and/or application(s) to the Principal Trading Market for the issuance and sale of the Shares and the listing of the Shares for trading or quotation, as the case may be, thereon in the time and manner required thereby, (iv) the filings required in accordance with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this Agreement and (v) those that have been made or obtained prior to the date of this Agreement (collectively, the “</w:t>
      </w:r>
      <w:r>
        <w:rPr>
          <w:rFonts w:ascii="Arial" w:cs="Arial" w:eastAsia="Arial" w:hAnsi="Arial"/>
          <w:sz w:val="17"/>
          <w:szCs w:val="17"/>
          <w:i w:val="1"/>
          <w:iCs w:val="1"/>
          <w:color w:val="auto"/>
        </w:rPr>
        <w:t>Required Approvals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20" w:firstLine="1305"/>
        <w:spacing w:after="0" w:line="257" w:lineRule="auto"/>
        <w:tabs>
          <w:tab w:leader="none" w:pos="194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Issuance of the Shares</w:t>
      </w:r>
      <w:r>
        <w:rPr>
          <w:rFonts w:ascii="Arial" w:cs="Arial" w:eastAsia="Arial" w:hAnsi="Arial"/>
          <w:sz w:val="18"/>
          <w:szCs w:val="18"/>
          <w:color w:val="auto"/>
        </w:rPr>
        <w:t>. The Shares have been duly authorized and, when issued and paid for in accordance with the terms of the Transaction Documents, will be duly and validly issued, fully paid and nonassessable and free and clear of all Liens, other than restrictions on transfer provided for in the Transaction Documents or imposed by applicable securities laws, and shall not be subject to preemptive or similar rights of stockholders. Assuming the accuracy of the representations and warranties of the Purchasers in this Agreement, the Shares will be issued in compliance with all applicable federal and state securities laws.</w:t>
      </w:r>
    </w:p>
    <w:p>
      <w:pPr>
        <w:spacing w:after="0" w:line="188" w:lineRule="exact"/>
        <w:rPr>
          <w:rFonts w:ascii="Arial" w:cs="Arial" w:eastAsia="Arial" w:hAnsi="Arial"/>
          <w:sz w:val="18"/>
          <w:szCs w:val="18"/>
          <w:color w:val="auto"/>
        </w:rPr>
      </w:pPr>
    </w:p>
    <w:p>
      <w:pPr>
        <w:ind w:right="20" w:firstLine="1305"/>
        <w:spacing w:after="0" w:line="287" w:lineRule="auto"/>
        <w:tabs>
          <w:tab w:leader="none" w:pos="196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as described in its most recently filed SEC Report on Form 10-K, except for issuances to reflect stock option exercises after December 31, 2014 that do not, individually or in the aggregate, have a material effect on the issued and outstanding capital stock. The Company has not issued any capital stock since the date of its most recently filed SEC Report other than to reflect stock option and warrant exercises that do not, individually or in the aggregate, have a material effect on the issued and outstanding capital stock, options and other securities. No Person has any right of first refusal, preemptive right, right of participation, or any similar right to participate in the transactions contemplated by the Transaction Documents that have not been effectively waived as of the Closing Date. Except as set forth in the SEC Reports, in the first sentence of the Section 3.1(g) or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Shares will not obligate the Company to issue shares of Common Stock or other securities to any Person (other than the Purchasers) and will not result in a right of any holder of Company securities to adjust the exercise, conversion, exchange or reset price 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any of such securities. All of the outstanding shares of capital stock of the Company are validly issued, fully paid and nonassessable, have been issued in compliance in all material respects with all applicable federal and state securities laws, and none of such outstanding shares was issued in violation of any preemptive rights or similar rights to subscribe for or purchase securities which violation would have or would reasonably be expected to result in a Material Adverse Effect.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Company’s Knowledge, between or among any of the Company’s stockholders.</w:t>
      </w:r>
    </w:p>
    <w:p>
      <w:pPr>
        <w:spacing w:after="0" w:line="178" w:lineRule="exact"/>
        <w:rPr>
          <w:sz w:val="20"/>
          <w:szCs w:val="20"/>
          <w:color w:val="auto"/>
        </w:rPr>
      </w:pPr>
    </w:p>
    <w:p>
      <w:pPr>
        <w:ind w:firstLine="1305"/>
        <w:spacing w:after="0" w:line="268" w:lineRule="auto"/>
        <w:tabs>
          <w:tab w:leader="none" w:pos="1952"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SEC Reports; Disclosure Materials</w:t>
      </w:r>
      <w:r>
        <w:rPr>
          <w:rFonts w:ascii="Arial" w:cs="Arial" w:eastAsia="Arial" w:hAnsi="Arial"/>
          <w:sz w:val="17"/>
          <w:szCs w:val="17"/>
          <w:color w:val="auto"/>
        </w:rPr>
        <w:t>. The Company has filed all reports, schedules, forms, statements and other documents required to be filed by it under the Exchange Act, including pursuant to Section 13(a) or 15(d) thereof, for the 12 months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i w:val="1"/>
          <w:iCs w:val="1"/>
          <w:color w:val="auto"/>
        </w:rPr>
        <w:t>SEC Reports,</w:t>
      </w:r>
      <w:r>
        <w:rPr>
          <w:rFonts w:ascii="Arial" w:cs="Arial" w:eastAsia="Arial" w:hAnsi="Arial"/>
          <w:sz w:val="17"/>
          <w:szCs w:val="17"/>
          <w:color w:val="auto"/>
        </w:rPr>
        <w:t>” and the SEC Reports, together with the Disclosure Schedules, being collectively referred to as the “</w:t>
      </w:r>
      <w:r>
        <w:rPr>
          <w:rFonts w:ascii="Arial" w:cs="Arial" w:eastAsia="Arial" w:hAnsi="Arial"/>
          <w:sz w:val="17"/>
          <w:szCs w:val="17"/>
          <w:i w:val="1"/>
          <w:iCs w:val="1"/>
          <w:color w:val="auto"/>
        </w:rPr>
        <w:t>Disclosure Materials</w:t>
      </w:r>
      <w:r>
        <w:rPr>
          <w:rFonts w:ascii="Arial" w:cs="Arial" w:eastAsia="Arial" w:hAnsi="Arial"/>
          <w:sz w:val="17"/>
          <w:szCs w:val="17"/>
          <w:color w:val="auto"/>
        </w:rPr>
        <w:t>”) on a timely basis or has received a valid extension of such time of filing and has filed any such SEC Reports prior to the expiration of any such extension, except where the failure to file on a timely basis would not have or reasonably be expected to result in a Material Adverse Effect (including, for this purpose only, any failure to qualify to register the Shares for resale on Form S-3 or which would prevent any Purchaser from using Rule 144 to resell any Shares). As of their respective filing dates, or to the extent corrected by a subsequent amendment, the SEC Reports complied in all material respects with the requirements of the Securities Act and the Exchange Act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has never been an issuer subject to Rule 144(i) under the Securities Act. Each of the Material Contracts to which the Company or any Subsidiary is a party or to which the property or assets of the Company or any of its Subsidiaries are subject has been filed or incorporated by reference as an exhibit to the SEC Reports.</w:t>
      </w:r>
    </w:p>
    <w:p>
      <w:pPr>
        <w:spacing w:after="0" w:line="185" w:lineRule="exact"/>
        <w:rPr>
          <w:rFonts w:ascii="Arial" w:cs="Arial" w:eastAsia="Arial" w:hAnsi="Arial"/>
          <w:sz w:val="17"/>
          <w:szCs w:val="17"/>
          <w:color w:val="auto"/>
        </w:rPr>
      </w:pPr>
    </w:p>
    <w:p>
      <w:pPr>
        <w:ind w:right="140" w:firstLine="1305"/>
        <w:spacing w:after="0" w:line="272" w:lineRule="auto"/>
        <w:tabs>
          <w:tab w:leader="none" w:pos="1966"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included in the SEC Reports comply in all material respects with applicable accounting requirements and the rules and regulations of the Commission with respect thereto as in effect at the time of filing (or to the extent corrected by a subsequent amendment). Such consolidated financial statements have been prepared in accordance with GAAP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taken as a whole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7"/>
          <w:szCs w:val="17"/>
          <w:color w:val="auto"/>
        </w:rPr>
      </w:pPr>
    </w:p>
    <w:p>
      <w:pPr>
        <w:ind w:right="60" w:firstLine="1305"/>
        <w:spacing w:after="0" w:line="286" w:lineRule="auto"/>
        <w:tabs>
          <w:tab w:leader="none" w:pos="1953"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Since the date of the latest audited financial statements included within the SEC Reports, except as specifically disclosed in a subsequent SEC Report filed prior to the date hereof (i) there have been no events, occurrences or developments that have had or would reasonably be expected to have, either individually or in the aggregate, a Material Adverse Effect, (ii) the Company has not incurred any material liabilities (contingent or otherwise) other than (A) trade payables and accrued expenses incurred in the ordinary course of business consistent with past practice and</w:t>
      </w:r>
    </w:p>
    <w:p>
      <w:pPr>
        <w:spacing w:after="0" w:line="1" w:lineRule="exact"/>
        <w:rPr>
          <w:rFonts w:ascii="Arial" w:cs="Arial" w:eastAsia="Arial" w:hAnsi="Arial"/>
          <w:sz w:val="16"/>
          <w:szCs w:val="16"/>
          <w:color w:val="auto"/>
        </w:rPr>
      </w:pPr>
    </w:p>
    <w:p>
      <w:pPr>
        <w:ind w:right="80" w:firstLine="8"/>
        <w:spacing w:after="0" w:line="254" w:lineRule="auto"/>
        <w:tabs>
          <w:tab w:leader="none" w:pos="2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not required to be reflected in the Company’s financial statements pursuant to GAAP or required to be disclosed in filings made with the Commission, (iii) the Company has not altered materially its method of accounting or the manner in which it keeps its accounting books and records, (iv) the Company has not declared or made any dividend or distribution of cash or other property to its stockholders or purchased, redeemed or made any agreements to</w:t>
      </w:r>
    </w:p>
    <w:p>
      <w:pPr>
        <w:sectPr>
          <w:pgSz w:w="11900" w:h="16842" w:orient="portrait"/>
          <w:cols w:equalWidth="0" w:num="1">
            <w:col w:w="11420"/>
          </w:cols>
          <w:pgMar w:left="240" w:top="125" w:right="239" w:bottom="0" w:gutter="0" w:footer="0" w:header="0"/>
        </w:sectPr>
      </w:pPr>
    </w:p>
    <w:bookmarkStart w:id="8" w:name="page9"/>
    <w:bookmarkEnd w:id="8"/>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purchase or redeem any shares of its capital stock (other than in connection with repurchases of unvested stock issued to employees of the Company), and</w:t>
      </w:r>
    </w:p>
    <w:p>
      <w:pPr>
        <w:spacing w:after="0" w:line="46" w:lineRule="exact"/>
        <w:rPr>
          <w:sz w:val="20"/>
          <w:szCs w:val="20"/>
          <w:color w:val="auto"/>
        </w:rPr>
      </w:pPr>
    </w:p>
    <w:p>
      <w:pPr>
        <w:ind w:right="40" w:firstLine="8"/>
        <w:spacing w:after="0" w:line="292"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not issued any equity securities to any officer, director or Affiliate, except Common Stock issued pursuant to existing Company stock option or stock purchase plans or executive and director compensation arrangements disclosed in the SEC Reports. Except for the issuance of the Shares contemplated by this Agreement, no event, liability or development has occurred or exists with respect to the Company or its Subsidiaries or their respective business, properties, operations or financial condition, that would be required to be disclosed by the Company under applicable securities laws at the time this representation is made that has not been publicly disclosed at least one (1) Trading Day prior to the date that this representation is made.</w:t>
      </w:r>
    </w:p>
    <w:p>
      <w:pPr>
        <w:spacing w:after="0" w:line="162" w:lineRule="exact"/>
        <w:rPr>
          <w:rFonts w:ascii="Arial" w:cs="Arial" w:eastAsia="Arial" w:hAnsi="Arial"/>
          <w:sz w:val="16"/>
          <w:szCs w:val="16"/>
          <w:color w:val="auto"/>
        </w:rPr>
      </w:pPr>
    </w:p>
    <w:p>
      <w:pPr>
        <w:ind w:right="20" w:firstLine="1305"/>
        <w:spacing w:after="0" w:line="291" w:lineRule="auto"/>
        <w:tabs>
          <w:tab w:leader="none" w:pos="195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which adversely affects or challenges the legality, validity or enforceability of any of the Transaction Documents or the Shares or would, if there were an unfavorable decision, individually or in the aggregate, have or reasonably be expected to result in a Material Adverse Effect. During the past five years,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Company’s Knowledge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of its Subsidiaries under the Exchange Act or the Securities Act.</w:t>
      </w:r>
    </w:p>
    <w:p>
      <w:pPr>
        <w:spacing w:after="0" w:line="167" w:lineRule="exact"/>
        <w:rPr>
          <w:rFonts w:ascii="Arial" w:cs="Arial" w:eastAsia="Arial" w:hAnsi="Arial"/>
          <w:sz w:val="16"/>
          <w:szCs w:val="16"/>
          <w:color w:val="auto"/>
        </w:rPr>
      </w:pPr>
    </w:p>
    <w:p>
      <w:pPr>
        <w:ind w:firstLine="1305"/>
        <w:spacing w:after="0" w:line="269" w:lineRule="auto"/>
        <w:tabs>
          <w:tab w:leader="none" w:pos="196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Employment Matters</w:t>
      </w:r>
      <w:r>
        <w:rPr>
          <w:rFonts w:ascii="Arial" w:cs="Arial" w:eastAsia="Arial" w:hAnsi="Arial"/>
          <w:sz w:val="17"/>
          <w:szCs w:val="17"/>
          <w:color w:val="auto"/>
        </w:rPr>
        <w:t>. No material labor dispute exists or, to the Company’s Knowledge, is imminent with respect to any of the employees of the Company which would have or reasonably be expected to result in a Material Adverse Effect. None of the Company’s or any Subsidiary’s employees is a member of a union that relates to such employee’s relationship with the Company, and neither the Company nor any of its Subsidiaries is a party to a collective bargaining agreement, and the Company and each Subsidiary believes that its relationship with its employees is good. No executive officer of the Company (as defined in Rule 501(f) of the Securities Act) has notified the Company or any such Subsidiary that such officer intends to leave the Company or any such Subsidiary or otherwise terminate such officer’s employment with the Company or any such Subsidiary. To the Company’s Knowledge, no executive officer is, or is now expected to be, in violation of any material term of any employment contract, confidentiality, disclosure or proprietary information agreement or non-competition agreement, or any restrictive covenant in favor of a third party, and to the Company’s Knowledge, the continued employment of each such executive officer does not subject the Company or any Subsidiary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have or reasonably be expected to result in a Material Adverse Effect.</w:t>
      </w:r>
    </w:p>
    <w:p>
      <w:pPr>
        <w:spacing w:after="0" w:line="179" w:lineRule="exact"/>
        <w:rPr>
          <w:rFonts w:ascii="Arial" w:cs="Arial" w:eastAsia="Arial" w:hAnsi="Arial"/>
          <w:sz w:val="17"/>
          <w:szCs w:val="17"/>
          <w:color w:val="auto"/>
        </w:rPr>
      </w:pPr>
    </w:p>
    <w:p>
      <w:pPr>
        <w:ind w:right="180" w:firstLine="1305"/>
        <w:spacing w:after="0" w:line="255" w:lineRule="auto"/>
        <w:tabs>
          <w:tab w:leader="none" w:pos="194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Neither the Company nor any of its Subsidiaries (i) is in default under or in violation of (and no event has occurred that has not been waived that, with notice or lapse of time or both, would result in a default by the Company or any of its Subsidiaries under), nor has the Company or any of its Subsidiaries received written notice of a claim that it is in default under or that it is in violation of, any Material Contract (whether or not such default or violation has been waived), (ii) is in violation of any order of any court, arbitrator or governmental body having jurisdiction over the Company or its properties or assets, or (iii) is in violation of, or in receipt of written notice that it is in violation of, any statute, rule or regulation of any governmental authority applicable to the Company, except in each case as would not, individually or in the aggregate, have or reasonably be expected to result in a Material Adverse Effect.</w:t>
      </w:r>
    </w:p>
    <w:p>
      <w:pPr>
        <w:spacing w:after="0" w:line="189" w:lineRule="exact"/>
        <w:rPr>
          <w:rFonts w:ascii="Arial" w:cs="Arial" w:eastAsia="Arial" w:hAnsi="Arial"/>
          <w:sz w:val="18"/>
          <w:szCs w:val="18"/>
          <w:color w:val="auto"/>
        </w:rPr>
      </w:pPr>
    </w:p>
    <w:p>
      <w:pPr>
        <w:ind w:right="300" w:firstLine="1305"/>
        <w:spacing w:after="0" w:line="277" w:lineRule="auto"/>
        <w:tabs>
          <w:tab w:leader="none" w:pos="195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each of its Subsidiaries possess all certificates, authorizations and permits issued by the appropriate federal, state, local or foreign regulatory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authorities necessary to conduct its respective business as currently conducted and as described in the SEC Reports, except where the failure to possess such permits, individually or in the aggregate, has not and would not have or reasonably be expected to result in a Material Adverse Effect (“</w:t>
      </w:r>
      <w:r>
        <w:rPr>
          <w:rFonts w:ascii="Arial" w:cs="Arial" w:eastAsia="Arial" w:hAnsi="Arial"/>
          <w:sz w:val="18"/>
          <w:szCs w:val="18"/>
          <w:i w:val="1"/>
          <w:iCs w:val="1"/>
          <w:color w:val="auto"/>
        </w:rPr>
        <w:t>Material Permits</w:t>
      </w:r>
      <w:r>
        <w:rPr>
          <w:rFonts w:ascii="Arial" w:cs="Arial" w:eastAsia="Arial" w:hAnsi="Arial"/>
          <w:sz w:val="18"/>
          <w:szCs w:val="18"/>
          <w:color w:val="auto"/>
        </w:rPr>
        <w:t>”), and neither the Company nor any of its Subsidiaries has received any notice of Proceedings relating to the revocation or modification of any such Material Permits.</w:t>
      </w:r>
    </w:p>
    <w:p>
      <w:pPr>
        <w:spacing w:after="0" w:line="187" w:lineRule="exact"/>
        <w:rPr>
          <w:sz w:val="20"/>
          <w:szCs w:val="20"/>
          <w:color w:val="auto"/>
        </w:rPr>
      </w:pPr>
    </w:p>
    <w:p>
      <w:pPr>
        <w:ind w:firstLine="1305"/>
        <w:spacing w:after="0" w:line="293" w:lineRule="auto"/>
        <w:tabs>
          <w:tab w:leader="none" w:pos="19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its Subsidiaries have good and marketable title in fee simple to all real property owned by them. The Company and its Subsidiaries have good and marketable title to all tangible personal property owned by them that is material to the business of the Company and its Subsidiaries, taken as whole, in each case free and clear of all Liens except such as do not materially affect the value of such property and do not interfere with the use made and proposed to be made of such property by the Company and any of its Subsidiaries. Any real property and facilities held under lease by the Company and any of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64" w:lineRule="exact"/>
        <w:rPr>
          <w:rFonts w:ascii="Arial" w:cs="Arial" w:eastAsia="Arial" w:hAnsi="Arial"/>
          <w:sz w:val="16"/>
          <w:szCs w:val="16"/>
          <w:color w:val="auto"/>
        </w:rPr>
      </w:pPr>
    </w:p>
    <w:p>
      <w:pPr>
        <w:ind w:right="100" w:firstLine="1305"/>
        <w:spacing w:after="0" w:line="287" w:lineRule="auto"/>
        <w:tabs>
          <w:tab w:leader="none" w:pos="19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Patents and Trademarks</w:t>
      </w:r>
      <w:r>
        <w:rPr>
          <w:rFonts w:ascii="Arial" w:cs="Arial" w:eastAsia="Arial" w:hAnsi="Arial"/>
          <w:sz w:val="16"/>
          <w:szCs w:val="16"/>
          <w:color w:val="auto"/>
        </w:rPr>
        <w:t xml:space="preserve">. To the Company’s Knowledge, the Company and the Subsidiaries own, possess, license or have other rights to use, all patents, patent applications, trade and service marks, trade and service mark applications and registrations, trade names, trade secrets, inventions, copyrights, licenses, technology, know-how and other intellectual property rights and similar rights described in the SEC Reports as necessary or material for use in connection with their respective businesses and which the failure to so have would have or reasonably be expected to result in a Material Adverse Effect (collectively, the “ </w:t>
      </w:r>
      <w:r>
        <w:rPr>
          <w:rFonts w:ascii="Arial" w:cs="Arial" w:eastAsia="Arial" w:hAnsi="Arial"/>
          <w:sz w:val="16"/>
          <w:szCs w:val="16"/>
          <w:i w:val="1"/>
          <w:iCs w:val="1"/>
          <w:color w:val="auto"/>
        </w:rPr>
        <w:t>Intellectual Property Rights</w:t>
      </w:r>
      <w:r>
        <w:rPr>
          <w:rFonts w:ascii="Arial" w:cs="Arial" w:eastAsia="Arial" w:hAnsi="Arial"/>
          <w:sz w:val="16"/>
          <w:szCs w:val="16"/>
          <w:color w:val="auto"/>
        </w:rPr>
        <w:t>”). Neither the Company nor any Subsidiary has received a notice (written or otherwise) that any of the Intellectual Property Rights used by the Company or any Subsidiary violates or infringes upon the rights of any Person. There is no pending or, to the Company’s Knowledge, threatened action, suit, proceeding or claim by any Person that the Company’s business as now conducted infringes or otherwise violates any patent, trademark, copyright, trade secret or other proprietary rights of another. To the Company’s Knowledge, there is no existing infringement by another Person of any of the Intellectual Property Rights that would have or would reasonably be expected to have a Material Adverse Effect. The Company and its Subsidiaries have taken reasonable security measures to protect the secrecy, confidentiality and value of all of their Intellectual Property Rights, except where failure to do so would not, individually or in the aggregate, reasonably be expected to have a Material Adverse Effect.</w:t>
      </w:r>
    </w:p>
    <w:p>
      <w:pPr>
        <w:spacing w:after="0" w:line="172" w:lineRule="exact"/>
        <w:rPr>
          <w:rFonts w:ascii="Arial" w:cs="Arial" w:eastAsia="Arial" w:hAnsi="Arial"/>
          <w:sz w:val="16"/>
          <w:szCs w:val="16"/>
          <w:color w:val="auto"/>
        </w:rPr>
      </w:pPr>
    </w:p>
    <w:p>
      <w:pPr>
        <w:ind w:right="200" w:firstLine="1305"/>
        <w:spacing w:after="0" w:line="302" w:lineRule="auto"/>
        <w:tabs>
          <w:tab w:leader="none" w:pos="19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the Subsidiaries are insured by insurers of recognized financial responsibility against such losses and risks and in such amounts as the Company believes to be prudent and customary in the businesses and locations in which the Company and the Subsidiaries are engaged, including, but not limited to, directors and officers insurance coverage. Neither the Company nor any of its Subsidiaries has received any written notice of cancellation of any such insurance, nor, to the Company’s Knowledge, will it or any Subsidiary be unable to renew their</w:t>
      </w:r>
    </w:p>
    <w:p>
      <w:pPr>
        <w:sectPr>
          <w:pgSz w:w="11900" w:h="16945" w:orient="portrait"/>
          <w:cols w:equalWidth="0" w:num="1">
            <w:col w:w="11420"/>
          </w:cols>
          <w:pgMar w:left="240" w:top="341" w:right="239" w:bottom="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respective existing insurance coverage as and when such coverage expires or to obtain similar coverage from similar insurers as may be necessary to continue its business without a significant increase in cost.</w:t>
      </w:r>
    </w:p>
    <w:p>
      <w:pPr>
        <w:spacing w:after="0" w:line="170" w:lineRule="exact"/>
        <w:rPr>
          <w:sz w:val="20"/>
          <w:szCs w:val="20"/>
          <w:color w:val="auto"/>
        </w:rPr>
      </w:pPr>
    </w:p>
    <w:p>
      <w:pPr>
        <w:ind w:right="200" w:firstLine="1305"/>
        <w:spacing w:after="0" w:line="312" w:lineRule="auto"/>
        <w:tabs>
          <w:tab w:leader="none" w:pos="196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None of the executive officers or directors of the Company and, to the Company’s Knowledge, none of the employees of the Company is presently a party to any transaction with the Company or any Subsidiary (other than for services as employees, officers and directors), that would be required to be disclosed pursuant to Item 404 of Regulation S-K promulgated under the Securities Act.</w:t>
      </w:r>
    </w:p>
    <w:p>
      <w:pPr>
        <w:spacing w:after="0" w:line="146" w:lineRule="exact"/>
        <w:rPr>
          <w:rFonts w:ascii="Arial" w:cs="Arial" w:eastAsia="Arial" w:hAnsi="Arial"/>
          <w:sz w:val="16"/>
          <w:szCs w:val="16"/>
          <w:color w:val="auto"/>
        </w:rPr>
      </w:pPr>
    </w:p>
    <w:p>
      <w:pPr>
        <w:ind w:right="180" w:firstLine="1305"/>
        <w:spacing w:after="0" w:line="342" w:lineRule="auto"/>
        <w:tabs>
          <w:tab w:leader="none" w:pos="1959"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maintains a system of internal accounting controls sufficient to provide reasonable assurance that (i) transactions are executed in accordance with management’s general or specific authorizations, (ii) transactions are recorded as necessary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w:t>
      </w:r>
    </w:p>
    <w:p>
      <w:pPr>
        <w:spacing w:after="0" w:line="147" w:lineRule="exact"/>
        <w:rPr>
          <w:sz w:val="20"/>
          <w:szCs w:val="20"/>
          <w:color w:val="auto"/>
        </w:rPr>
      </w:pPr>
    </w:p>
    <w:p>
      <w:pPr>
        <w:ind w:right="40" w:firstLine="1305"/>
        <w:spacing w:after="0" w:line="288" w:lineRule="auto"/>
        <w:tabs>
          <w:tab w:leader="none" w:pos="195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Sarbanes-Oxley; Disclosure Controls</w:t>
      </w:r>
      <w:r>
        <w:rPr>
          <w:rFonts w:ascii="Arial" w:cs="Arial" w:eastAsia="Arial" w:hAnsi="Arial"/>
          <w:sz w:val="16"/>
          <w:szCs w:val="16"/>
          <w:color w:val="auto"/>
        </w:rPr>
        <w:t>. The Company is in compliance in all material respects with all of the provisions of the Sarbanes-Oxley Act of 2002 which are applicable to it as of the Closing Date. The Company has established disclosure controls and procedures (as such term is defined in Rule 13a-15(e) and 15d-15(e) under the Exchange Act)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Company’s disclosure controls and procedures as of the end of the period covered by the Company’s most recently filed periodic report under the Exchange Act (such date, the “</w:t>
      </w:r>
      <w:r>
        <w:rPr>
          <w:rFonts w:ascii="Arial" w:cs="Arial" w:eastAsia="Arial" w:hAnsi="Arial"/>
          <w:sz w:val="16"/>
          <w:szCs w:val="16"/>
          <w:i w:val="1"/>
          <w:iCs w:val="1"/>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Company’s internal control over financial reporting (as such term is defined in the Exchange Act) that have materially affected, or are reasonably likely to materially affect, the Company’s internal control over financial reporting.</w:t>
      </w:r>
    </w:p>
    <w:p>
      <w:pPr>
        <w:spacing w:after="0" w:line="169" w:lineRule="exact"/>
        <w:rPr>
          <w:rFonts w:ascii="Arial" w:cs="Arial" w:eastAsia="Arial" w:hAnsi="Arial"/>
          <w:sz w:val="16"/>
          <w:szCs w:val="16"/>
          <w:color w:val="auto"/>
        </w:rPr>
      </w:pPr>
    </w:p>
    <w:p>
      <w:pPr>
        <w:ind w:firstLine="1305"/>
        <w:spacing w:after="0" w:line="254"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person or entity will have, as a result of the transactions contemplated by this Agreement, any valid right, interest or claim against or upon the Company or a Purchaser for any commission, fee or other compensation pursuant to any agreement, arrangement or understanding entered into by or on behalf of the Company, other than the Placement Agents with respect to the offer and sale of the Shares (which placement agent fees are being paid by the Company). The Purchasers shall have no obligation with respect to any fees or with respect to any claims made by or on behalf of other Persons for fees of a type contemplated in this paragraph (u) pursuant to any agreement to which the Company is a party that may be due in connection with the transactions contemplated by the Transaction Documents. The Company shall indemnify, pay, and hold each Purchaser harmless against, any liability, loss or expense (including, without limitation, attorneys’ fees and out-of-pocket expenses) arising in connection with any such right, interest or claim.</w:t>
      </w:r>
    </w:p>
    <w:p>
      <w:pPr>
        <w:spacing w:after="0" w:line="192" w:lineRule="exact"/>
        <w:rPr>
          <w:rFonts w:ascii="Arial" w:cs="Arial" w:eastAsia="Arial" w:hAnsi="Arial"/>
          <w:sz w:val="18"/>
          <w:szCs w:val="18"/>
          <w:color w:val="auto"/>
        </w:rPr>
      </w:pPr>
    </w:p>
    <w:p>
      <w:pPr>
        <w:ind w:right="220" w:firstLine="1305"/>
        <w:spacing w:after="0" w:line="279" w:lineRule="auto"/>
        <w:tabs>
          <w:tab w:leader="none" w:pos="195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xml:space="preserve">. Assuming the accuracy of the Purchasers’ representations and warranties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this Agreement and the accuracy of the information disclosed in the Accredited Investor Questionnaires provided by the Purchasers, no registration under the Securities Act is required for the offer and sale of the Shares by the Company to the Purchasers under the Transaction Documents. The issuance and sale of the Shares hereunder does not contravene the rules and regulations of the principal Trading Market.</w:t>
      </w:r>
    </w:p>
    <w:p>
      <w:pPr>
        <w:spacing w:after="0" w:line="17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The Company is not, and immediately after receipt of payment for the Shares, will not be or be an “investment company” within the meaning of the Investment Company Act of 1940, as amended. The Company shall conduct its business in a manner so that it will not become subject to the Investment Company Act of 1940, as amended.</w:t>
      </w:r>
    </w:p>
    <w:p>
      <w:pPr>
        <w:spacing w:after="0" w:line="181" w:lineRule="exact"/>
        <w:rPr>
          <w:sz w:val="20"/>
          <w:szCs w:val="20"/>
          <w:color w:val="auto"/>
        </w:rPr>
      </w:pPr>
    </w:p>
    <w:p>
      <w:pPr>
        <w:ind w:right="120" w:firstLine="1305"/>
        <w:spacing w:after="0" w:line="264" w:lineRule="auto"/>
        <w:tabs>
          <w:tab w:leader="none" w:pos="195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each of the Purchasers pursuant to the Registration Rights Agreement, no Person has any right to cause the Company to effect the registration under the Securities Act of any securities of the Company other than those securities which are currently registered on an effective registration statement on file with the Commission.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73" w:lineRule="auto"/>
        <w:tabs>
          <w:tab w:leader="none" w:pos="195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Company’s Common Stock is registered pursuant to Section 12(b) or 12(g) of the Exchange Act, and the Company has taken no action designed to terminate the registration of the Common Stock under the Exchange Act nor has the Company received any notification that the Commission is contemplating terminating such registration. The Company has not, in the twelve (12) months preceding the date hereof, received written notice from any Trading Market on which the Common Stock is listed or quoted to the effect that the Company is not in compliance with the listing or maintenance requirements of such Trading Market. The Company is in compliance with all listing and maintenance requirements of the Principal Trading Market on the date hereof.</w:t>
      </w:r>
    </w:p>
    <w:p>
      <w:pPr>
        <w:spacing w:after="0" w:line="178" w:lineRule="exact"/>
        <w:rPr>
          <w:rFonts w:ascii="Arial" w:cs="Arial" w:eastAsia="Arial" w:hAnsi="Arial"/>
          <w:sz w:val="17"/>
          <w:szCs w:val="17"/>
          <w:color w:val="auto"/>
        </w:rPr>
      </w:pPr>
    </w:p>
    <w:p>
      <w:pPr>
        <w:ind w:right="60" w:firstLine="1305"/>
        <w:spacing w:after="0" w:line="273" w:lineRule="auto"/>
        <w:tabs>
          <w:tab w:leader="none" w:pos="195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3.1(z)</w:t>
      </w:r>
      <w:r>
        <w:rPr>
          <w:rFonts w:ascii="Arial" w:cs="Arial" w:eastAsia="Arial" w:hAnsi="Arial"/>
          <w:sz w:val="17"/>
          <w:szCs w:val="17"/>
          <w:color w:val="auto"/>
        </w:rPr>
        <w:t xml:space="preserve">, the Company confirms that it has not provided, and to the Company’s Knowledge, none of its officers or directors nor any other Person acting on its or their behalf has provided, and it has not authorized the Placement Agents to provide, any Purchaser or its respective agents or counsel with any information that it believes constitutes material, non-public information except insofar as the existence, provisions and terms of the Transaction Documents and the proposed transactions hereunder may constitute such information, all of which will be disclosed by the Company in the Press Release as contemplated by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hereof. The Company understands and confirms that the Purchasers will rely on the foregoing representations in effecting transactions in securities of the Company.</w:t>
      </w:r>
    </w:p>
    <w:p>
      <w:pPr>
        <w:spacing w:after="0" w:line="178" w:lineRule="exact"/>
        <w:rPr>
          <w:sz w:val="20"/>
          <w:szCs w:val="20"/>
          <w:color w:val="auto"/>
        </w:rPr>
      </w:pPr>
    </w:p>
    <w:p>
      <w:pPr>
        <w:ind w:right="100" w:firstLine="1305"/>
        <w:spacing w:after="0" w:line="291" w:lineRule="auto"/>
        <w:tabs>
          <w:tab w:leader="none" w:pos="192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xml:space="preserve">. Assuming the accuracy of the Purchasers’ representations and warranties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none of the Company, its Subsidiaries nor, to the Company’s Knowledge, any Person acting on its behalf has, directly or indirectly, at any time within the past six</w:t>
      </w:r>
    </w:p>
    <w:p>
      <w:pPr>
        <w:ind w:right="20" w:firstLine="8"/>
        <w:spacing w:after="0" w:line="25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months, made any offers or sales of any Company security or solicited any offers to buy any security under circumstances that would cause the offering of the Shares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sectPr>
          <w:pgSz w:w="11900" w:h="16838" w:orient="portrait"/>
          <w:cols w:equalWidth="0" w:num="1">
            <w:col w:w="11400"/>
          </w:cols>
          <w:pgMar w:left="240" w:top="125" w:right="259" w:bottom="0" w:gutter="0" w:footer="0" w:header="0"/>
        </w:sectPr>
      </w:pPr>
    </w:p>
    <w:bookmarkStart w:id="10" w:name="page11"/>
    <w:bookmarkEnd w:id="10"/>
    <w:p>
      <w:pPr>
        <w:spacing w:after="0" w:line="90" w:lineRule="exact"/>
        <w:rPr>
          <w:sz w:val="20"/>
          <w:szCs w:val="20"/>
          <w:color w:val="auto"/>
        </w:rPr>
      </w:pPr>
    </w:p>
    <w:p>
      <w:pPr>
        <w:ind w:right="20" w:firstLine="1305"/>
        <w:spacing w:after="0" w:line="285" w:lineRule="auto"/>
        <w:tabs>
          <w:tab w:leader="none" w:pos="194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The Company and each of its Subsidiaries (i) has accurately and timely prepared and filed all foreign, federal and state income and all other tax returns, reports and declarations required by any jurisdiction to which it is subject, (ii) has paid all taxes and other governmental assessments and charges that are material in amount, shown or determined to be due on such returns, reports and declarations, except those being contested in good faith, with respect to which adequate reserves have been set aside on the books of the Company and (iii) has set aside on its books provisions reasonably adequate for the payment of all taxes for periods subsequent to the periods to which such returns, reports or declarations apply, except, in the case of clauses</w:t>
      </w:r>
    </w:p>
    <w:p>
      <w:pPr>
        <w:spacing w:after="0" w:line="2" w:lineRule="exact"/>
        <w:rPr>
          <w:rFonts w:ascii="Arial" w:cs="Arial" w:eastAsia="Arial" w:hAnsi="Arial"/>
          <w:sz w:val="16"/>
          <w:szCs w:val="16"/>
          <w:color w:val="auto"/>
        </w:rPr>
      </w:pPr>
    </w:p>
    <w:p>
      <w:pPr>
        <w:jc w:val="both"/>
        <w:ind w:right="600" w:firstLine="8"/>
        <w:spacing w:after="0" w:line="255"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(ii) above, where the failure to so pay or file any such tax, assessment, charge or return would not have or reasonably be expected to result in a Material Adverse Effect. There are no unpaid taxes in any material amount claimed to be due by the Company or any of its Subsidiaries by the taxing authority of any jurisdiction.</w:t>
      </w:r>
    </w:p>
    <w:p>
      <w:pPr>
        <w:spacing w:after="0" w:line="190" w:lineRule="exact"/>
        <w:rPr>
          <w:rFonts w:ascii="Arial" w:cs="Arial" w:eastAsia="Arial" w:hAnsi="Arial"/>
          <w:sz w:val="18"/>
          <w:szCs w:val="18"/>
          <w:color w:val="auto"/>
        </w:rPr>
      </w:pPr>
    </w:p>
    <w:p>
      <w:pPr>
        <w:ind w:right="60" w:firstLine="1305"/>
        <w:spacing w:after="0" w:line="254" w:lineRule="auto"/>
        <w:tabs>
          <w:tab w:leader="none" w:pos="195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To the Company’s Knowledge, neither the Company nor any of its Subsidiaries (i)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i w:val="1"/>
          <w:iCs w:val="1"/>
          <w:color w:val="auto"/>
        </w:rPr>
        <w:t>Environmental Laws</w:t>
      </w:r>
      <w:r>
        <w:rPr>
          <w:rFonts w:ascii="Arial" w:cs="Arial" w:eastAsia="Arial" w:hAnsi="Arial"/>
          <w:sz w:val="18"/>
          <w:szCs w:val="18"/>
          <w:color w:val="auto"/>
        </w:rPr>
        <w:t>”), (ii) owns or operates any real property contaminated with any substance that is in violation of any Environmental Laws, (iii) is liable for any off-site disposal (other than in the ordinary course of its business) or contamination pursuant to any Environmental Laws, or (iv) is subject to any claim relating to any Environmental Laws; which violation, contamination, liability or claim has had or would have, individually or in the aggregate, a Material Adverse Effect; and there is no pending investigation or, to the Company’s Knowledge, investigation threatened in writing that might lead to such a claim.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7" w:lineRule="auto"/>
        <w:tabs>
          <w:tab w:leader="none" w:pos="194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to the Company’s Knowledge, any person acting on behalf of the Company has offered or sold any of the Shares by any form of general solicitation or general advertising.</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to the Company’s Knowledge, any agent or other person acting on behalf of</w:t>
      </w:r>
    </w:p>
    <w:p>
      <w:pPr>
        <w:spacing w:after="0" w:line="46"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191" w:lineRule="exact"/>
        <w:rPr>
          <w:rFonts w:ascii="Arial" w:cs="Arial" w:eastAsia="Arial" w:hAnsi="Arial"/>
          <w:sz w:val="16"/>
          <w:szCs w:val="16"/>
          <w:color w:val="auto"/>
        </w:rPr>
      </w:pPr>
    </w:p>
    <w:p>
      <w:pPr>
        <w:ind w:right="300" w:firstLine="1305"/>
        <w:spacing w:after="0" w:line="264"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(or any Subsidiary) and an unconsolidated or other off balance sheet entity that is required to be disclosed by the Company in SEC Reports and is not so disclosed and would have or reasonably be expected to result in a Material Adverse Effect.</w:t>
      </w:r>
    </w:p>
    <w:p>
      <w:pPr>
        <w:spacing w:after="0" w:line="181" w:lineRule="exact"/>
        <w:rPr>
          <w:rFonts w:ascii="Arial" w:cs="Arial" w:eastAsia="Arial" w:hAnsi="Arial"/>
          <w:sz w:val="18"/>
          <w:szCs w:val="18"/>
          <w:color w:val="auto"/>
        </w:rPr>
      </w:pPr>
    </w:p>
    <w:p>
      <w:pPr>
        <w:ind w:right="20" w:firstLine="1305"/>
        <w:spacing w:after="0" w:line="291" w:lineRule="auto"/>
        <w:tabs>
          <w:tab w:leader="none" w:pos="197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Shares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hereby and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67" w:lineRule="exact"/>
        <w:rPr>
          <w:rFonts w:ascii="Arial" w:cs="Arial" w:eastAsia="Arial" w:hAnsi="Arial"/>
          <w:sz w:val="16"/>
          <w:szCs w:val="16"/>
          <w:color w:val="auto"/>
        </w:rPr>
      </w:pPr>
    </w:p>
    <w:p>
      <w:pPr>
        <w:ind w:right="100" w:firstLine="1305"/>
        <w:spacing w:after="0" w:line="297" w:lineRule="auto"/>
        <w:tabs>
          <w:tab w:leader="none" w:pos="194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the Company’s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the Shares in violation of Regulation M under the Exchange Act or (iii) paid or agreed to pay to any Person any compensation for soliciting another to purchase any other securities of the Company, other than, in the case of clauses (ii) and (iii), compensation paid to the Placement Agents in connection with the placement of the Shares.</w:t>
      </w:r>
    </w:p>
    <w:p>
      <w:pPr>
        <w:spacing w:after="0" w:line="158" w:lineRule="exact"/>
        <w:rPr>
          <w:rFonts w:ascii="Arial" w:cs="Arial" w:eastAsia="Arial" w:hAnsi="Arial"/>
          <w:sz w:val="16"/>
          <w:szCs w:val="16"/>
          <w:color w:val="auto"/>
        </w:rPr>
      </w:pPr>
    </w:p>
    <w:p>
      <w:pPr>
        <w:ind w:right="520" w:firstLine="1305"/>
        <w:spacing w:after="0" w:line="277" w:lineRule="auto"/>
        <w:tabs>
          <w:tab w:leader="none" w:pos="197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PFIC</w:t>
      </w:r>
      <w:r>
        <w:rPr>
          <w:rFonts w:ascii="Arial" w:cs="Arial" w:eastAsia="Arial" w:hAnsi="Arial"/>
          <w:sz w:val="18"/>
          <w:szCs w:val="18"/>
          <w:color w:val="auto"/>
        </w:rPr>
        <w:t>. Neither the Company nor any Subsidiary is or intends to become a “passive foreign investment company” within the meaning of Section 1297 of the U.S. Internal Revenue Code of 1986, as amended.</w:t>
      </w:r>
    </w:p>
    <w:p>
      <w:pPr>
        <w:spacing w:after="0" w:line="170" w:lineRule="exact"/>
        <w:rPr>
          <w:rFonts w:ascii="Arial" w:cs="Arial" w:eastAsia="Arial" w:hAnsi="Arial"/>
          <w:sz w:val="18"/>
          <w:szCs w:val="18"/>
          <w:color w:val="auto"/>
        </w:rPr>
      </w:pPr>
    </w:p>
    <w:p>
      <w:pPr>
        <w:ind w:right="80" w:firstLine="1305"/>
        <w:spacing w:after="0" w:line="255" w:lineRule="auto"/>
        <w:tabs>
          <w:tab w:leader="none" w:pos="194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Neither the Company nor any Subsidiary nor, to the Company’s Knowledge, any director, officer, agent, employee, Affiliate or Person acting on behalf of the Company or any Subsidiary is currently subject to any U.S. sanctions administered by the Office of Foreign Assets Control of the U.S. Treasury Department (“</w:t>
      </w:r>
      <w:r>
        <w:rPr>
          <w:rFonts w:ascii="Arial" w:cs="Arial" w:eastAsia="Arial" w:hAnsi="Arial"/>
          <w:sz w:val="18"/>
          <w:szCs w:val="18"/>
          <w:i w:val="1"/>
          <w:iCs w:val="1"/>
          <w:color w:val="auto"/>
        </w:rPr>
        <w:t>OFAC</w:t>
      </w:r>
      <w:r>
        <w:rPr>
          <w:rFonts w:ascii="Arial" w:cs="Arial" w:eastAsia="Arial" w:hAnsi="Arial"/>
          <w:sz w:val="18"/>
          <w:szCs w:val="18"/>
          <w:color w:val="auto"/>
        </w:rPr>
        <w:t>”); and the Company will not directly or indirectly use the proceeds of the sale of the Shares, or lend, contribute or otherwise make available such proceeds to any Subsidiary,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3" w:lineRule="auto"/>
        <w:tabs>
          <w:tab w:leader="none" w:pos="194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CLIA</w:t>
      </w:r>
      <w:r>
        <w:rPr>
          <w:rFonts w:ascii="Arial" w:cs="Arial" w:eastAsia="Arial" w:hAnsi="Arial"/>
          <w:sz w:val="17"/>
          <w:szCs w:val="17"/>
          <w:color w:val="auto"/>
        </w:rPr>
        <w:t>. The Company has operated and currently is in compliance with the Clinical Laboratory Improvement Amendments of 1998 (</w:t>
      </w:r>
      <w:r>
        <w:rPr>
          <w:rFonts w:ascii="Arial" w:cs="Arial" w:eastAsia="Arial" w:hAnsi="Arial"/>
          <w:sz w:val="17"/>
          <w:szCs w:val="17"/>
          <w:i w:val="1"/>
          <w:iCs w:val="1"/>
          <w:color w:val="auto"/>
        </w:rPr>
        <w:t>“CLIA”</w:t>
      </w:r>
      <w:r>
        <w:rPr>
          <w:rFonts w:ascii="Arial" w:cs="Arial" w:eastAsia="Arial" w:hAnsi="Arial"/>
          <w:sz w:val="17"/>
          <w:szCs w:val="17"/>
          <w:color w:val="auto"/>
        </w:rPr>
        <w:t>) and other applicable rules and regulations of federal, state and foreign governmental agencies or bodies engaged in regulation of clinical laboratories or biohazardous materials and, except where the failure to so operate or be in compliance would not reasonably be expected to have a Material Adverse Effect. The Company has not received written notice from any such governmental agencies or bodies requiring the termination, suspension, clinical hold or material modification of any tests, studies or trials conducted by or on behalf of the Company, which termination, suspension, clinical hold or material modification would reasonably be expected to have a Material Adverse Effect.</w:t>
      </w:r>
    </w:p>
    <w:p>
      <w:pPr>
        <w:spacing w:after="0" w:line="178" w:lineRule="exact"/>
        <w:rPr>
          <w:rFonts w:ascii="Arial" w:cs="Arial" w:eastAsia="Arial" w:hAnsi="Arial"/>
          <w:sz w:val="17"/>
          <w:szCs w:val="17"/>
          <w:color w:val="auto"/>
        </w:rPr>
      </w:pPr>
    </w:p>
    <w:p>
      <w:pPr>
        <w:ind w:right="140" w:firstLine="1305"/>
        <w:spacing w:after="0" w:line="277" w:lineRule="auto"/>
        <w:tabs>
          <w:tab w:leader="none" w:pos="197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Purchaser with respect to the transactions contemplated by the Transaction Documents other than as specified in the Transaction Documents.</w:t>
      </w:r>
    </w:p>
    <w:p>
      <w:pPr>
        <w:spacing w:after="0" w:line="170" w:lineRule="exact"/>
        <w:rPr>
          <w:rFonts w:ascii="Arial" w:cs="Arial" w:eastAsia="Arial" w:hAnsi="Arial"/>
          <w:sz w:val="18"/>
          <w:szCs w:val="18"/>
          <w:color w:val="auto"/>
        </w:rPr>
      </w:pPr>
    </w:p>
    <w:p>
      <w:pPr>
        <w:ind w:right="80" w:firstLine="1305"/>
        <w:spacing w:after="0" w:line="277" w:lineRule="auto"/>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Use of Form S-3</w:t>
      </w:r>
      <w:r>
        <w:rPr>
          <w:rFonts w:ascii="Arial" w:cs="Arial" w:eastAsia="Arial" w:hAnsi="Arial"/>
          <w:sz w:val="18"/>
          <w:szCs w:val="18"/>
          <w:color w:val="auto"/>
        </w:rPr>
        <w:t>. The Company meets the registration and transaction requirements for use of Form S-3 for the registration of the Shares for resale by the Purchasers.</w:t>
      </w:r>
    </w:p>
    <w:p>
      <w:pPr>
        <w:sectPr>
          <w:pgSz w:w="11900" w:h="16929" w:orient="portrait"/>
          <w:cols w:equalWidth="0" w:num="1">
            <w:col w:w="11420"/>
          </w:cols>
          <w:pgMar w:left="240" w:top="125" w:right="239" w:bottom="0" w:gutter="0" w:footer="0" w:header="0"/>
        </w:sectPr>
      </w:pPr>
    </w:p>
    <w:bookmarkStart w:id="11" w:name="page12"/>
    <w:bookmarkEnd w:id="11"/>
    <w:p>
      <w:pPr>
        <w:ind w:right="14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hereby, for itself and for no other Purchaser, represents and warrants as of the date hereof and as of the Closing Date to the Company and the Placement Agents as follows:</w:t>
      </w:r>
    </w:p>
    <w:p>
      <w:pPr>
        <w:spacing w:after="0" w:line="170" w:lineRule="exact"/>
        <w:rPr>
          <w:sz w:val="20"/>
          <w:szCs w:val="20"/>
          <w:color w:val="auto"/>
        </w:rPr>
      </w:pPr>
    </w:p>
    <w:p>
      <w:pPr>
        <w:ind w:right="100" w:firstLine="1305"/>
        <w:spacing w:after="0" w:line="289" w:lineRule="auto"/>
        <w:tabs>
          <w:tab w:leader="none" w:pos="194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Such Purchaser is an entity duly organized, validly existing and in good standing under the laws of the jurisdiction of its organization with the requisite corporate or partnership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w:t>
      </w:r>
    </w:p>
    <w:p>
      <w:pPr>
        <w:spacing w:after="0" w:line="166" w:lineRule="exact"/>
        <w:rPr>
          <w:rFonts w:ascii="Arial" w:cs="Arial" w:eastAsia="Arial" w:hAnsi="Arial"/>
          <w:sz w:val="16"/>
          <w:szCs w:val="16"/>
          <w:color w:val="auto"/>
        </w:rPr>
      </w:pPr>
    </w:p>
    <w:p>
      <w:pPr>
        <w:ind w:right="100" w:firstLine="1305"/>
        <w:spacing w:after="0" w:line="291" w:lineRule="auto"/>
        <w:tabs>
          <w:tab w:leader="none" w:pos="195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Purchaser of this Agreement and the Registration Rights Agreement and the consummation by such Purchaser of the transactions contemplated hereby 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w:t>
      </w:r>
    </w:p>
    <w:p>
      <w:pPr>
        <w:spacing w:after="0" w:line="167" w:lineRule="exact"/>
        <w:rPr>
          <w:rFonts w:ascii="Arial" w:cs="Arial" w:eastAsia="Arial" w:hAnsi="Arial"/>
          <w:sz w:val="16"/>
          <w:szCs w:val="16"/>
          <w:color w:val="auto"/>
        </w:rPr>
      </w:pPr>
    </w:p>
    <w:p>
      <w:pPr>
        <w:jc w:val="both"/>
        <w:ind w:right="180" w:firstLine="1305"/>
        <w:spacing w:after="0" w:line="259"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xml:space="preserve">.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laws, </w:t>
      </w:r>
      <w:r>
        <w:rPr>
          <w:rFonts w:ascii="Arial" w:cs="Arial" w:eastAsia="Arial" w:hAnsi="Arial"/>
          <w:sz w:val="18"/>
          <w:szCs w:val="18"/>
          <w:i w:val="1"/>
          <w:iCs w:val="1"/>
          <w:color w:val="auto"/>
        </w:rPr>
        <w:t>provided, however</w:t>
      </w:r>
      <w:r>
        <w:rPr>
          <w:rFonts w:ascii="Arial" w:cs="Arial" w:eastAsia="Arial" w:hAnsi="Arial"/>
          <w:sz w:val="18"/>
          <w:szCs w:val="18"/>
          <w:color w:val="auto"/>
        </w:rPr>
        <w:t>, that by making the representations herein, such Purchaser does not agree to hold any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Shares for any minimum period of time and reserves the right, subject to the provisions of this Agreement and the Registration Rights Agreement, at all times to sell or otherwise dispose of all or any part of such Shares pursuant to an effective registration statement under the Securities Act or under an exemption from such registration and in compliance with applicable federal and state securities laws. Such Purchaser is acquiring the Shares hereunder in the ordinary course of its business. Such Purchaser does not presently have any agreement, plan or understanding, directly or indirectly, with any Person to distribute or effect any distribution of any of the Shares (or any securities which are derivatives thereof) to or through any person or entity; such Purchaser is not a registered broker-dealer under Section 15 of the Exchange Act or an entity engaged in a business that would require it to be so registered as a broker-dealer.</w:t>
      </w:r>
    </w:p>
    <w:p>
      <w:pPr>
        <w:spacing w:after="0" w:line="189" w:lineRule="exact"/>
        <w:rPr>
          <w:sz w:val="20"/>
          <w:szCs w:val="20"/>
          <w:color w:val="auto"/>
        </w:rPr>
      </w:pPr>
    </w:p>
    <w:p>
      <w:pPr>
        <w:ind w:firstLine="1305"/>
        <w:spacing w:after="0" w:line="277" w:lineRule="auto"/>
        <w:tabs>
          <w:tab w:leader="none" w:pos="19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at the date hereof it is, an “accredited investor” as defined in Rule 501(a) under the Securities Act.</w:t>
      </w:r>
    </w:p>
    <w:p>
      <w:pPr>
        <w:spacing w:after="0" w:line="170" w:lineRule="exact"/>
        <w:rPr>
          <w:rFonts w:ascii="Arial" w:cs="Arial" w:eastAsia="Arial" w:hAnsi="Arial"/>
          <w:sz w:val="18"/>
          <w:szCs w:val="18"/>
          <w:color w:val="auto"/>
        </w:rPr>
      </w:pPr>
    </w:p>
    <w:p>
      <w:pPr>
        <w:ind w:right="20" w:firstLine="1305"/>
        <w:spacing w:after="0" w:line="264"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any other general advertisement.</w:t>
      </w:r>
    </w:p>
    <w:p>
      <w:pPr>
        <w:spacing w:after="0" w:line="181" w:lineRule="exact"/>
        <w:rPr>
          <w:rFonts w:ascii="Arial" w:cs="Arial" w:eastAsia="Arial" w:hAnsi="Arial"/>
          <w:sz w:val="18"/>
          <w:szCs w:val="18"/>
          <w:color w:val="auto"/>
        </w:rPr>
      </w:pPr>
    </w:p>
    <w:p>
      <w:pPr>
        <w:ind w:right="120" w:firstLine="1305"/>
        <w:spacing w:after="0" w:line="259" w:lineRule="auto"/>
        <w:tabs>
          <w:tab w:leader="none" w:pos="194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ind w:firstLine="1305"/>
        <w:spacing w:after="0" w:line="270" w:lineRule="auto"/>
        <w:tabs>
          <w:tab w:leader="none" w:pos="196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Disclosure Materials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Disclosure Materials and the Company’s representations and warranties contained in the Transaction Documents. Such Purchaser has sought such accounting, legal and tax advice as it has considered necessary to make an informed decision with respect to its acquisition of the Shares.</w:t>
      </w:r>
    </w:p>
    <w:p>
      <w:pPr>
        <w:spacing w:after="0" w:line="177" w:lineRule="exact"/>
        <w:rPr>
          <w:rFonts w:ascii="Arial" w:cs="Arial" w:eastAsia="Arial" w:hAnsi="Arial"/>
          <w:sz w:val="17"/>
          <w:szCs w:val="17"/>
          <w:color w:val="auto"/>
        </w:rPr>
      </w:pPr>
    </w:p>
    <w:p>
      <w:pPr>
        <w:ind w:firstLine="1305"/>
        <w:spacing w:after="0" w:line="253" w:lineRule="auto"/>
        <w:tabs>
          <w:tab w:leader="none" w:pos="26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Certain Trading Activities</w:t>
      </w:r>
      <w:r>
        <w:rPr>
          <w:rFonts w:ascii="Arial" w:cs="Arial" w:eastAsia="Arial" w:hAnsi="Arial"/>
          <w:sz w:val="18"/>
          <w:szCs w:val="18"/>
          <w:color w:val="auto"/>
        </w:rPr>
        <w:t>. Other than with respect to the transactions contemplated herein, since the time that such Purchaser was first contacted by the Company, the Placement Agents or any other Person regarding the transactions contemplated hereby, neither the Purchaser nor any Affiliate of such Purchaser which (x) had knowledge of the transactions contemplated hereby, (y) has or shares discretion relating to such Purchaser’s investments or trading or information concerning such Purchaser’s investments, including in respect of the Shares, and (z) is subject to such Purchaser’s review or input concerning such Affiliate’s investments or trading (collectively, “</w:t>
      </w:r>
      <w:r>
        <w:rPr>
          <w:rFonts w:ascii="Arial" w:cs="Arial" w:eastAsia="Arial" w:hAnsi="Arial"/>
          <w:sz w:val="18"/>
          <w:szCs w:val="18"/>
          <w:i w:val="1"/>
          <w:iCs w:val="1"/>
          <w:color w:val="auto"/>
        </w:rPr>
        <w:t>Trading Affiliate</w:t>
      </w:r>
      <w:r>
        <w:rPr>
          <w:rFonts w:ascii="Arial" w:cs="Arial" w:eastAsia="Arial" w:hAnsi="Arial"/>
          <w:sz w:val="18"/>
          <w:szCs w:val="18"/>
          <w:color w:val="auto"/>
        </w:rPr>
        <w:t>s”) has directly or indirectly, nor has any Person acting on behalf of or pursuant to any understanding with such Purchaser or Trading Affiliate, effected or agreed to effect any purchases or sales of the securities of the Company (including, without limitation, any Short Sales involving the Company’s securities). Notwithstanding the foregoing, in the case of a Purchaser and/or Trading Affiliate that is, individually or collectively, a multi-managed investment bank or vehicle whereby separate portfolio managers manage separate portions of such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12" w:name="page13"/>
    <w:bookmarkEnd w:id="12"/>
    <w:p>
      <w:pPr>
        <w:spacing w:after="0" w:line="3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Purchaser’s or Trading Affiliate’s assets and the portfolio managers have no direct knowledge of the investment decisions made by the portfolio managers managing other portions of such Purchaser’s or Trading Affiliate’s assets, the representation set forth above shall apply only with respect to the portion of assets managed by the portfolio manager that have knowledge about the financing transaction contemplated by this Agreement. Other than to other Persons party to this Agreement,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78" w:lineRule="exact"/>
        <w:rPr>
          <w:sz w:val="20"/>
          <w:szCs w:val="20"/>
          <w:color w:val="auto"/>
        </w:rPr>
      </w:pPr>
    </w:p>
    <w:p>
      <w:pPr>
        <w:ind w:right="60" w:firstLine="1305"/>
        <w:spacing w:after="0" w:line="264" w:lineRule="auto"/>
        <w:tabs>
          <w:tab w:leader="none" w:pos="196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Brokers and Finders</w:t>
      </w:r>
      <w:r>
        <w:rPr>
          <w:rFonts w:ascii="Arial" w:cs="Arial" w:eastAsia="Arial" w:hAnsi="Arial"/>
          <w:sz w:val="18"/>
          <w:szCs w:val="18"/>
          <w:color w:val="auto"/>
        </w:rPr>
        <w:t>. No Person will have, as a result of the transactions contemplated by this Agreement, any valid right, interest or claim against or upon the Company or any Purchaser for any commission, fee or other compensation pursuant to any agreement, arrangement or understanding entered into by or on behalf of the Purchaser.</w:t>
      </w:r>
    </w:p>
    <w:p>
      <w:pPr>
        <w:spacing w:after="0" w:line="181" w:lineRule="exact"/>
        <w:rPr>
          <w:rFonts w:ascii="Arial" w:cs="Arial" w:eastAsia="Arial" w:hAnsi="Arial"/>
          <w:sz w:val="18"/>
          <w:szCs w:val="18"/>
          <w:color w:val="auto"/>
        </w:rPr>
      </w:pPr>
    </w:p>
    <w:p>
      <w:pPr>
        <w:ind w:firstLine="1305"/>
        <w:spacing w:after="0" w:line="253" w:lineRule="auto"/>
        <w:tabs>
          <w:tab w:leader="none" w:pos="195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Independent Investment Decision</w:t>
      </w:r>
      <w:r>
        <w:rPr>
          <w:rFonts w:ascii="Arial" w:cs="Arial" w:eastAsia="Arial" w:hAnsi="Arial"/>
          <w:sz w:val="18"/>
          <w:szCs w:val="18"/>
          <w:color w:val="auto"/>
        </w:rPr>
        <w:t>. Such Purchaser has independently evaluated the merits of its decision to purchase Shares 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Shares constitutes legal, tax or investment advice. Such Purchaser has consulted such legal, tax and investment advisors as it, in its sole discretion, has deemed necessary or appropriate in connection with its purchase of the Shares. Such Purchaser understands that the Placement Agents have acted solely as the agent of the Company in this placement of the Shares and such Purchaser has not relied on the business or legal advice of the Placement Agents or any of their agents, counsel or Affiliates in making its investment decision hereunder, and confirms that none of such Persons has made any representations or warranties to such Purchaser in connection with the transactions contemplated by the Transaction Documents.</w:t>
      </w:r>
    </w:p>
    <w:p>
      <w:pPr>
        <w:spacing w:after="0" w:line="197" w:lineRule="exact"/>
        <w:rPr>
          <w:rFonts w:ascii="Arial" w:cs="Arial" w:eastAsia="Arial" w:hAnsi="Arial"/>
          <w:sz w:val="18"/>
          <w:szCs w:val="18"/>
          <w:color w:val="auto"/>
        </w:rPr>
      </w:pPr>
    </w:p>
    <w:p>
      <w:pPr>
        <w:ind w:right="160" w:firstLine="1305"/>
        <w:spacing w:after="0" w:line="257"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Reliance on Section 4(a)(2)Exemption</w:t>
      </w:r>
      <w:r>
        <w:rPr>
          <w:rFonts w:ascii="Arial" w:cs="Arial" w:eastAsia="Arial" w:hAnsi="Arial"/>
          <w:sz w:val="18"/>
          <w:szCs w:val="18"/>
          <w:color w:val="auto"/>
        </w:rPr>
        <w:t>. Such Purchaser understands that the Shares being offered and sold to it in reliance on the exemption from the registration requirements of United States federal and state securities laws provided under Section 4(a)(2) of the Securities Act and that the Company is relying in part upon the truth and accuracy of, and such Purchaser’s compliance with, the representations, warranties, agreements, acknowledgements and understandings of such Purchaser set forth herein in order to determine the availability of such exemption and the eligibility of such Purchaser to acquire the Shares.</w:t>
      </w:r>
    </w:p>
    <w:p>
      <w:pPr>
        <w:spacing w:after="0" w:line="188" w:lineRule="exact"/>
        <w:rPr>
          <w:rFonts w:ascii="Arial" w:cs="Arial" w:eastAsia="Arial" w:hAnsi="Arial"/>
          <w:sz w:val="18"/>
          <w:szCs w:val="18"/>
          <w:color w:val="auto"/>
        </w:rPr>
      </w:pPr>
    </w:p>
    <w:p>
      <w:pPr>
        <w:jc w:val="both"/>
        <w:ind w:right="160" w:firstLine="1305"/>
        <w:spacing w:after="0" w:line="264" w:lineRule="auto"/>
        <w:tabs>
          <w:tab w:leader="none" w:pos="196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Such Purchaser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181" w:lineRule="exact"/>
        <w:rPr>
          <w:rFonts w:ascii="Arial" w:cs="Arial" w:eastAsia="Arial" w:hAnsi="Arial"/>
          <w:sz w:val="18"/>
          <w:szCs w:val="18"/>
          <w:color w:val="auto"/>
        </w:rPr>
      </w:pPr>
    </w:p>
    <w:p>
      <w:pPr>
        <w:ind w:right="120" w:firstLine="1305"/>
        <w:spacing w:after="0" w:line="277" w:lineRule="auto"/>
        <w:tabs>
          <w:tab w:leader="none" w:pos="19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Such Purchaser is aware that the anti-manipulation rules of Regulation M under the Exchange Act may apply to sales of Common Stock and other activities with respect to the Common Stock by the Purchasers.</w:t>
      </w:r>
    </w:p>
    <w:p>
      <w:pPr>
        <w:spacing w:after="0" w:line="170" w:lineRule="exact"/>
        <w:rPr>
          <w:rFonts w:ascii="Arial" w:cs="Arial" w:eastAsia="Arial" w:hAnsi="Arial"/>
          <w:sz w:val="18"/>
          <w:szCs w:val="18"/>
          <w:color w:val="auto"/>
        </w:rPr>
      </w:pPr>
    </w:p>
    <w:p>
      <w:pPr>
        <w:ind w:right="360" w:firstLine="1305"/>
        <w:spacing w:after="0" w:line="257"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The purchase by such Purchaser of the Shares issuable to it at the Closing will not result in such Purchaser (individually or together with any other Person with whom such Purchaser has identified, or will have identified, itself as part of a “group” in a public filing made with the Commission involving the Company’s securities) acquiring, or obtaining the right to acquire, in excess of 19.999% of the outstanding shares of Common Stock or the voting power of the Company on a post transaction basis that assumes that such Closing shall have occurred. Such Purchaser does not presently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in excess of 19.999% of the outstanding shares of Common Stock or the voting power of the Company on a post transaction basis that assumes that each Closing shall have occurred.</w:t>
      </w:r>
    </w:p>
    <w:p>
      <w:pPr>
        <w:spacing w:after="0" w:line="187" w:lineRule="exact"/>
        <w:rPr>
          <w:sz w:val="20"/>
          <w:szCs w:val="20"/>
          <w:color w:val="auto"/>
        </w:rPr>
      </w:pPr>
    </w:p>
    <w:p>
      <w:pPr>
        <w:ind w:right="40" w:firstLine="1305"/>
        <w:spacing w:after="0" w:line="277"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Such Purchaser’s residence (if an individual) or offices in which its investment decision with respect to the Shares was made (if an entity) are located at the address immediately below such Purchaser’s name on its signature page hereto.</w:t>
      </w:r>
    </w:p>
    <w:p>
      <w:pPr>
        <w:spacing w:after="0" w:line="170" w:lineRule="exact"/>
        <w:rPr>
          <w:rFonts w:ascii="Arial" w:cs="Arial" w:eastAsia="Arial" w:hAnsi="Arial"/>
          <w:sz w:val="18"/>
          <w:szCs w:val="18"/>
          <w:color w:val="auto"/>
        </w:rPr>
      </w:pPr>
    </w:p>
    <w:p>
      <w:pPr>
        <w:ind w:right="20" w:firstLine="1305"/>
        <w:spacing w:after="0" w:line="264"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Accuracy of Accredited Investor Questionnaire</w:t>
      </w:r>
      <w:r>
        <w:rPr>
          <w:rFonts w:ascii="Arial" w:cs="Arial" w:eastAsia="Arial" w:hAnsi="Arial"/>
          <w:sz w:val="18"/>
          <w:szCs w:val="18"/>
          <w:color w:val="auto"/>
        </w:rPr>
        <w:t>. The Accredited Investor Questionnaire delivered by each Purchaser in connection with this Agreement is complete and accurate in all material respects as of the date of this Agreement and will be complete and accurate as of the Closing Date and the effective date of the Registration Statement.</w:t>
      </w:r>
    </w:p>
    <w:p>
      <w:pPr>
        <w:spacing w:after="0" w:line="181" w:lineRule="exact"/>
        <w:rPr>
          <w:rFonts w:ascii="Arial" w:cs="Arial" w:eastAsia="Arial" w:hAnsi="Arial"/>
          <w:sz w:val="18"/>
          <w:szCs w:val="18"/>
          <w:color w:val="auto"/>
        </w:rPr>
      </w:pPr>
    </w:p>
    <w:p>
      <w:pPr>
        <w:ind w:left="1640" w:hanging="335"/>
        <w:spacing w:after="0"/>
        <w:tabs>
          <w:tab w:leader="none" w:pos="16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Placement Agent Information</w:t>
      </w:r>
      <w:r>
        <w:rPr>
          <w:rFonts w:ascii="Arial" w:cs="Arial" w:eastAsia="Arial" w:hAnsi="Arial"/>
          <w:sz w:val="16"/>
          <w:szCs w:val="16"/>
          <w:color w:val="auto"/>
        </w:rPr>
        <w:t>. The Purchaser acknowledges that it has received and reviewed the disclosure set forth on Schedule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3.2(r) attached hereto.</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The Company and each of the Purchasers acknowledge and agree that no party to this Agreement has made or makes any representations or warranties with respect to the transactions contemplated hereby other than those specifically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Transaction Documents.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86" w:lineRule="auto"/>
        <w:tabs>
          <w:tab w:leader="none" w:pos="194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Article IV</w:t>
      </w:r>
      <w:r>
        <w:rPr>
          <w:rFonts w:ascii="Arial" w:cs="Arial" w:eastAsia="Arial" w:hAnsi="Arial"/>
          <w:sz w:val="16"/>
          <w:szCs w:val="16"/>
          <w:color w:val="auto"/>
        </w:rPr>
        <w:t>, each Purchaser covenants that the Shares may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and federal securities laws. In connection with any transfer of the Shares other than (i) pursuant to an effective registration statement, (ii) to the Company,</w:t>
      </w:r>
    </w:p>
    <w:p>
      <w:pPr>
        <w:spacing w:after="0" w:line="1" w:lineRule="exact"/>
        <w:rPr>
          <w:rFonts w:ascii="Arial" w:cs="Arial" w:eastAsia="Arial" w:hAnsi="Arial"/>
          <w:sz w:val="16"/>
          <w:szCs w:val="16"/>
          <w:color w:val="auto"/>
        </w:rPr>
      </w:pPr>
    </w:p>
    <w:p>
      <w:pPr>
        <w:ind w:right="160" w:firstLine="8"/>
        <w:spacing w:after="0" w:line="295" w:lineRule="auto"/>
        <w:tabs>
          <w:tab w:leader="none" w:pos="3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Rule 144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Purchaser provides the Company with reasonable assurances (in the form of seller and, if applicable, broker representation letters) that the securities may be sold pursuant to such rule) or (iv) in connection with a bona fide pledge as contemplated in </w:t>
      </w:r>
      <w:r>
        <w:rPr>
          <w:rFonts w:ascii="Arial" w:cs="Arial" w:eastAsia="Arial" w:hAnsi="Arial"/>
          <w:sz w:val="16"/>
          <w:szCs w:val="16"/>
          <w:u w:val="single" w:color="auto"/>
          <w:color w:val="auto"/>
        </w:rPr>
        <w:t>Section 4.1(b)</w:t>
      </w:r>
      <w:r>
        <w:rPr>
          <w:rFonts w:ascii="Arial" w:cs="Arial" w:eastAsia="Arial" w:hAnsi="Arial"/>
          <w:sz w:val="16"/>
          <w:szCs w:val="16"/>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w:t>
      </w:r>
    </w:p>
    <w:p>
      <w:pPr>
        <w:sectPr>
          <w:pgSz w:w="11900" w:h="16870" w:orient="portrait"/>
          <w:cols w:equalWidth="0" w:num="1">
            <w:col w:w="11420"/>
          </w:cols>
          <w:pgMar w:left="240" w:top="125" w:right="239" w:bottom="0" w:gutter="0" w:footer="0" w:header="0"/>
        </w:sectPr>
      </w:pPr>
    </w:p>
    <w:bookmarkStart w:id="13" w:name="page14"/>
    <w:bookmarkEnd w:id="13"/>
    <w:p>
      <w:pPr>
        <w:ind w:right="20"/>
        <w:spacing w:after="0" w:line="264" w:lineRule="auto"/>
        <w:rPr>
          <w:sz w:val="20"/>
          <w:szCs w:val="20"/>
          <w:color w:val="auto"/>
        </w:rPr>
      </w:pPr>
      <w:r>
        <w:rPr>
          <w:rFonts w:ascii="Arial" w:cs="Arial" w:eastAsia="Arial" w:hAnsi="Arial"/>
          <w:sz w:val="18"/>
          <w:szCs w:val="18"/>
          <w:color w:val="auto"/>
        </w:rPr>
        <w:t>registration of such transferred Shares under the Securities Act. As a condition of transfer, any such transferee shall agree in writing to be bound by the terms of this Agreement and the Registration Rights Agreement and shall have the rights of a Purchaser under this Agreement and the Registration Rights Agreement with respect to such transferred Shares.</w:t>
      </w:r>
    </w:p>
    <w:p>
      <w:pPr>
        <w:spacing w:after="0" w:line="181" w:lineRule="exact"/>
        <w:rPr>
          <w:sz w:val="20"/>
          <w:szCs w:val="20"/>
          <w:color w:val="auto"/>
        </w:rPr>
      </w:pPr>
    </w:p>
    <w:p>
      <w:pPr>
        <w:ind w:right="180" w:firstLine="1305"/>
        <w:spacing w:after="0" w:line="277"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xml:space="preserve">. Book entry notations evidencing the Shares shall bear any legend as required by the “blue sky” laws of any state and a restrictive legend in substantially the following form, until such time as they are not required under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170" w:lineRule="exact"/>
        <w:rPr>
          <w:sz w:val="20"/>
          <w:szCs w:val="20"/>
          <w:color w:val="auto"/>
        </w:rPr>
      </w:pPr>
    </w:p>
    <w:p>
      <w:pPr>
        <w:ind w:left="1300" w:right="340"/>
        <w:spacing w:after="0" w:line="264" w:lineRule="auto"/>
        <w:rPr>
          <w:sz w:val="20"/>
          <w:szCs w:val="20"/>
          <w:color w:val="auto"/>
        </w:rPr>
      </w:pPr>
      <w:r>
        <w:rPr>
          <w:rFonts w:ascii="Arial" w:cs="Arial" w:eastAsia="Arial" w:hAnsi="Arial"/>
          <w:sz w:val="18"/>
          <w:szCs w:val="18"/>
          <w:color w:val="auto"/>
        </w:rPr>
        <w:t>THESE SECURITIES HAVE NOT BEEN REGISTERED UNDER THE SECURITIES ACT OF 1933, AS AMENDED (THE “SECURITIES ACT”), OR APPLICABLE STATE SECURITIES LAWS. THE SECURITIES MAY NOT BE OFFERED FOR SALE, SOLD, TRANSFERRED OR ASSIGNED (I)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55" w:lineRule="auto"/>
        <w:rPr>
          <w:sz w:val="20"/>
          <w:szCs w:val="20"/>
          <w:color w:val="auto"/>
        </w:rPr>
      </w:pPr>
      <w:r>
        <w:rPr>
          <w:rFonts w:ascii="Arial" w:cs="Arial" w:eastAsia="Arial" w:hAnsi="Arial"/>
          <w:sz w:val="18"/>
          <w:szCs w:val="18"/>
          <w:color w:val="auto"/>
        </w:rPr>
        <w:t>THE ABSENCE OF (A) AN EFFECTIVE REGISTRATION 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AND ITS TRANSFER AGENT OR (II) UNLESS SOLD PURSUANT TO RULE 144 UNDER THE SECURITIES ACT. NOTWITHSTANDING THE FOREGOING, THE SECURITIES MAY BE PLEDGED IN CONNECTION WITH A BONA FIDE MARGIN ACCOUNT OR OTHER LOAN OR FINANCING ARRANGEMENT SECURED BY THE SECURITIES.</w:t>
      </w:r>
    </w:p>
    <w:p>
      <w:pPr>
        <w:spacing w:after="0" w:line="18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The Company acknowledges and agrees that a Purchaser may from time to time pledge, and/or grant a security interest in, some or all of the legended Shares in connection with applicable securities laws, pursuant to a bona fide margin agreement in compliance with a bona fide margin loan. Such a pledge would not be subject to approval or consent of the Company and no legal opinion of legal counsel to the pledgee, secured party or pledgor shall be required in connection with the pledge, but such legal opinion shall be required in connection with a subsequent transfer or foreclosure following default by the Purchaser transferee of the pledge. No notice shall be required of such pledge, but Purchaser’s transferee shall promptly notify the Company of any such subsequent transfer or foreclosure. Each Purchaser acknowledges that the Company shall not be responsible for any pledges relating to, or the grant of any security interest in, any of the Shares or for any agreement, understanding or arrangement between any Purchaser and its pledgee or secured party. At the appropriate Purchaser’s expense, the Company will execute and deliver such reasonable documentation as a pledgee or secured party of Shares may reasonably request in connection with a pledge or transfer of the Shares, including the preparation and filing of any required prospectus supplement under Rule 424(b)(3) of the Securities Act or other applicable provision of the Securities Act to appropriately amend the list of Selling Stockholders thereunder. Each Purchaser acknowledges and agrees that, except as otherwise provided in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any Shares subject to a pledge or security interest as contemplated by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continue to bear the legend set forth in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and be subject to the restrictions on transfer set forth in </w:t>
      </w:r>
      <w:r>
        <w:rPr>
          <w:rFonts w:ascii="Arial" w:cs="Arial" w:eastAsia="Arial" w:hAnsi="Arial"/>
          <w:sz w:val="17"/>
          <w:szCs w:val="17"/>
          <w:u w:val="single" w:color="auto"/>
          <w:color w:val="auto"/>
        </w:rPr>
        <w:t>Section 4.1(a)</w:t>
      </w:r>
      <w:r>
        <w:rPr>
          <w:rFonts w:ascii="Arial" w:cs="Arial" w:eastAsia="Arial" w:hAnsi="Arial"/>
          <w:sz w:val="17"/>
          <w:szCs w:val="17"/>
          <w:color w:val="auto"/>
        </w:rPr>
        <w:t>.</w:t>
      </w:r>
    </w:p>
    <w:p>
      <w:pPr>
        <w:spacing w:after="0" w:line="188" w:lineRule="exact"/>
        <w:rPr>
          <w:sz w:val="20"/>
          <w:szCs w:val="20"/>
          <w:color w:val="auto"/>
        </w:rPr>
      </w:pPr>
    </w:p>
    <w:p>
      <w:pPr>
        <w:ind w:right="120" w:firstLine="1305"/>
        <w:spacing w:after="0" w:line="268" w:lineRule="auto"/>
        <w:tabs>
          <w:tab w:leader="none" w:pos="195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Removal of Legends</w:t>
      </w:r>
      <w:r>
        <w:rPr>
          <w:rFonts w:ascii="Arial" w:cs="Arial" w:eastAsia="Arial" w:hAnsi="Arial"/>
          <w:sz w:val="17"/>
          <w:szCs w:val="17"/>
          <w:color w:val="auto"/>
        </w:rPr>
        <w:t xml:space="preserve">. The legend set forth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above shall be removed and the Company shall issue a certificate without such legend or any other legend to the holder of the applicable Shares upon which it is stamped or, at such holder’s option, issue to such holder by electronic delivery at the applicable balance account at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 if (i) such Shares are registered for resale under the Securities Act (provided that, if the Purchaser is selling pursuant to the effective registration statement registering the Shares for resale, the Purchaser agrees to only sell such Shares during such time that such registration statement is effective and not withdrawn or suspended, and only as permitted by such registration statement), (ii) such Shares are sold or transferred pursuant to Rule 144 (if the transferor is not an Affiliate of the Company), or (iii) such Shares are eligible for sale under Rule 144, without the requirement for the Company to be in compliance with the current public information required under Rule 144 as to such securities and without volume or manner-of-sale restrictions. Following the earlier of (i) the Effective Date or (ii) Rule 144 becoming available for the resale of Shares, without the requirement for the Company to be in compliance with the current public information required under Rule 144 as to such securities and without volume or manner-of-sale restrictions, the Company shall cause Company Counsel to issue to the Transfer Agent the legal opinion referred to in the Irrevocable Transfer Agent Instructions. Any fees (with respect to the Transfer Agent, Company Counsel or otherwise) associated with the issuance of such opinion or the removal of such legend shall be borne by the Company. Following the Effective Date, or at such earlier time as a legend is no longer required (in which case a Purchaser shall also be required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provide reasonable assurances in the form of seller and, if applicable, broker representation letters) for certain Shares, the Company will no later than three</w:t>
      </w:r>
    </w:p>
    <w:p>
      <w:pPr>
        <w:spacing w:after="0" w:line="46" w:lineRule="exact"/>
        <w:rPr>
          <w:sz w:val="20"/>
          <w:szCs w:val="20"/>
          <w:color w:val="auto"/>
        </w:rPr>
      </w:pPr>
    </w:p>
    <w:p>
      <w:pPr>
        <w:ind w:right="20" w:firstLine="8"/>
        <w:spacing w:after="0" w:line="256" w:lineRule="auto"/>
        <w:tabs>
          <w:tab w:leader="none" w:pos="2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Trading Days following the delivery by a Purchaser to the Company (with notice to the Company) of a legended certificate representing Shares (endorsed or with stock powers attached, signatures guaranteed, and otherwise in form necessary to affect the reissuance and/or transfer), and an opinion of counsel to the extent required by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(such third (3</w:t>
      </w:r>
      <w:r>
        <w:rPr>
          <w:rFonts w:ascii="Arial" w:cs="Arial" w:eastAsia="Arial" w:hAnsi="Arial"/>
          <w:sz w:val="22"/>
          <w:szCs w:val="22"/>
          <w:color w:val="auto"/>
          <w:vertAlign w:val="superscript"/>
        </w:rPr>
        <w:t>rd</w:t>
      </w:r>
      <w:r>
        <w:rPr>
          <w:rFonts w:ascii="Arial" w:cs="Arial" w:eastAsia="Arial" w:hAnsi="Arial"/>
          <w:sz w:val="17"/>
          <w:szCs w:val="17"/>
          <w:color w:val="auto"/>
        </w:rPr>
        <w:t>) Trading Day, the “</w:t>
      </w:r>
      <w:r>
        <w:rPr>
          <w:rFonts w:ascii="Arial" w:cs="Arial" w:eastAsia="Arial" w:hAnsi="Arial"/>
          <w:sz w:val="17"/>
          <w:szCs w:val="17"/>
          <w:i w:val="1"/>
          <w:iCs w:val="1"/>
          <w:color w:val="auto"/>
        </w:rPr>
        <w:t>Legend Removal Date</w:t>
      </w:r>
      <w:r>
        <w:rPr>
          <w:rFonts w:ascii="Arial" w:cs="Arial" w:eastAsia="Arial" w:hAnsi="Arial"/>
          <w:sz w:val="17"/>
          <w:szCs w:val="17"/>
          <w:color w:val="auto"/>
        </w:rPr>
        <w:t xml:space="preserve">”), deliver or cause to be delivered to such Purchaser or the transferee of such Purchaser, as applicable, a certificate or book entry position representing such Shares that is free from all restrictive and other legends. The Company may not make any notation on its records or give instructions to the Transfer Agent that enlarge the restrictions on transfer set forth in this </w:t>
      </w:r>
      <w:r>
        <w:rPr>
          <w:rFonts w:ascii="Arial" w:cs="Arial" w:eastAsia="Arial" w:hAnsi="Arial"/>
          <w:sz w:val="17"/>
          <w:szCs w:val="17"/>
          <w:u w:val="single" w:color="auto"/>
          <w:color w:val="auto"/>
        </w:rPr>
        <w:t>Section 4.1(c)</w:t>
      </w:r>
      <w:r>
        <w:rPr>
          <w:rFonts w:ascii="Arial" w:cs="Arial" w:eastAsia="Arial" w:hAnsi="Arial"/>
          <w:sz w:val="17"/>
          <w:szCs w:val="17"/>
          <w:color w:val="auto"/>
        </w:rPr>
        <w:t>. Certificates for Shares subject to legend removal hereunder may be transmitted by the Transfer Agent to the Purchasers by crediting the account of the Purchaser’s prime broker with DTC as directed by such Purchaser.</w:t>
      </w:r>
    </w:p>
    <w:p>
      <w:pPr>
        <w:spacing w:after="0" w:line="193" w:lineRule="exact"/>
        <w:rPr>
          <w:rFonts w:ascii="Arial" w:cs="Arial" w:eastAsia="Arial" w:hAnsi="Arial"/>
          <w:sz w:val="17"/>
          <w:szCs w:val="17"/>
          <w:color w:val="auto"/>
        </w:rPr>
      </w:pPr>
    </w:p>
    <w:p>
      <w:pPr>
        <w:ind w:firstLine="1305"/>
        <w:spacing w:after="0" w:line="270" w:lineRule="auto"/>
        <w:tabs>
          <w:tab w:leader="none" w:pos="1952"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Irrevocable Transfer Agent Instructions</w:t>
      </w:r>
      <w:r>
        <w:rPr>
          <w:rFonts w:ascii="Arial" w:cs="Arial" w:eastAsia="Arial" w:hAnsi="Arial"/>
          <w:sz w:val="17"/>
          <w:szCs w:val="17"/>
          <w:color w:val="auto"/>
        </w:rPr>
        <w:t xml:space="preserve">. The Company shall issue irrevocable instructions to its transfer agent, and any subsequent transfer agent,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(the “</w:t>
      </w:r>
      <w:r>
        <w:rPr>
          <w:rFonts w:ascii="Arial" w:cs="Arial" w:eastAsia="Arial" w:hAnsi="Arial"/>
          <w:sz w:val="17"/>
          <w:szCs w:val="17"/>
          <w:i w:val="1"/>
          <w:iCs w:val="1"/>
          <w:color w:val="auto"/>
        </w:rPr>
        <w:t>Irrevocable Transfer Agent Instructions</w:t>
      </w:r>
      <w:r>
        <w:rPr>
          <w:rFonts w:ascii="Arial" w:cs="Arial" w:eastAsia="Arial" w:hAnsi="Arial"/>
          <w:sz w:val="17"/>
          <w:szCs w:val="17"/>
          <w:color w:val="auto"/>
        </w:rPr>
        <w:t xml:space="preserve">”). The Company represents and warrants that no instruction other than the Irrevocable Transfer Agent Instructions referred to in this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(or instructions that are consistent therewith) will be given by the Company to its transfer agent in connection with this Agreement, and that the Shares shall otherwise be freely transferable on the books and records of the Company as and to the extent provided in this Agreement and the other Transaction Documents and applicable law. The Company acknowledges that a breach by it of its obligations under this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will cause irreparable harm to a Purchaser. Accordingly, the Company acknowledges that the remedy at law for a breach of its obligations under this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will be inadequate and agrees, in the event of a breach or threatened breach by the Company of the provisions of this </w:t>
      </w:r>
      <w:r>
        <w:rPr>
          <w:rFonts w:ascii="Arial" w:cs="Arial" w:eastAsia="Arial" w:hAnsi="Arial"/>
          <w:sz w:val="17"/>
          <w:szCs w:val="17"/>
          <w:u w:val="single" w:color="auto"/>
          <w:color w:val="auto"/>
        </w:rPr>
        <w:t>Section 4.1(d)</w:t>
      </w:r>
      <w:r>
        <w:rPr>
          <w:rFonts w:ascii="Arial" w:cs="Arial" w:eastAsia="Arial" w:hAnsi="Arial"/>
          <w:sz w:val="17"/>
          <w:szCs w:val="17"/>
          <w:color w:val="auto"/>
        </w:rPr>
        <w:t>, that a Purchaser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ectPr>
          <w:pgSz w:w="11900" w:h="16838" w:orient="portrait"/>
          <w:cols w:equalWidth="0" w:num="1">
            <w:col w:w="11400"/>
          </w:cols>
          <w:pgMar w:left="240" w:top="125" w:right="259" w:bottom="0" w:gutter="0" w:footer="0" w:header="0"/>
        </w:sectPr>
      </w:pPr>
    </w:p>
    <w:bookmarkStart w:id="14" w:name="page15"/>
    <w:bookmarkEnd w:id="14"/>
    <w:p>
      <w:pPr>
        <w:ind w:right="20" w:firstLine="1305"/>
        <w:spacing w:after="0" w:line="269" w:lineRule="auto"/>
        <w:tabs>
          <w:tab w:leader="none" w:pos="195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xml:space="preserve">. Each Purchaser hereunder acknowledges its primary responsibilities under the Securities Act and accordingly will not sell or otherwise transfer the Shares or any interest therein without complying with the requirements of the Securities Act. While the Registration Statement remains effective, each Purchaser hereunder may sell the Shares in accordance with the plan of distribution contained in the Registration Statement and if it does so it will comply therewith and with the related prospectus delivery requirements unless an exemption therefrom is available. Each Purchaser, severally and not jointly with the other Purchasers, agrees that if it is notified by the Company in writing at any time that the Registration Statement registering the resale of the Shares is not effective or that the prospectus included in such Registration Statement no longer complies with the requirements of Section 10 of the Securities Act, the Purchaser will refrain from selling such Shares until such time as the Purchaser is notified by the Company that such Registration Statement is effective or such prospectus is compliant with Section 10 of the Securities Act, unless such Purchaser is able to, and does, sell such Shares pursuant to an available exemption from the registration requirements of Section 5 of the Securities Act. Both the Company and its Transfer Agent, and their respective directors, officers, employees and agents, may rely on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and each Purchaser hereunder will indemnify and hold harmless each of such persons from any breaches or violations of this </w:t>
      </w:r>
      <w:r>
        <w:rPr>
          <w:rFonts w:ascii="Arial" w:cs="Arial" w:eastAsia="Arial" w:hAnsi="Arial"/>
          <w:sz w:val="17"/>
          <w:szCs w:val="17"/>
          <w:u w:val="single" w:color="auto"/>
          <w:color w:val="auto"/>
        </w:rPr>
        <w:t>Section 4.1(e)</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80" w:firstLine="1305"/>
        <w:spacing w:after="0" w:line="276" w:lineRule="auto"/>
        <w:tabs>
          <w:tab w:leader="none" w:pos="165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Buy-In</w:t>
      </w:r>
      <w:r>
        <w:rPr>
          <w:rFonts w:ascii="Arial" w:cs="Arial" w:eastAsia="Arial" w:hAnsi="Arial"/>
          <w:sz w:val="17"/>
          <w:szCs w:val="17"/>
          <w:color w:val="auto"/>
        </w:rPr>
        <w:t>. If the Company shall fail for any reason or for no reason to issue to a Purchaser unlegended certificates or legend-free book entry positions within three (3) Trading Days of receipt of all documents necessary for the removal of the legend set forth above (the “</w:t>
      </w:r>
      <w:r>
        <w:rPr>
          <w:rFonts w:ascii="Arial" w:cs="Arial" w:eastAsia="Arial" w:hAnsi="Arial"/>
          <w:sz w:val="17"/>
          <w:szCs w:val="17"/>
          <w:i w:val="1"/>
          <w:iCs w:val="1"/>
          <w:color w:val="auto"/>
        </w:rPr>
        <w:t>Deadline Date</w:t>
      </w:r>
      <w:r>
        <w:rPr>
          <w:rFonts w:ascii="Arial" w:cs="Arial" w:eastAsia="Arial" w:hAnsi="Arial"/>
          <w:sz w:val="17"/>
          <w:szCs w:val="17"/>
          <w:color w:val="auto"/>
        </w:rPr>
        <w:t>”), then, in addition to all other remedies available to such Purchaser, if on or after the Trading Day immediately following such three (3) Trading Day period, such Purchaser purchases (in an open market transaction or otherwise) shares of Common Stock to deliver in satisfaction of a sale by the holder of shares of Common Stock that such Purchaser anticipated receiving from the Company without any restrictive legend (a “</w:t>
      </w:r>
      <w:r>
        <w:rPr>
          <w:rFonts w:ascii="Arial" w:cs="Arial" w:eastAsia="Arial" w:hAnsi="Arial"/>
          <w:sz w:val="17"/>
          <w:szCs w:val="17"/>
          <w:i w:val="1"/>
          <w:iCs w:val="1"/>
          <w:color w:val="auto"/>
        </w:rPr>
        <w:t>Buy-In</w:t>
      </w:r>
      <w:r>
        <w:rPr>
          <w:rFonts w:ascii="Arial" w:cs="Arial" w:eastAsia="Arial" w:hAnsi="Arial"/>
          <w:sz w:val="17"/>
          <w:szCs w:val="17"/>
          <w:color w:val="auto"/>
        </w:rPr>
        <w:t>”), then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Company shall, within three (3) Trading Days after such Purchaser’s request and in such Purchaser’s sole discretion, either (i) pay cash to the Purchaser in an amount equal to such Purchaser’s total purchase price (including brokerage commissions, if any) for the shares of Common Stock so purchased (the “</w:t>
      </w:r>
      <w:r>
        <w:rPr>
          <w:rFonts w:ascii="Arial" w:cs="Arial" w:eastAsia="Arial" w:hAnsi="Arial"/>
          <w:sz w:val="17"/>
          <w:szCs w:val="17"/>
          <w:i w:val="1"/>
          <w:iCs w:val="1"/>
          <w:color w:val="auto"/>
        </w:rPr>
        <w:t>Buy-In</w:t>
      </w:r>
      <w:r>
        <w:rPr>
          <w:rFonts w:ascii="Arial" w:cs="Arial" w:eastAsia="Arial" w:hAnsi="Arial"/>
          <w:sz w:val="17"/>
          <w:szCs w:val="17"/>
          <w:color w:val="auto"/>
        </w:rPr>
        <w:t xml:space="preserve"> </w:t>
      </w:r>
      <w:r>
        <w:rPr>
          <w:rFonts w:ascii="Arial" w:cs="Arial" w:eastAsia="Arial" w:hAnsi="Arial"/>
          <w:sz w:val="17"/>
          <w:szCs w:val="17"/>
          <w:i w:val="1"/>
          <w:iCs w:val="1"/>
          <w:color w:val="auto"/>
        </w:rPr>
        <w:t>Price</w:t>
      </w:r>
      <w:r>
        <w:rPr>
          <w:rFonts w:ascii="Arial" w:cs="Arial" w:eastAsia="Arial" w:hAnsi="Arial"/>
          <w:sz w:val="17"/>
          <w:szCs w:val="17"/>
          <w:color w:val="auto"/>
        </w:rPr>
        <w:t>”), at which point the Company’s obligation to deliver such certificate or unrestricted book entry position (and to issue such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shall terminate, or (ii) promptly honor its obligation to deliver to such Purchaser a certificate or certificates or unrestricted book entry position representing such shares of Common Stock and pay cash to the Purchaser in an amount equal to the excess (if any) of the Buy-In Price over the product of (a) such number of shares of Common Stock, times (b) the Closing Bid Price on the Deadline Date.</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Furnishing of Information</w:t>
      </w:r>
      <w:r>
        <w:rPr>
          <w:rFonts w:ascii="Arial" w:cs="Arial" w:eastAsia="Arial" w:hAnsi="Arial"/>
          <w:sz w:val="17"/>
          <w:szCs w:val="17"/>
          <w:color w:val="auto"/>
        </w:rPr>
        <w:t>. In order to enable the Purchasers to sell the Shares under Rule 144, for a period of twelve (12) months from the Closing, the Company shall use its reasonable efforts to timely file (or obtain extensions in respect thereof and file within the applicable grace period) all reports required to be filed by the Company after the date hereof pursuant to the Exchange Act. During such twelve (12) month period, if the Company is not required to file reports pursuant to the Exchange Act, it will prepare and furnish to the Purchasers and make publicly available in accordance with Rule 144(c) such information as is required for the Purchasers to sell the Shares under Rule 144.</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Integration</w:t>
      </w:r>
      <w:r>
        <w:rPr>
          <w:rFonts w:ascii="Arial" w:cs="Arial" w:eastAsia="Arial" w:hAnsi="Arial"/>
          <w:sz w:val="16"/>
          <w:szCs w:val="16"/>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Purchasers, or that will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58"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By 9:00 A.M., New York City time, on the Trading Day immediately following the date hereof, the Company shall issue a press release (the “</w:t>
      </w:r>
      <w:r>
        <w:rPr>
          <w:rFonts w:ascii="Arial" w:cs="Arial" w:eastAsia="Arial" w:hAnsi="Arial"/>
          <w:sz w:val="16"/>
          <w:szCs w:val="16"/>
          <w:i w:val="1"/>
          <w:iCs w:val="1"/>
          <w:color w:val="auto"/>
        </w:rPr>
        <w:t>Press Release</w:t>
      </w:r>
      <w:r>
        <w:rPr>
          <w:rFonts w:ascii="Arial" w:cs="Arial" w:eastAsia="Arial" w:hAnsi="Arial"/>
          <w:sz w:val="16"/>
          <w:szCs w:val="16"/>
          <w:color w:val="auto"/>
        </w:rPr>
        <w:t>”) reasonably acceptable to the Placement Agents disclosing all material terms of the transactions contemplated hereby. On or before 9:00 A.M., New York City time, on the second (2</w:t>
      </w:r>
      <w:r>
        <w:rPr>
          <w:rFonts w:ascii="Arial" w:cs="Arial" w:eastAsia="Arial" w:hAnsi="Arial"/>
          <w:sz w:val="20"/>
          <w:szCs w:val="20"/>
          <w:color w:val="auto"/>
          <w:vertAlign w:val="superscript"/>
        </w:rPr>
        <w:t>nd</w:t>
      </w:r>
      <w:r>
        <w:rPr>
          <w:rFonts w:ascii="Arial" w:cs="Arial" w:eastAsia="Arial" w:hAnsi="Arial"/>
          <w:sz w:val="16"/>
          <w:szCs w:val="16"/>
          <w:color w:val="auto"/>
        </w:rPr>
        <w:t>) Trading Day immediately following the execution of this Agreement, the Company will file a Current Report on Form 8-K with the Commission describing the terms of the Transaction Documents (and including as exhibits to such Current Report on Form 8-K the material Transaction Documents (including, without limitation, this Agreement and the Registration Rights Agreement)). Notwithstanding the foregoing, the Company shall not publicly disclose the name of any Purchaser or an Affiliate of any Purchaser, or include the name of any Purchaser or an Affiliate of any Purchaser in any press release or filing with the Commission (other than the Registration Statement) or any regulatory agency or Trading Market, without the prior written consent of such Purchaser, except (i) as required by federal securities law in connection with</w:t>
      </w:r>
    </w:p>
    <w:p>
      <w:pPr>
        <w:spacing w:after="0" w:line="4" w:lineRule="exact"/>
        <w:rPr>
          <w:sz w:val="20"/>
          <w:szCs w:val="20"/>
          <w:color w:val="auto"/>
        </w:rPr>
      </w:pPr>
    </w:p>
    <w:p>
      <w:pPr>
        <w:ind w:right="40" w:firstLine="8"/>
        <w:spacing w:after="0" w:line="251" w:lineRule="auto"/>
        <w:tabs>
          <w:tab w:leader="none" w:pos="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registration statement contemplated by the Registration Rights Agreement and (B) the filing of final Transaction Documents (including signature pages thereto) with the Commission and (ii) to the extent such disclosure is required by law, request of the Staff of the Commission or Trading Market regulations, in which case the Company shall provide the Purchasers with prior written notice of such disclosure permitted under this subclause (ii). From and after the issuance of the Press Release, no Purchaser shall be in possession of any material, non-public information received from the Company, any Subsidiary or any of their respective officers, directors, employees or agents, that is not disclosed in the Press Release unless a Purchaser shall have executed a written agreement regarding the confidentiality and use of such information. Each Purchaser, severally and not jointly with the other Purchasers, covenants that until such time as the transactions contemplated by this Agreement are required to be publicly disclosed by the Company as described in this </w:t>
      </w:r>
      <w:r>
        <w:rPr>
          <w:rFonts w:ascii="Arial" w:cs="Arial" w:eastAsia="Arial" w:hAnsi="Arial"/>
          <w:sz w:val="18"/>
          <w:szCs w:val="18"/>
          <w:u w:val="single" w:color="auto"/>
          <w:color w:val="auto"/>
        </w:rPr>
        <w:t>Section 4.4</w:t>
      </w:r>
      <w:r>
        <w:rPr>
          <w:rFonts w:ascii="Arial" w:cs="Arial" w:eastAsia="Arial" w:hAnsi="Arial"/>
          <w:sz w:val="18"/>
          <w:szCs w:val="18"/>
          <w:color w:val="auto"/>
        </w:rPr>
        <w:t>, such Purchaser will maintain the confidentiality of all disclosures made to it in connection with this transaction (including the existence and terms of this transaction).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including this Agreement, or as expressly required by any applicable securities law, the Company covenants and agrees that neither it, nor any other Person acting on its behalf, will provide any Purchaser or its agents or counsel with any information regarding the Company that the Company believes constitutes material non-public information without the express written consent of such Purchaser, unless prior thereto such Purchaser shall have executed a written agreement regarding the confidentiality and use of such information. The Company understands and confirms that each Purchaser shall be relying on the foregoing covenant in effecting transactions in securities of the Company.</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research and development, commercialization, working capital and general corporate purposes and shall not use such proceeds for: (a) the satisfaction of any portion of the Company’s debt (other than payment of trade payables in the ordinary course of the Company’s business and prior practices), (b) the redemption of any Common Stock or Common Stock Equivalents or (c) the settlement of any litigation outstanding as of the date hereof.</w:t>
      </w:r>
    </w:p>
    <w:p>
      <w:pPr>
        <w:sectPr>
          <w:pgSz w:w="11900" w:h="16838" w:orient="portrait"/>
          <w:cols w:equalWidth="0" w:num="1">
            <w:col w:w="11400"/>
          </w:cols>
          <w:pgMar w:left="240" w:top="125" w:right="259" w:bottom="0" w:gutter="0" w:footer="0" w:header="0"/>
        </w:sectPr>
      </w:pPr>
    </w:p>
    <w:bookmarkStart w:id="15" w:name="page16"/>
    <w:bookmarkEnd w:id="15"/>
    <w:p>
      <w:pPr>
        <w:spacing w:after="0" w:line="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Principal Trading Market Listing</w:t>
      </w:r>
      <w:r>
        <w:rPr>
          <w:rFonts w:ascii="Arial" w:cs="Arial" w:eastAsia="Arial" w:hAnsi="Arial"/>
          <w:sz w:val="17"/>
          <w:szCs w:val="17"/>
          <w:color w:val="auto"/>
        </w:rPr>
        <w:t>. In the time and manner required by the Principal Trading Market, the Company shall prepare and file with such Principal Trading Market an additional shares listing application covering all of the Shares and shall use its commercially reasonable efforts to take all steps necessary to cause all of the Shares to be approved for listing on the Principal Trading Market as promptly as possible thereafter.</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Blue Sky</w:t>
      </w:r>
      <w:r>
        <w:rPr>
          <w:rFonts w:ascii="Arial" w:cs="Arial" w:eastAsia="Arial" w:hAnsi="Arial"/>
          <w:sz w:val="16"/>
          <w:szCs w:val="16"/>
          <w:color w:val="auto"/>
        </w:rPr>
        <w:t>. The Company, on or before the Closing Date, shall take such action as the Company shall reasonably determine is necessary in order to obtain an exemption for or to qualify the Shares for sale to the Purchasers under applicable securities or “Blue Sky” laws of the states of the United States (or to obtain an exemption from such qualification) and shall provide evidence of such actions promptly upon the written request of any Purchaser.</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Delivery of Shares After Closing</w:t>
      </w:r>
      <w:r>
        <w:rPr>
          <w:rFonts w:ascii="Arial" w:cs="Arial" w:eastAsia="Arial" w:hAnsi="Arial"/>
          <w:sz w:val="18"/>
          <w:szCs w:val="18"/>
          <w:color w:val="auto"/>
        </w:rPr>
        <w:t>. The Company shall deliver, or cause to be delivered, the respective Shares purchased by each Purchaser to such Purchaser within three (3) Trading Days of the Closing Date.</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Short Sales and Confidentiality After The Date Hereof</w:t>
      </w:r>
      <w:r>
        <w:rPr>
          <w:rFonts w:ascii="Arial" w:cs="Arial" w:eastAsia="Arial" w:hAnsi="Arial"/>
          <w:sz w:val="16"/>
          <w:szCs w:val="16"/>
          <w:color w:val="auto"/>
        </w:rPr>
        <w:t xml:space="preserve">. Such Purchaser shall not, and shall cause its Trading Affiliates not to, engage, directly or indirectly, in any transactions in the Company’s securities (including, without limitation, any Short Sales involving the Company’s securities) during the period from the date hereof until the earlier of such time as (i) the transactions contemplated by this Agreement are first publicly announced as required by and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(ii) this Agreement is terminated in full pursuant to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Each Purchaser, severally and not jointly with the other Purchasers, covenants that until such time as the transactions contemplated by this Agreement are publicly disclosed by the Company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such Purchaser will maintain the confidentiality of the existence and terms of this transaction and the information included in the Transaction Documents and Disclosure Schedules. 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each Purchaser agrees, severally and not jointly with any Purchasers, that they will not enter into any Net Short Sales (as hereinafter defined) from the period commencing on the Closing Date and ending on the earliest of (x) the Effective Date of the initial Registration Statement or (y) the date that such Purchaser no longer holds any Shares. For purposes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a “</w:t>
      </w:r>
      <w:r>
        <w:rPr>
          <w:rFonts w:ascii="Arial" w:cs="Arial" w:eastAsia="Arial" w:hAnsi="Arial"/>
          <w:sz w:val="16"/>
          <w:szCs w:val="16"/>
          <w:i w:val="1"/>
          <w:iCs w:val="1"/>
          <w:color w:val="auto"/>
        </w:rPr>
        <w:t>Net Short Sale</w:t>
      </w:r>
      <w:r>
        <w:rPr>
          <w:rFonts w:ascii="Arial" w:cs="Arial" w:eastAsia="Arial" w:hAnsi="Arial"/>
          <w:sz w:val="16"/>
          <w:szCs w:val="16"/>
          <w:color w:val="auto"/>
        </w:rPr>
        <w:t>” by any Purchaser shall mean a sale of Common Stock by such Purchaser that is marked as a short sale and that is made at a time when there is no equivalent offsetting long position in Common Stock held by such Purchaser. Notwithstanding the foregoing, in the event that a Purchaser is a multi-managed investment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apply only with respect to the portion of assets managed by the portfolio manager that have knowledge about the financing transaction contemplated by this Agreement. Moreover, notwithstanding the foregoing, in the event that a Purchaser has sold Shares pursuant to Rule 144 prior to the Effective Date of the initial Registration Statement and the Company has failed to deliver certificates without legends or unlegended book entry positions prior to the settlement date for such sale (assuming that such certificates or book entry positions meet the requirements set forth in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for the removal of legends), the provisions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shall not prohibit the Purchaser from entering into Net Short Sales for the purpose of delivering shares of Common Stock in settlement of such sale. Each Purchaser understands and acknowledges, severally and not jointly with any other Purchaser, that the Commission currently takes the position that covering a short position established prior to effectiveness of a resale registration statement with shares included in such registration statement would be a violation of Section 5 of the Securities Act, as set forth in Item 65, Section 5 under Section A, of the Manual of Publicly Available Telephone Interpretations, dated July 1997, compiled by the Office of Chief Counsel, Division of Corporation Finance.</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Subsequent Equity Sales</w:t>
      </w:r>
      <w:r>
        <w:rPr>
          <w:rFonts w:ascii="Arial" w:cs="Arial" w:eastAsia="Arial" w:hAnsi="Arial"/>
          <w:sz w:val="16"/>
          <w:szCs w:val="16"/>
          <w:color w:val="auto"/>
        </w:rPr>
        <w:t>. From the date hereof until the earlier of (i) one hundred eighty (180) days following the Closing Date or (ii) thirty</w:t>
      </w:r>
    </w:p>
    <w:p>
      <w:pPr>
        <w:spacing w:after="0" w:line="23" w:lineRule="exact"/>
        <w:rPr>
          <w:sz w:val="20"/>
          <w:szCs w:val="20"/>
          <w:color w:val="auto"/>
        </w:rPr>
      </w:pPr>
    </w:p>
    <w:p>
      <w:pPr>
        <w:ind w:firstLine="8"/>
        <w:spacing w:after="0" w:line="286" w:lineRule="auto"/>
        <w:tabs>
          <w:tab w:leader="none" w:pos="3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days after the Effective Date (the “</w:t>
      </w:r>
      <w:r>
        <w:rPr>
          <w:rFonts w:ascii="Arial" w:cs="Arial" w:eastAsia="Arial" w:hAnsi="Arial"/>
          <w:sz w:val="16"/>
          <w:szCs w:val="16"/>
          <w:i w:val="1"/>
          <w:iCs w:val="1"/>
          <w:color w:val="auto"/>
        </w:rPr>
        <w:t>Lock-Up Period</w:t>
      </w:r>
      <w:r>
        <w:rPr>
          <w:rFonts w:ascii="Arial" w:cs="Arial" w:eastAsia="Arial" w:hAnsi="Arial"/>
          <w:sz w:val="16"/>
          <w:szCs w:val="16"/>
          <w:color w:val="auto"/>
        </w:rPr>
        <w:t xml:space="preserve">”), neither the Company nor any Subsidiary shall issue shares of Common Stock or Common Stock Equivalents;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thirty (30) day period set forth in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be extended for the number of Trading Days during such period in which (i) trading in the Common Stock is suspended by any Trading Market, or (ii) following the Effective Date, the Registration Statement is not effective or the prospectus included in the Registration Statement may not be used by the Purchasers for the resale of the Shares. Notwithstanding the foregoing, in no event shall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prohibit the Company from (A) issuing shares of Common Stock or Common Stock Equivalents (i) in connection with acquisitions or strategic transactions approved by a majority of the disinterested directors of the Company, provided that any such issuance shall only be to a Person which is, itself or through its subsidiaries, an operating company in a business synergistic with the business of the Company, but shall not include a transaction in which the Company is issuing securities primarily for the purpose of raising capital or to an entity whose primary business is investing in securities, (ii) upon the exercise of any options or warrants outstanding on the date hereof or (iii) to employees, directors or consultants pursuant to any stock option or equity incentive or employee stock purchase plan or (B) filing a registration statement with the SEC to register equity securities of the Company to be sold on a primary basis following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securities are sold until the expiration of the Lock-Up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CLOSING</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Precedent to the Obligations of the Purchasers to Purchase Shares</w:t>
      </w:r>
      <w:r>
        <w:rPr>
          <w:rFonts w:ascii="Arial" w:cs="Arial" w:eastAsia="Arial" w:hAnsi="Arial"/>
          <w:sz w:val="18"/>
          <w:szCs w:val="18"/>
          <w:color w:val="auto"/>
        </w:rPr>
        <w:t>. The obligation of each Purchaser to acquire Shares at the Closing is subject to the fulfillment to such Purchaser’s satisfaction, on or prior to the Closing Date, of each of the following conditions, any of which may be waived by such Purchaser (as to itself only):</w:t>
      </w:r>
    </w:p>
    <w:p>
      <w:pPr>
        <w:spacing w:after="0" w:line="181" w:lineRule="exact"/>
        <w:rPr>
          <w:sz w:val="20"/>
          <w:szCs w:val="20"/>
          <w:color w:val="auto"/>
        </w:rPr>
      </w:pPr>
    </w:p>
    <w:p>
      <w:pPr>
        <w:jc w:val="both"/>
        <w:ind w:right="120" w:firstLine="1305"/>
        <w:spacing w:after="0" w:line="259"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herein shall be true 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such representations and warranties that speak as of a specific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77"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satisfied and complied in all material respects with all covenants, agreements and conditions required by the Transaction Documents to be performed, satisfied or complied with by it at or prior to the Closing.</w:t>
      </w:r>
    </w:p>
    <w:p>
      <w:pPr>
        <w:spacing w:after="0" w:line="170" w:lineRule="exact"/>
        <w:rPr>
          <w:rFonts w:ascii="Arial" w:cs="Arial" w:eastAsia="Arial" w:hAnsi="Arial"/>
          <w:sz w:val="18"/>
          <w:szCs w:val="18"/>
          <w:color w:val="auto"/>
        </w:rPr>
      </w:pPr>
    </w:p>
    <w:p>
      <w:pPr>
        <w:ind w:right="640" w:firstLine="1305"/>
        <w:spacing w:after="0" w:line="264"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ectPr>
          <w:pgSz w:w="11900" w:h="16918" w:orient="portrait"/>
          <w:cols w:equalWidth="0" w:num="1">
            <w:col w:w="11400"/>
          </w:cols>
          <w:pgMar w:left="240" w:top="125" w:right="259" w:bottom="0" w:gutter="0" w:footer="0" w:header="0"/>
        </w:sectPr>
      </w:pPr>
    </w:p>
    <w:bookmarkStart w:id="16" w:name="page17"/>
    <w:bookmarkEnd w:id="16"/>
    <w:p>
      <w:pPr>
        <w:ind w:firstLine="1305"/>
        <w:spacing w:after="0" w:line="264"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The Company shall have obtained in a timely fashion any and all consents, permits, approvals, registrations and waivers necessary for consummation of the purchase and sale of the Shares (including all Required Approvals), all of which shall be and remain so long as necessary in full force and effect.</w:t>
      </w:r>
    </w:p>
    <w:p>
      <w:pPr>
        <w:spacing w:after="0" w:line="181" w:lineRule="exact"/>
        <w:rPr>
          <w:rFonts w:ascii="Arial" w:cs="Arial" w:eastAsia="Arial" w:hAnsi="Arial"/>
          <w:sz w:val="18"/>
          <w:szCs w:val="18"/>
          <w:color w:val="auto"/>
        </w:rPr>
      </w:pPr>
    </w:p>
    <w:p>
      <w:pPr>
        <w:ind w:right="160" w:firstLine="1305"/>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Adverse Changes</w:t>
      </w:r>
      <w:r>
        <w:rPr>
          <w:rFonts w:ascii="Arial" w:cs="Arial" w:eastAsia="Arial" w:hAnsi="Arial"/>
          <w:sz w:val="18"/>
          <w:szCs w:val="18"/>
          <w:color w:val="auto"/>
        </w:rPr>
        <w:t>. Since the date of execution of this Agreement, no event or series of events shall have occurred that has had or would reasonably be expected to have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NASDAQ Global Market shall have approved the listing of additional shares application for the Shares.</w:t>
      </w:r>
    </w:p>
    <w:p>
      <w:pPr>
        <w:spacing w:after="0" w:line="225" w:lineRule="exact"/>
        <w:rPr>
          <w:rFonts w:ascii="Arial" w:cs="Arial" w:eastAsia="Arial" w:hAnsi="Arial"/>
          <w:sz w:val="18"/>
          <w:szCs w:val="18"/>
          <w:color w:val="auto"/>
        </w:rPr>
      </w:pPr>
    </w:p>
    <w:p>
      <w:pPr>
        <w:ind w:right="60" w:firstLine="1305"/>
        <w:spacing w:after="0" w:line="259" w:lineRule="auto"/>
        <w:tabs>
          <w:tab w:leader="none" w:pos="19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Suspensions of Trading in Common Stock</w:t>
      </w:r>
      <w:r>
        <w:rPr>
          <w:rFonts w:ascii="Arial" w:cs="Arial" w:eastAsia="Arial" w:hAnsi="Arial"/>
          <w:sz w:val="18"/>
          <w:szCs w:val="18"/>
          <w:color w:val="auto"/>
        </w:rPr>
        <w:t>. The Common Stock shall not have been suspended, as of the Closing Date, by the Commission or the Principal Trading Market from trading on the Principal Trading Market nor shall suspension by the Commission or the Principal Trading Market have been threatened, as of the Closing Date, either (A) in writing by the Commission or the Principal Trading Market or (B) by falling below the minimum listing maintenance requirements of the Principal Trading Market.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Company Deliverables</w:t>
      </w:r>
      <w:r>
        <w:rPr>
          <w:rFonts w:ascii="Arial" w:cs="Arial" w:eastAsia="Arial" w:hAnsi="Arial"/>
          <w:sz w:val="17"/>
          <w:szCs w:val="17"/>
          <w:color w:val="auto"/>
        </w:rPr>
        <w:t xml:space="preserve">. The Company shall have delivered the Company Deliverables in accordance with </w:t>
      </w:r>
      <w:r>
        <w:rPr>
          <w:rFonts w:ascii="Arial" w:cs="Arial" w:eastAsia="Arial" w:hAnsi="Arial"/>
          <w:sz w:val="17"/>
          <w:szCs w:val="17"/>
          <w:u w:val="single" w:color="auto"/>
          <w:color w:val="auto"/>
        </w:rPr>
        <w:t>Section 2.2(a)</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300" w:firstLine="1305"/>
        <w:spacing w:after="0" w:line="264" w:lineRule="auto"/>
        <w:tabs>
          <w:tab w:leader="none" w:pos="196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Company shall have delivered to each Purchaser a certificate, dated as of the Closing Date and signed by its Chief Executive Officer or its Chief Financial Officer, dated as of the Closing Date, certifying to the fulfillment of the conditions specified in </w:t>
      </w:r>
      <w:r>
        <w:rPr>
          <w:rFonts w:ascii="Arial" w:cs="Arial" w:eastAsia="Arial" w:hAnsi="Arial"/>
          <w:sz w:val="18"/>
          <w:szCs w:val="18"/>
          <w:u w:val="single" w:color="auto"/>
          <w:color w:val="auto"/>
        </w:rPr>
        <w:t>Sections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not have been terminated as to such Purchaser in accordance with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herein.</w:t>
      </w:r>
    </w:p>
    <w:p>
      <w:pPr>
        <w:spacing w:after="0" w:line="23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Precedent to the Obligations of the Company to sell Shares</w:t>
      </w:r>
      <w:r>
        <w:rPr>
          <w:rFonts w:ascii="Arial" w:cs="Arial" w:eastAsia="Arial" w:hAnsi="Arial"/>
          <w:sz w:val="18"/>
          <w:szCs w:val="18"/>
          <w:color w:val="auto"/>
        </w:rPr>
        <w:t>. The Company’s obligation to sell and issue the Shares at the Closing to the Purchasers is subject to the fulfillment to the satisfaction of the Company on or prior to the Closing Date of the following conditions, any of which may be waived by the Company:</w:t>
      </w:r>
    </w:p>
    <w:p>
      <w:pPr>
        <w:spacing w:after="0" w:line="181" w:lineRule="exact"/>
        <w:rPr>
          <w:sz w:val="20"/>
          <w:szCs w:val="20"/>
          <w:color w:val="auto"/>
        </w:rPr>
      </w:pPr>
    </w:p>
    <w:p>
      <w:pPr>
        <w:ind w:right="20" w:firstLine="1305"/>
        <w:spacing w:after="0" w:line="259" w:lineRule="auto"/>
        <w:tabs>
          <w:tab w:leader="none" w:pos="194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made by the Purchasers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hereof shall be true 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representations and warranties that speak as of a specific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342" w:lineRule="auto"/>
        <w:tabs>
          <w:tab w:leader="none" w:pos="19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Performance</w:t>
      </w:r>
      <w:r>
        <w:rPr>
          <w:rFonts w:ascii="Arial" w:cs="Arial" w:eastAsia="Arial" w:hAnsi="Arial"/>
          <w:sz w:val="16"/>
          <w:szCs w:val="16"/>
          <w:color w:val="auto"/>
        </w:rPr>
        <w:t>. Such Purchaser shall have performed, satisfied and complied in all material respects with all covenants, agreements and conditions required by the Transaction Documents to be performed, satisfied or complied with by such Purchaser at or prior to the Closing Date.</w:t>
      </w:r>
    </w:p>
    <w:p>
      <w:pPr>
        <w:spacing w:after="0" w:line="123" w:lineRule="exact"/>
        <w:rPr>
          <w:rFonts w:ascii="Arial" w:cs="Arial" w:eastAsia="Arial" w:hAnsi="Arial"/>
          <w:sz w:val="16"/>
          <w:szCs w:val="16"/>
          <w:color w:val="auto"/>
        </w:rPr>
      </w:pPr>
    </w:p>
    <w:p>
      <w:pPr>
        <w:ind w:right="660" w:firstLine="1305"/>
        <w:spacing w:after="0" w:line="264"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81" w:lineRule="exact"/>
        <w:rPr>
          <w:rFonts w:ascii="Arial" w:cs="Arial" w:eastAsia="Arial" w:hAnsi="Arial"/>
          <w:sz w:val="18"/>
          <w:szCs w:val="18"/>
          <w:color w:val="auto"/>
        </w:rPr>
      </w:pPr>
    </w:p>
    <w:p>
      <w:pPr>
        <w:ind w:firstLine="1305"/>
        <w:spacing w:after="0" w:line="342" w:lineRule="auto"/>
        <w:tabs>
          <w:tab w:leader="none" w:pos="19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Company shall have obtained in a timely fashion any and all consents, permits, approvals, registrations and waivers necessary for consummation of the purchase and sale of the Shares, all of which shall be and remain so long as necessary in full force and effect.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Purchasers Deliverables</w:t>
      </w:r>
      <w:r>
        <w:rPr>
          <w:rFonts w:ascii="Arial" w:cs="Arial" w:eastAsia="Arial" w:hAnsi="Arial"/>
          <w:sz w:val="17"/>
          <w:szCs w:val="17"/>
          <w:color w:val="auto"/>
        </w:rPr>
        <w:t xml:space="preserve">. Such Purchaser shall have delivered its Purchaser Deliverables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NASDAQ Global Market shall have approved the listing of additional shares application for the Shares.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not have been terminated as to such Purchaser in accordance with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herein.</w:t>
      </w:r>
    </w:p>
    <w:p>
      <w:pPr>
        <w:spacing w:after="0" w:line="236" w:lineRule="exact"/>
        <w:rPr>
          <w:rFonts w:ascii="Arial" w:cs="Arial" w:eastAsia="Arial" w:hAnsi="Arial"/>
          <w:sz w:val="17"/>
          <w:szCs w:val="17"/>
          <w:color w:val="auto"/>
        </w:rPr>
      </w:pPr>
    </w:p>
    <w:p>
      <w:pPr>
        <w:ind w:right="140" w:firstLine="1305"/>
        <w:spacing w:after="0" w:line="342" w:lineRule="auto"/>
        <w:tabs>
          <w:tab w:leader="none" w:pos="19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Placement Agent Certificate</w:t>
      </w:r>
      <w:r>
        <w:rPr>
          <w:rFonts w:ascii="Arial" w:cs="Arial" w:eastAsia="Arial" w:hAnsi="Arial"/>
          <w:sz w:val="16"/>
          <w:szCs w:val="16"/>
          <w:color w:val="auto"/>
        </w:rPr>
        <w:t>. The Company shall have received a certificate in a form reasonably acceptable to it, dated as of the Closing Date, and executed by each of the Placement Agents as to matters related to the conduct of the private placement contemplated 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Fees and Expenses</w:t>
      </w:r>
      <w:r>
        <w:rPr>
          <w:rFonts w:ascii="Arial" w:cs="Arial" w:eastAsia="Arial" w:hAnsi="Arial"/>
          <w:sz w:val="15"/>
          <w:szCs w:val="15"/>
          <w:color w:val="auto"/>
        </w:rPr>
        <w:t>. The Company and the Purchasers shall each pay the fees and expenses of their respective advisers, counsel,</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accountants and other experts, if any, and all other expenses incurred by such party in connection with the negotiation, preparation, execution, delivery and performance of this Agreement. The Company shall pay all Transfer Agent fees, stamp taxes and other taxes and duties levied in connection with the sale and issuance of the Shares to the Purchasers.</w:t>
      </w:r>
    </w:p>
    <w:p>
      <w:pPr>
        <w:spacing w:after="0" w:line="1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Purchasers will execute and deliver to the other such further documents as may be reasonably requested in order to give practical effect to the intention of the parties under the Transaction Documents.</w:t>
      </w:r>
    </w:p>
    <w:p>
      <w:pPr>
        <w:spacing w:after="0" w:line="17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facsimile (provided the sender receives a machine-generated confirmation of successful transmission) at the facsimile number specified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prior to 5:00 P.M., New York City time, on a Trading Day, (b) the next Trading Day after the date of transmission, if such notice or communication is delivered via facsimile at the facsimile number specified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on a day that is not a Trading Day or later than 5:00 P.M., New York City time, on any Trading Day, (c) the Trading Day following the date of mailing, if sent by U.S. nationally recognized</w:t>
      </w:r>
    </w:p>
    <w:p>
      <w:pPr>
        <w:sectPr>
          <w:pgSz w:w="11900" w:h="16838" w:orient="portrait"/>
          <w:cols w:equalWidth="0" w:num="1">
            <w:col w:w="11420"/>
          </w:cols>
          <w:pgMar w:left="240" w:top="341"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overnight courier service with next day delivery specified, or (d) upon actual receipt by the party to whom such notice is required to be given. The address for such notices and communications shall be as follows: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No.: (650) 243-6300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No.: (650) 243-6301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Bonnie H. Anderson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E-mail: Bonnie@veracyte.com</w:t>
      </w:r>
    </w:p>
    <w:p>
      <w:pPr>
        <w:spacing w:after="0" w:line="200" w:lineRule="exact"/>
        <w:rPr>
          <w:sz w:val="20"/>
          <w:szCs w:val="20"/>
          <w:color w:val="auto"/>
        </w:rPr>
      </w:pPr>
    </w:p>
    <w:p>
      <w:pPr>
        <w:sectPr>
          <w:pgSz w:w="11900" w:h="16838" w:orient="portrait"/>
          <w:cols w:equalWidth="0" w:num="2">
            <w:col w:w="2020" w:space="700"/>
            <w:col w:w="8700"/>
          </w:cols>
          <w:pgMar w:left="240" w:top="125" w:right="239" w:bottom="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2550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(650) 233-4670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(866)741-1889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Gabriella Lombardi, Esq.</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gabriella.lombardi@pillsburylaw.com</w:t>
      </w:r>
    </w:p>
    <w:p>
      <w:pPr>
        <w:spacing w:after="0" w:line="200" w:lineRule="exact"/>
        <w:rPr>
          <w:sz w:val="20"/>
          <w:szCs w:val="20"/>
          <w:color w:val="auto"/>
        </w:rPr>
      </w:pPr>
    </w:p>
    <w:p>
      <w:pPr>
        <w:sectPr>
          <w:pgSz w:w="11900" w:h="16838" w:orient="portrait"/>
          <w:cols w:equalWidth="0" w:num="2">
            <w:col w:w="2000" w:space="720"/>
            <w:col w:w="8700"/>
          </w:cols>
          <w:pgMar w:left="240" w:top="125" w:right="239" w:bottom="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a Purchaser: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To the address set forth under such Purchaser’s name on the signature page hereof;</w:t>
      </w:r>
    </w:p>
    <w:p>
      <w:pPr>
        <w:spacing w:after="0" w:line="211" w:lineRule="exact"/>
        <w:rPr>
          <w:sz w:val="20"/>
          <w:szCs w:val="20"/>
          <w:color w:val="auto"/>
        </w:rPr>
      </w:pPr>
    </w:p>
    <w:p>
      <w:pPr>
        <w:sectPr>
          <w:pgSz w:w="11900" w:h="16838" w:orient="portrait"/>
          <w:cols w:equalWidth="0" w:num="2">
            <w:col w:w="2000" w:space="720"/>
            <w:col w:w="870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as may be designated in writing hereafter, in the same manner, by such Person.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Amendments; Waivers; No Additional Consideration</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the Purchasers of at least 662/3% in interest of the Shares still held by Purchasers or, in the case of a waiver, by the party against whom enforcement of any such waiver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who then hold Shares.</w:t>
      </w:r>
    </w:p>
    <w:p>
      <w:pPr>
        <w:spacing w:after="0" w:line="16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inure to the benefit of and be binding upon the parties and their successors and permitted assigns. This Agreement, or any rights or obligations hereunder, may not be assigned by the Company without the prior written consent of each of the Purchasers holding or having the right to acquire the Shares at the time of such consent. Any Purchaser may assign its rights hereunder in whole or in part to any Person to whom such Purchaser assigns or transfers any Shares in compliance with the Transaction Documents and applicable law, provided such transferee shall agree in writing to be bound, with respect to the transferred Shares, by the terms and conditions of this Agreement that apply to the Purchasers.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each Purchaser Party is an intended third party beneficiary of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HERETO HEREBY IRREVOCABLY WAIVES, TO THE FULLEST EXTENT</w:t>
      </w:r>
    </w:p>
    <w:p>
      <w:pPr>
        <w:spacing w:after="0" w:line="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Survival</w:t>
      </w:r>
      <w:r>
        <w:rPr>
          <w:rFonts w:ascii="Arial" w:cs="Arial" w:eastAsia="Arial" w:hAnsi="Arial"/>
          <w:sz w:val="18"/>
          <w:szCs w:val="18"/>
          <w:color w:val="auto"/>
        </w:rPr>
        <w:t>. Subject to applicable statute of limitations, the representations, warranties, agreements and covenants contained herein shall survive the Closing and the delivery of the Shares.</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line="1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w:t>
      </w:r>
    </w:p>
    <w:p>
      <w:pPr>
        <w:spacing w:after="0" w:line="188"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the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Replacement of Shares</w:t>
      </w:r>
      <w:r>
        <w:rPr>
          <w:rFonts w:ascii="Arial" w:cs="Arial" w:eastAsia="Arial" w:hAnsi="Arial"/>
          <w:sz w:val="16"/>
          <w:szCs w:val="16"/>
          <w:color w:val="auto"/>
        </w:rPr>
        <w:t>. If any certificate or instrument evidencing any Shares is mutilated, lost, stolen or destroyed, the Company shall issue or cause to be issued in exchange and substitution for and upon cancellation thereof, or in lieu of and substitution therefor, a new certificate or instrument, but only upon receipt of evidence reasonably satisfactory to the Company and the Transfer Agent of such loss, theft or destruction and the execution by the holder thereof of a customary lost certificate affidavit of that fact and an agreement to indemnify and hold harmless the Company and the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Shares. If a replacement certificate or instrument evidencing any Shares is requested due to a mutilation thereof, the Company may require delivery of such mutilated certificate or instrument as a condition precedent to any issuance of a replacement.</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Remedies</w:t>
      </w:r>
      <w:r>
        <w:rPr>
          <w:rFonts w:ascii="Arial" w:cs="Arial" w:eastAsia="Arial" w:hAnsi="Arial"/>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Adjustments in Share Numbers and Prices</w:t>
      </w:r>
      <w:r>
        <w:rPr>
          <w:rFonts w:ascii="Arial" w:cs="Arial" w:eastAsia="Arial" w:hAnsi="Arial"/>
          <w:sz w:val="18"/>
          <w:szCs w:val="18"/>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of the obligations of any other Purchaser under any Transaction Document. The decision of each Purchaser to purchase Shares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way acting in concert or as a group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Shares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Purchasers and their respective counsels have chosen to communicate with the Company through Goodwin Procter LLP, counsel to the Placement Agents. Each Purchaser acknowledges that Goodwin Procter LLP has rendered legal advice to the Placement Agents and not to such Purchaser in connection with the transactions contemplated hereby, and that each such Purchaser has relied for such matters on the advice of its own respective counsel. The Company has elected to provide all Purchasers with the same terms and Transaction Documents for the convenience of the Company and not because it was required or requested to do so by any Purchaser.</w:t>
      </w:r>
    </w:p>
    <w:p>
      <w:pPr>
        <w:spacing w:after="0" w:line="183"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and the sale and purchase of the Shares abandoned at any time prior to the Closing by either the Company or any Purchaser (with respect to itself only) upon written notice to the other, if the Closing has not been consummated on or prior to 5:00 P.M., New York City time, on the Outside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shall not be available to any Person whose failure to comply with its obligations under this Agreement has been the cause of or resulted in the failure of the Closing to</w:t>
      </w:r>
    </w:p>
    <w:p>
      <w:pPr>
        <w:sectPr>
          <w:pgSz w:w="11900" w:h="16945" w:orient="portrait"/>
          <w:cols w:equalWidth="0" w:num="1">
            <w:col w:w="11400"/>
          </w:cols>
          <w:pgMar w:left="240" w:top="125" w:right="259" w:bottom="0" w:gutter="0" w:footer="0" w:header="0"/>
        </w:sectPr>
      </w:pPr>
    </w:p>
    <w:bookmarkStart w:id="19" w:name="page20"/>
    <w:bookmarkEnd w:id="19"/>
    <w:p>
      <w:pPr>
        <w:spacing w:after="0" w:line="273" w:lineRule="auto"/>
        <w:rPr>
          <w:sz w:val="20"/>
          <w:szCs w:val="20"/>
          <w:color w:val="auto"/>
        </w:rPr>
      </w:pPr>
      <w:r>
        <w:rPr>
          <w:rFonts w:ascii="Arial" w:cs="Arial" w:eastAsia="Arial" w:hAnsi="Arial"/>
          <w:sz w:val="17"/>
          <w:szCs w:val="17"/>
          <w:color w:val="auto"/>
        </w:rPr>
        <w:t xml:space="preserve">occur on or before such time. Nothing in this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the Company shall promptly notify all non-terminating Purchasers. Upon a termination in accordance with this </w:t>
      </w:r>
      <w:r>
        <w:rPr>
          <w:rFonts w:ascii="Arial" w:cs="Arial" w:eastAsia="Arial" w:hAnsi="Arial"/>
          <w:sz w:val="17"/>
          <w:szCs w:val="17"/>
          <w:u w:val="single" w:color="auto"/>
          <w:color w:val="auto"/>
        </w:rPr>
        <w:t>Section 6.18</w:t>
      </w:r>
      <w:r>
        <w:rPr>
          <w:rFonts w:ascii="Arial" w:cs="Arial" w:eastAsia="Arial" w:hAnsi="Arial"/>
          <w:sz w:val="17"/>
          <w:szCs w:val="17"/>
          <w:color w:val="auto"/>
        </w:rPr>
        <w:t>, the Company and the terminating Purchaser(s) shall not have any further obligation or liability (including arising from such termination) to the other, and no Purchaser will have any liability to any other Purchaser under the Transaction Documents as a result therefrom.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H. Anderson</w:t>
            </w:r>
          </w:p>
        </w:tc>
      </w:tr>
      <w:tr>
        <w:trPr>
          <w:trHeight w:val="195"/>
        </w:trPr>
        <w:tc>
          <w:tcPr>
            <w:tcW w:w="6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Bonnie H. Anderson</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Executive Officer and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14605</wp:posOffset>
            </wp:positionV>
            <wp:extent cx="94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-130810</wp:posOffset>
            </wp:positionV>
            <wp:extent cx="2126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ind w:left="75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Aggregate Purchase Price (Subscription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7191375</wp:posOffset>
            </wp:positionH>
            <wp:positionV relativeFrom="paragraph">
              <wp:posOffset>29210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Number of Shares to be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14605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14605</wp:posOffset>
            </wp:positionV>
            <wp:extent cx="13379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718185</wp:posOffset>
            </wp:positionV>
            <wp:extent cx="2452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237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572135</wp:posOffset>
            </wp:positionV>
            <wp:extent cx="2383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426720</wp:posOffset>
            </wp:positionV>
            <wp:extent cx="2383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14605</wp:posOffset>
            </wp:positionV>
            <wp:extent cx="2660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0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14605</wp:posOffset>
            </wp:positionV>
            <wp:extent cx="8489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6977380</wp:posOffset>
            </wp:positionH>
            <wp:positionV relativeFrom="paragraph">
              <wp:posOffset>14605</wp:posOffset>
            </wp:positionV>
            <wp:extent cx="257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14605</wp:posOffset>
            </wp:positionV>
            <wp:extent cx="1775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Delivery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different than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4579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43738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14605</wp:posOffset>
            </wp:positionV>
            <wp:extent cx="2889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3970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14605</wp:posOffset>
            </wp:positionV>
            <wp:extent cx="31642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[EXECUTED SIGNATURE PAGES OF PURCHASERS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97"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500" w:firstLine="1297"/>
        <w:spacing w:after="0" w:line="34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made and entered into as of April 22, 2015, by and among Veracyte,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the several purchasers signatory hereto (each a “</w:t>
      </w:r>
      <w:r>
        <w:rPr>
          <w:rFonts w:ascii="Arial" w:cs="Arial" w:eastAsia="Arial" w:hAnsi="Arial"/>
          <w:sz w:val="16"/>
          <w:szCs w:val="16"/>
          <w:i w:val="1"/>
          <w:iCs w:val="1"/>
          <w:color w:val="auto"/>
        </w:rPr>
        <w:t>Purchaser</w:t>
      </w:r>
      <w:r>
        <w:rPr>
          <w:rFonts w:ascii="Arial" w:cs="Arial" w:eastAsia="Arial" w:hAnsi="Arial"/>
          <w:sz w:val="16"/>
          <w:szCs w:val="16"/>
          <w:color w:val="auto"/>
        </w:rPr>
        <w:t>” and collectively, the “</w:t>
      </w:r>
      <w:r>
        <w:rPr>
          <w:rFonts w:ascii="Arial" w:cs="Arial" w:eastAsia="Arial" w:hAnsi="Arial"/>
          <w:sz w:val="16"/>
          <w:szCs w:val="16"/>
          <w:i w:val="1"/>
          <w:iCs w:val="1"/>
          <w:color w:val="auto"/>
        </w:rPr>
        <w:t>Purchasers</w:t>
      </w:r>
      <w:r>
        <w:rPr>
          <w:rFonts w:ascii="Arial" w:cs="Arial" w:eastAsia="Arial" w:hAnsi="Arial"/>
          <w:sz w:val="16"/>
          <w:szCs w:val="16"/>
          <w:color w:val="auto"/>
        </w:rPr>
        <w:t>”).</w:t>
      </w:r>
    </w:p>
    <w:p>
      <w:pPr>
        <w:spacing w:after="0" w:line="124"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each Purchaser (the “</w:t>
      </w:r>
      <w:r>
        <w:rPr>
          <w:rFonts w:ascii="Arial" w:cs="Arial" w:eastAsia="Arial" w:hAnsi="Arial"/>
          <w:sz w:val="18"/>
          <w:szCs w:val="18"/>
          <w:i w:val="1"/>
          <w:iCs w:val="1"/>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right="580" w:firstLine="1297"/>
        <w:spacing w:after="0" w:line="342" w:lineRule="auto"/>
        <w:rPr>
          <w:sz w:val="20"/>
          <w:szCs w:val="20"/>
          <w:color w:val="auto"/>
        </w:rPr>
      </w:pPr>
      <w:r>
        <w:rPr>
          <w:rFonts w:ascii="Arial" w:cs="Arial" w:eastAsia="Arial" w:hAnsi="Arial"/>
          <w:sz w:val="16"/>
          <w:szCs w:val="16"/>
          <w:color w:val="auto"/>
        </w:rPr>
        <w:t>NOW, THEREFORE, IN CONSIDERATION of the mutual covenants contained in this Agreement, and for other good and valuable consideration, the receipt and adequacy of which are hereby acknowledged, the Company and each of the Purchasers agree as follows:</w:t>
      </w:r>
    </w:p>
    <w:p>
      <w:pPr>
        <w:spacing w:after="0" w:line="124" w:lineRule="exact"/>
        <w:rPr>
          <w:sz w:val="20"/>
          <w:szCs w:val="20"/>
          <w:color w:val="auto"/>
        </w:rPr>
      </w:pPr>
    </w:p>
    <w:p>
      <w:pPr>
        <w:ind w:right="200" w:firstLine="656"/>
        <w:spacing w:after="0" w:line="308" w:lineRule="auto"/>
        <w:tabs>
          <w:tab w:leader="none" w:pos="129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6(d)</w:t>
      </w:r>
      <w:r>
        <w:rPr>
          <w:rFonts w:ascii="Arial" w:cs="Arial" w:eastAsia="Arial" w:hAnsi="Arial"/>
          <w:sz w:val="18"/>
          <w:szCs w:val="18"/>
          <w:color w:val="auto"/>
        </w:rPr>
        <w:t>.</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 day, other than a Saturday or Sunday, on which banks in New York City are open for the general transaction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of the Company, par value $0.001 per share, and any securities into which such common stock may hereinafter be reclassified.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xml:space="preserve">” means the date that the Registration Statement filed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is first declared effective by the Commission.</w:t>
      </w:r>
    </w:p>
    <w:p>
      <w:pPr>
        <w:spacing w:after="0" w:line="248" w:lineRule="exact"/>
        <w:rPr>
          <w:sz w:val="20"/>
          <w:szCs w:val="20"/>
          <w:color w:val="auto"/>
        </w:rPr>
      </w:pPr>
    </w:p>
    <w:p>
      <w:pPr>
        <w:ind w:right="40" w:firstLine="1297"/>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Deadline</w:t>
      </w:r>
      <w:r>
        <w:rPr>
          <w:rFonts w:ascii="Arial" w:cs="Arial" w:eastAsia="Arial" w:hAnsi="Arial"/>
          <w:sz w:val="18"/>
          <w:szCs w:val="18"/>
          <w:color w:val="auto"/>
        </w:rPr>
        <w:t>” means, with respect to the Initial Registration Statement or the New Registration Statement, the ninetieth (90</w:t>
      </w:r>
      <w:r>
        <w:rPr>
          <w:rFonts w:ascii="Arial" w:cs="Arial" w:eastAsia="Arial" w:hAnsi="Arial"/>
          <w:sz w:val="23"/>
          <w:szCs w:val="23"/>
          <w:color w:val="auto"/>
          <w:vertAlign w:val="superscript"/>
        </w:rPr>
        <w:t>th</w:t>
      </w:r>
      <w:r>
        <w:rPr>
          <w:rFonts w:ascii="Arial" w:cs="Arial" w:eastAsia="Arial" w:hAnsi="Arial"/>
          <w:sz w:val="18"/>
          <w:szCs w:val="18"/>
          <w:color w:val="auto"/>
        </w:rPr>
        <w:t>) calendar day following the Closing Date (or, in the event the Commission reviews and has written comments to the Initial Registration Statement or the New Registration Statement, the one hundred twentieth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following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Company is notified by the Commission that the Initial Registration Statement or the New Registration Statement will not be reviewed or is no longer subject to further review and comments, the Effectiveness Deadline as to such Registration Statement shall be the fifth (5</w:t>
      </w:r>
      <w:r>
        <w:rPr>
          <w:rFonts w:ascii="Arial" w:cs="Arial" w:eastAsia="Arial" w:hAnsi="Arial"/>
          <w:sz w:val="23"/>
          <w:szCs w:val="23"/>
          <w:color w:val="auto"/>
          <w:vertAlign w:val="superscript"/>
        </w:rPr>
        <w:t>th</w:t>
      </w:r>
      <w:r>
        <w:rPr>
          <w:rFonts w:ascii="Arial" w:cs="Arial" w:eastAsia="Arial" w:hAnsi="Arial"/>
          <w:sz w:val="18"/>
          <w:szCs w:val="18"/>
          <w:color w:val="auto"/>
        </w:rPr>
        <w:t>) Trading Day following the date on which the Company is so notified if such date precedes the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 xml:space="preserve">otherwise required above;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Effectiveness Deadline falls on a Saturday, Sunday or other day that the Commission is closed for business, the Effectiveness Deadline shall be extended to the next Business Day on which the Commission is open for business.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180" w:firstLine="1297"/>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Filing Deadline</w:t>
      </w:r>
      <w:r>
        <w:rPr>
          <w:rFonts w:ascii="Arial" w:cs="Arial" w:eastAsia="Arial" w:hAnsi="Arial"/>
          <w:sz w:val="17"/>
          <w:szCs w:val="17"/>
          <w:color w:val="auto"/>
        </w:rPr>
        <w:t xml:space="preserve">” means, with respect to the Initial Registration Statement required to be filed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 the thirtieth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following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Filing Deadline falls on a Saturday, Sunday or other day that the Commission is closed for business, the Filing Deadline shall be extended to the next business day on which the Commission is open for business.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Registration Statement</w:t>
      </w:r>
      <w:r>
        <w:rPr>
          <w:rFonts w:ascii="Arial" w:cs="Arial" w:eastAsia="Arial" w:hAnsi="Arial"/>
          <w:sz w:val="18"/>
          <w:szCs w:val="18"/>
          <w:color w:val="auto"/>
        </w:rPr>
        <w:t xml:space="preserve">” means the initial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“Liquidated Damages” </w:t>
      </w:r>
      <w:r>
        <w:rPr>
          <w:rFonts w:ascii="Arial" w:cs="Arial" w:eastAsia="Arial" w:hAnsi="Arial"/>
          <w:sz w:val="18"/>
          <w:szCs w:val="18"/>
          <w:color w:val="auto"/>
        </w:rPr>
        <w:t>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“Losses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21" w:name="page22"/>
    <w:bookmarkEnd w:id="2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right="16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Market</w:t>
      </w:r>
      <w:r>
        <w:rPr>
          <w:rFonts w:ascii="Arial" w:cs="Arial" w:eastAsia="Arial" w:hAnsi="Arial"/>
          <w:sz w:val="18"/>
          <w:szCs w:val="18"/>
          <w:color w:val="auto"/>
        </w:rPr>
        <w:t>” means the Trading Market on which the Common Stock is primarily listed on and quoted for trading, which, as of the Closing Date, shall be The NASDAQ Global Market.</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ind w:right="5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amendments and supplements to the Prospectus, including post-effective amendments, and all material incorporated by reference or deemed to be incorporated by reference in such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or “</w:t>
      </w:r>
      <w:r>
        <w:rPr>
          <w:rFonts w:ascii="Arial" w:cs="Arial" w:eastAsia="Arial" w:hAnsi="Arial"/>
          <w:sz w:val="18"/>
          <w:szCs w:val="18"/>
          <w:i w:val="1"/>
          <w:iCs w:val="1"/>
          <w:color w:val="auto"/>
        </w:rPr>
        <w:t>Purchasers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Registrable Securities</w:t>
      </w:r>
      <w:r>
        <w:rPr>
          <w:rFonts w:ascii="Arial" w:cs="Arial" w:eastAsia="Arial" w:hAnsi="Arial"/>
          <w:sz w:val="17"/>
          <w:szCs w:val="17"/>
          <w:color w:val="auto"/>
        </w:rPr>
        <w:t xml:space="preserve">” means all of (i) the Shares, and (ii) any securities issued or issuable upon any stock split, dividend or other distribution, recapitalization or similar event with respect to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 has completed and delivered to the Company a Selling Stockholder Questionnaire;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with respect to a particular Holder, such Holder’s Shares shall cease to be Registrable Securities upon the earliest to occur of the following: (A) a sale pursuant to a Registration Statement or Rule 144 under the Securities Act (in which case, only such security sold by the Holder shall cease to be a Registrable Security); or (B) becoming eligible for resale by the Holder under Rule 144 without the requirement for the Company to be in compliance with the current public information requirement thereunder and without volume or manner-of-sale restrictions, pursuant to a written opinion letter to such effect, addressed, delivered and acceptable to the Transfer Agent.</w:t>
      </w:r>
    </w:p>
    <w:p>
      <w:pPr>
        <w:spacing w:after="0" w:line="178" w:lineRule="exact"/>
        <w:rPr>
          <w:sz w:val="20"/>
          <w:szCs w:val="20"/>
          <w:color w:val="auto"/>
        </w:rPr>
      </w:pPr>
    </w:p>
    <w:p>
      <w:pPr>
        <w:ind w:right="30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Statements</w:t>
      </w:r>
      <w:r>
        <w:rPr>
          <w:rFonts w:ascii="Arial" w:cs="Arial" w:eastAsia="Arial" w:hAnsi="Arial"/>
          <w:sz w:val="16"/>
          <w:szCs w:val="16"/>
          <w:color w:val="auto"/>
        </w:rPr>
        <w:t>” means any one or more registration statements of the Company filed under the Securities Act that covers the resale of any of the Registrable Securities pursuant to the provisions of this Agreement (including without limitation the Initial Registration Statement, the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144</w:t>
      </w:r>
      <w:r>
        <w:rPr>
          <w:rFonts w:ascii="Arial" w:cs="Arial" w:eastAsia="Arial" w:hAnsi="Arial"/>
          <w:sz w:val="17"/>
          <w:szCs w:val="17"/>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47"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415</w:t>
      </w:r>
      <w:r>
        <w:rPr>
          <w:rFonts w:ascii="Arial" w:cs="Arial" w:eastAsia="Arial" w:hAnsi="Arial"/>
          <w:sz w:val="17"/>
          <w:szCs w:val="17"/>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47"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424</w:t>
      </w:r>
      <w:r>
        <w:rPr>
          <w:rFonts w:ascii="Arial" w:cs="Arial" w:eastAsia="Arial" w:hAnsi="Arial"/>
          <w:sz w:val="17"/>
          <w:szCs w:val="17"/>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4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 Guidance</w:t>
      </w:r>
      <w:r>
        <w:rPr>
          <w:rFonts w:ascii="Arial" w:cs="Arial" w:eastAsia="Arial" w:hAnsi="Arial"/>
          <w:sz w:val="18"/>
          <w:szCs w:val="18"/>
          <w:color w:val="auto"/>
        </w:rPr>
        <w:t>” means (i) any publicly-available written or oral guidance, comments, requirements or requests of the Commission staff and (ii)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Stockholder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 or such other form of questionnaire as may reasonably be adopted by the Company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means the shares of Common Stock issued or issuable to the Purchasers pursuant to the Purchase Agreement.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xml:space="preserve">” means (i) a day on which the Common Stock is listed or quoted and traded on its Principal Market (other than the OTC Bulletin Board), or (ii) if the Common Stock is not listed on a Trading Market (other than the OTC Bulletin Board), a day on which the Common Stock is traded in the over-the-counter market, as reported by the OTC Bulletin Board, or (iii) if the Common Stock is not quoted on any Trading Market, a day on which the Common Stock is quoted in the over-the-counter market as reported in the “pink sheets” by Pink Sheets LLC (or any similar organization or agency succeeding to its functions of reporting prices);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the Common Stock is not listed or quoted as set forth in (i), (ii) and (iii) hereof, then Trading Day shall mean a Business Day.</w:t>
      </w:r>
    </w:p>
    <w:p>
      <w:pPr>
        <w:spacing w:after="0" w:line="193"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Market</w:t>
      </w:r>
      <w:r>
        <w:rPr>
          <w:rFonts w:ascii="Arial" w:cs="Arial" w:eastAsia="Arial" w:hAnsi="Arial"/>
          <w:sz w:val="18"/>
          <w:szCs w:val="18"/>
          <w:color w:val="auto"/>
        </w:rPr>
        <w:t>” means whichever of the New York Stock Exchange, the NYSE AMEX (formerly the American Stock Exchange), The NASDAQ Global Select Market, The NASDAQ Global Market, The NASDAQ Capital Market or OTC Bulletin Board on which the Common Stock is listed or quoted for trading on the date in question.</w:t>
      </w:r>
    </w:p>
    <w:p>
      <w:pPr>
        <w:sectPr>
          <w:pgSz w:w="11900" w:h="16838" w:orient="portrait"/>
          <w:cols w:equalWidth="0" w:num="1">
            <w:col w:w="11420"/>
          </w:cols>
          <w:pgMar w:left="240" w:top="125" w:right="239" w:bottom="0" w:gutter="0" w:footer="0" w:header="0"/>
        </w:sectPr>
      </w:pPr>
    </w:p>
    <w:bookmarkStart w:id="22" w:name="page23"/>
    <w:bookmarkEnd w:id="22"/>
    <w:p>
      <w:pPr>
        <w:spacing w:after="0" w:line="94"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4" w:lineRule="auto"/>
        <w:tabs>
          <w:tab w:leader="none" w:pos="1942" w:val="left"/>
        </w:tabs>
        <w:numPr>
          <w:ilvl w:val="1"/>
          <w:numId w:val="44"/>
        </w:numPr>
        <w:rPr>
          <w:rFonts w:ascii="Arial" w:cs="Arial" w:eastAsia="Arial" w:hAnsi="Arial"/>
          <w:sz w:val="16"/>
          <w:szCs w:val="16"/>
          <w:color w:val="auto"/>
        </w:rPr>
      </w:pPr>
      <w:r>
        <w:rPr>
          <w:rFonts w:ascii="Arial" w:cs="Arial" w:eastAsia="Arial" w:hAnsi="Arial"/>
          <w:sz w:val="16"/>
          <w:szCs w:val="16"/>
          <w:color w:val="auto"/>
        </w:rPr>
        <w:t>On or prior to the Filing Deadline, the Company shall prepare and file with the Commission a Registration Statement covering the resale of all of the Registrable Securities not already covered by an existing and effective Registration Statement for an offering to be made on a continuous basis pursuant to Rule 415 or, if Rule 415 is not available for offers and sales of the Registrable Securities, by such other means of distribution of Registrable Securities as the Holders may reasonably specify (the “</w:t>
      </w:r>
      <w:r>
        <w:rPr>
          <w:rFonts w:ascii="Arial" w:cs="Arial" w:eastAsia="Arial" w:hAnsi="Arial"/>
          <w:sz w:val="16"/>
          <w:szCs w:val="16"/>
          <w:i w:val="1"/>
          <w:iCs w:val="1"/>
          <w:color w:val="auto"/>
        </w:rPr>
        <w:t>Initial Registration Statement</w:t>
      </w:r>
      <w:r>
        <w:rPr>
          <w:rFonts w:ascii="Arial" w:cs="Arial" w:eastAsia="Arial" w:hAnsi="Arial"/>
          <w:sz w:val="16"/>
          <w:szCs w:val="16"/>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and shall contain (except if otherwise required pursuant to written comments received from the Commission upon a review of such Registration Statement) the “Plan of Distribution” section substantially in the form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(which may be modified to respond to comments, if any, provided by the Commission). Notwithstanding the registration obligations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Commission and/or (ii) withdraw the Initial Registration Statement and file a new registration statement (a “</w:t>
      </w:r>
      <w:r>
        <w:rPr>
          <w:rFonts w:ascii="Arial" w:cs="Arial" w:eastAsia="Arial" w:hAnsi="Arial"/>
          <w:sz w:val="16"/>
          <w:szCs w:val="16"/>
          <w:i w:val="1"/>
          <w:iCs w:val="1"/>
          <w:color w:val="auto"/>
        </w:rPr>
        <w:t>New Registration Statement</w:t>
      </w:r>
      <w:r>
        <w:rPr>
          <w:rFonts w:ascii="Arial" w:cs="Arial" w:eastAsia="Arial" w:hAnsi="Arial"/>
          <w:sz w:val="16"/>
          <w:szCs w:val="16"/>
          <w:color w:val="auto"/>
        </w:rPr>
        <w:t xml:space="preserve">”), in either case covering the maximum number of Registrable Securities permitted to be registered by the Commission, on Form S-3 or such other form available to register for resale the Registrable Securities as a secondary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prior to filing such amendment or New Registration Statement, the Company shall use its commercially reasonable efforts to advocate with the Commission for the registration of all of the Registrable Securities in accordance with the SEC Guidance, including without limitation, the Manual of Publicly Available Telephone Interpretations D.29 and Compliance and Disclosure Interpretations. Notwithstanding any other provision of this Agreement and subject to the payment of liquidated damages in </w:t>
      </w:r>
      <w:r>
        <w:rPr>
          <w:rFonts w:ascii="Arial" w:cs="Arial" w:eastAsia="Arial" w:hAnsi="Arial"/>
          <w:sz w:val="16"/>
          <w:szCs w:val="16"/>
          <w:u w:val="single" w:color="auto"/>
          <w:color w:val="auto"/>
        </w:rPr>
        <w:t>Section 2(c)</w:t>
      </w:r>
      <w:r>
        <w:rPr>
          <w:rFonts w:ascii="Arial" w:cs="Arial" w:eastAsia="Arial" w:hAnsi="Arial"/>
          <w:sz w:val="16"/>
          <w:szCs w:val="16"/>
          <w:color w:val="auto"/>
        </w:rPr>
        <w: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first be reduced by Registrable Securities not acquired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the Purchase Agreement (whether pursuant to registration rights or otherwise), and second by Registrable Securities represented by Shares (applied, in the case that some Shares may be registered, to the Holders on a pro rata basis based on the total number of unregistered Shares held by such Holders, subject to a determination by the Commission that certain Holders must be reduced first based on the number of Shares held by such Holders). In the event the Company amends the Initial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or the New Registration Statement (the “</w:t>
      </w:r>
      <w:r>
        <w:rPr>
          <w:rFonts w:ascii="Arial" w:cs="Arial" w:eastAsia="Arial" w:hAnsi="Arial"/>
          <w:sz w:val="17"/>
          <w:szCs w:val="17"/>
          <w:i w:val="1"/>
          <w:iCs w:val="1"/>
          <w:color w:val="auto"/>
        </w:rPr>
        <w:t>Remainder Registration Statements</w:t>
      </w:r>
      <w:r>
        <w:rPr>
          <w:rFonts w:ascii="Arial" w:cs="Arial" w:eastAsia="Arial" w:hAnsi="Arial"/>
          <w:sz w:val="17"/>
          <w:szCs w:val="17"/>
          <w:color w:val="auto"/>
        </w:rPr>
        <w:t>”).</w:t>
      </w:r>
    </w:p>
    <w:p>
      <w:pPr>
        <w:spacing w:after="0" w:line="179" w:lineRule="exact"/>
        <w:rPr>
          <w:sz w:val="20"/>
          <w:szCs w:val="20"/>
          <w:color w:val="auto"/>
        </w:rPr>
      </w:pPr>
    </w:p>
    <w:p>
      <w:pPr>
        <w:ind w:firstLine="1305"/>
        <w:spacing w:after="0" w:line="286" w:lineRule="auto"/>
        <w:tabs>
          <w:tab w:leader="none" w:pos="19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each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promulgated under the Securities Act), and, subject to Sections 2(e) and (f), shall use its commercially reasonable efforts to keep each Registration Statement continuously effective under the Securities Act until the earlier of (i) such time as all of the Registrable Securities covered by such Registration Statement have been publicly sold by the Holders or (ii) the date that all Registrable Securities covered by such Registration Statement may be sold by non-affiliates without volume or manner-of-sale restrictions pursuant to Rule 144, without the requirement for the Company to be in compliance with the current public information requirement under Rule 144 as determined by counsel to the Company pursuant to a written opinion letter to such effect, addressed and reasonably acceptable to the Company’s transfer agent (the “</w:t>
      </w:r>
      <w:r>
        <w:rPr>
          <w:rFonts w:ascii="Arial" w:cs="Arial" w:eastAsia="Arial" w:hAnsi="Arial"/>
          <w:sz w:val="16"/>
          <w:szCs w:val="16"/>
          <w:i w:val="1"/>
          <w:iCs w:val="1"/>
          <w:color w:val="auto"/>
        </w:rPr>
        <w:t>Effectiveness Period</w:t>
      </w:r>
      <w:r>
        <w:rPr>
          <w:rFonts w:ascii="Arial" w:cs="Arial" w:eastAsia="Arial" w:hAnsi="Arial"/>
          <w:sz w:val="16"/>
          <w:szCs w:val="16"/>
          <w:color w:val="auto"/>
        </w:rPr>
        <w:t>”). The Company shall telephonically request effectiveness of a Registration Statement as of 5:00 P.M. New York City time on a Trading Day. The Company shall promptly notify the Holders via facsimile or electronic mail of a “.pdf” format data file of the effectiveness of a Registration Statement on or before the first Trading Day after the date that the Company telephonically confirms effectiveness with the Commission, which date of confirmation shall initially be the date requested for effectiveness of such Registration Statement. The Company shall, by 9:30 A.M. New York City time on the first Trading Day after the Effective Date, file a final Prospectus with the Commission, as required by Rule 424(b).</w:t>
      </w:r>
    </w:p>
    <w:p>
      <w:pPr>
        <w:spacing w:after="0" w:line="174" w:lineRule="exact"/>
        <w:rPr>
          <w:rFonts w:ascii="Arial" w:cs="Arial" w:eastAsia="Arial" w:hAnsi="Arial"/>
          <w:sz w:val="16"/>
          <w:szCs w:val="16"/>
          <w:color w:val="auto"/>
        </w:rPr>
      </w:pPr>
    </w:p>
    <w:p>
      <w:pPr>
        <w:ind w:firstLine="1305"/>
        <w:spacing w:after="0" w:line="283" w:lineRule="auto"/>
        <w:tabs>
          <w:tab w:leader="none" w:pos="19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(i) the Initial Registration Statement is not filed with the Commission on or prior to the Filing Deadline, (ii) the Initial Registration Statement or the New Registration Statement, as applicable, is not declared effective by the Commission (or otherwise does not become effective) for any reason on or prior to the Effectiveness Deadline or (iii) after its Effective Date and except as provided in Sections 2(e) and (f) and Section 3(h), (A) such Registration Statement ceases for any reason (including without limitation by reason of a stop order, or the Company’s failure to update the Registration Statement), to remain continuously effective as to all Registrable Securities included in such Registration Statement or (B) the Holders are not permitted to utilize the Prospectus therein to resell such Registrable Securities for any reason (other than due to a change in the “Plan of Distribution” or the inaccuracy of any information regarding the Holders) in each case for more than an aggregate of twenty (20) consecutive calendar days or forty (40) calendar days (which need not be consecutive days) during any twelve (12) month period (other than as a result of a breach of this Agreement by a Holder or a Holder’s failure to return a Selling Stockholder Questionnaire within the time period provided by Section 2(d) hereof), or (iv) the Company fails to satisfy the current public information requirement pursuant to Rule 144(c)(1) as a result of which the Holders who are not affiliates are unable to sell Registrable Securities without restriction under Rule 144 (or any successor thereto), (any such failure or breach in clauses (i) through (iv) above being referred to as an</w:t>
      </w:r>
    </w:p>
    <w:p>
      <w:pPr>
        <w:spacing w:after="0" w:line="4"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w:t>
      </w:r>
      <w:r>
        <w:rPr>
          <w:rFonts w:ascii="Arial" w:cs="Arial" w:eastAsia="Arial" w:hAnsi="Arial"/>
          <w:sz w:val="18"/>
          <w:szCs w:val="18"/>
          <w:color w:val="auto"/>
        </w:rPr>
        <w:t>,” and, for purposes of clauses (i), (ii) or (iv), the date on which such Event occurs, or for purposes of clause (iii), the date on which such twenty (20) or forty (40)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calendar day period is exceeded, being referred to as an “</w:t>
      </w:r>
      <w:r>
        <w:rPr>
          <w:rFonts w:ascii="Arial" w:cs="Arial" w:eastAsia="Arial" w:hAnsi="Arial"/>
          <w:sz w:val="16"/>
          <w:szCs w:val="16"/>
          <w:i w:val="1"/>
          <w:iCs w:val="1"/>
          <w:color w:val="auto"/>
        </w:rPr>
        <w:t>Event Date</w:t>
      </w:r>
      <w:r>
        <w:rPr>
          <w:rFonts w:ascii="Arial" w:cs="Arial" w:eastAsia="Arial" w:hAnsi="Arial"/>
          <w:sz w:val="16"/>
          <w:szCs w:val="16"/>
          <w:color w:val="auto"/>
        </w:rPr>
        <w:t>”), then in addition to any other rights the Holders may have hereunder or under applicable law, on each such Event Date and on each monthly anniversary of each such Event Date (if the applicable Event shall not have been cured by such date) until the earlier of (1) the applicable Event is cured or (2) the Registrable Securities are eligible for resale pursuant to Rule 144 without manner of sale or volume restrictions or the current public information requirement, the Company shall pay to each Holder an amount in cash, as liquidated damages and not as a penalty (“</w:t>
      </w:r>
      <w:r>
        <w:rPr>
          <w:rFonts w:ascii="Arial" w:cs="Arial" w:eastAsia="Arial" w:hAnsi="Arial"/>
          <w:sz w:val="16"/>
          <w:szCs w:val="16"/>
          <w:i w:val="1"/>
          <w:iCs w:val="1"/>
          <w:color w:val="auto"/>
        </w:rPr>
        <w:t>Liquidated Damages</w:t>
      </w:r>
      <w:r>
        <w:rPr>
          <w:rFonts w:ascii="Arial" w:cs="Arial" w:eastAsia="Arial" w:hAnsi="Arial"/>
          <w:sz w:val="16"/>
          <w:szCs w:val="16"/>
          <w:color w:val="auto"/>
        </w:rPr>
        <w:t>”), equal to one percent (1%) of the aggregate purchase price paid by such Holder pursuant to the Purchase Agreement for any unregistered Registrable Securities then held by such Holder. The parties agree that (1) notwithstanding anything to the contrary herein or in the Purchase Agreement, no Liquidated Damages shall be payable with respect to any period after the expiration of the Effectiveness Period (except in respect of an Event</w:t>
      </w:r>
    </w:p>
    <w:p>
      <w:pPr>
        <w:sectPr>
          <w:pgSz w:w="11900" w:h="16932" w:orient="portrait"/>
          <w:cols w:equalWidth="0" w:num="1">
            <w:col w:w="11420"/>
          </w:cols>
          <w:pgMar w:left="240" w:top="125" w:right="239" w:bottom="0" w:gutter="0" w:footer="0" w:header="0"/>
        </w:sectPr>
      </w:pPr>
    </w:p>
    <w:bookmarkStart w:id="23" w:name="page24"/>
    <w:bookmarkEnd w:id="23"/>
    <w:p>
      <w:pPr>
        <w:ind w:right="60"/>
        <w:spacing w:after="0" w:line="267" w:lineRule="auto"/>
        <w:rPr>
          <w:sz w:val="20"/>
          <w:szCs w:val="20"/>
          <w:color w:val="auto"/>
        </w:rPr>
      </w:pPr>
      <w:r>
        <w:rPr>
          <w:rFonts w:ascii="Arial" w:cs="Arial" w:eastAsia="Arial" w:hAnsi="Arial"/>
          <w:sz w:val="17"/>
          <w:szCs w:val="17"/>
          <w:color w:val="auto"/>
        </w:rPr>
        <w:t xml:space="preserve">described in </w:t>
      </w:r>
      <w:r>
        <w:rPr>
          <w:rFonts w:ascii="Arial" w:cs="Arial" w:eastAsia="Arial" w:hAnsi="Arial"/>
          <w:sz w:val="17"/>
          <w:szCs w:val="17"/>
          <w:u w:val="single" w:color="auto"/>
          <w:color w:val="auto"/>
        </w:rPr>
        <w:t>Section 2(c)(iv)</w:t>
      </w:r>
      <w:r>
        <w:rPr>
          <w:rFonts w:ascii="Arial" w:cs="Arial" w:eastAsia="Arial" w:hAnsi="Arial"/>
          <w:sz w:val="17"/>
          <w:szCs w:val="17"/>
          <w:color w:val="auto"/>
        </w:rPr>
        <w:t xml:space="preserve"> herein), (it being understood that this sentence shall not relieve the Company of any Liquidated Damages accruing prior to the Effectiveness Deadline) and in no event shall, the aggregate amount of Liquidated Damages (excluding Liquidated Damages payable in respect of an Event described in </w:t>
      </w:r>
      <w:r>
        <w:rPr>
          <w:rFonts w:ascii="Arial" w:cs="Arial" w:eastAsia="Arial" w:hAnsi="Arial"/>
          <w:sz w:val="17"/>
          <w:szCs w:val="17"/>
          <w:u w:val="single" w:color="auto"/>
          <w:color w:val="auto"/>
        </w:rPr>
        <w:t>Section 2(c)(iv)</w:t>
      </w:r>
      <w:r>
        <w:rPr>
          <w:rFonts w:ascii="Arial" w:cs="Arial" w:eastAsia="Arial" w:hAnsi="Arial"/>
          <w:sz w:val="17"/>
          <w:szCs w:val="17"/>
          <w:color w:val="auto"/>
        </w:rPr>
        <w:t xml:space="preserve"> herein) payable to a Holder exceed, in the aggregate, four percent (4%) of the aggregate purchase price paid by such Holder pursuant to the Purchase Agreement (eight percent (8%) if the only Event is clause (iv)) and (2) in no event shall the Company be liable in any thirty (30) day period for Liquidated Damages under this Agreement in excess of one percent (1%) of the aggregate purchase price paid by the Holders pursuant to the Purchase Agreement. If the Company fails to pay any Liquidated Damages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in full within five (5) Business Days after the date payable, the Company will pay interest thereon at a rate of one percent (1%) per month (or such lesser maximum amount that is permitted to be paid by applicable law) to the Holder, accruing daily from the date such Liquidated Damages are due until such amounts, plus all such interest thereon, are paid in full. The Liquidated Damages pursuant to the terms hereof shall apply on a daily pro-rata basis for any portion of a month prior to the cure of an Event, except in the case of the first Event Date. The Company shall not be liable for Liquidated Damages under this Agreement as to any Registrable Securities which are not permitted by the Commission to be included in a Registration Statement due solely to SEC Guidance from the time that it is determined that such Registrable Securities are not permitted to be registered until such time as the provisions of this Agreement as to the Remainder Registration Statements required to be filed hereunder are triggered, in which case the provisions of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shall once again apply, if applicable. In such case, the Liquidated Damages shall be calculated to only apply to the percentage of Registrable Securities which are permitted in accordance with SEC Guidance to be included in such Registration Statement. The Effectiveness Deadline for a Registration Statement shall be extended without default or Liquidated Damages hereunder in the event that the Company’s failure to obtain the effectiveness of the Registration Statement on a timely basis results from the failure of a Purchaser to timely provide the Company with information requested by the Company and necessary to complete the Registration Statement in accordance with the requirements of the Securities Act (in which the Effectiveness Deadline would be extended with respect to Registrable Securities held by such Purchaser).</w:t>
      </w:r>
    </w:p>
    <w:p>
      <w:pPr>
        <w:spacing w:after="0" w:line="190" w:lineRule="exact"/>
        <w:rPr>
          <w:sz w:val="20"/>
          <w:szCs w:val="20"/>
          <w:color w:val="auto"/>
        </w:rPr>
      </w:pPr>
    </w:p>
    <w:p>
      <w:pPr>
        <w:ind w:right="20" w:firstLine="1305"/>
        <w:spacing w:after="0" w:line="253"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Holder agrees to furnish to the Company a completed Selling Stockholder Questionnaire not more than five (5) Trading Days following the date of this Agreement. At least ten (10) Trading Days prior to the first anticipated filing date of a Registration Statement for any registration under this Agreement, the Company will notify each Holder of the information the Company requires from that Holder other than the information contained in the Selling Stockholder Questionnaire, if any, which shall be completed and delivered to the Company promptly upon request and, in any event, within three (3)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returned to the Company a completed and signed Selling Stockholder Questionnaire and a response to any requests for further information as described in the previous sentence. If a Holder of Registrable Securities returns a Selling Stockholder Questionnaire or a request for further information, in either case, after its respective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deadline, the Company shall use its commercially reasonable efforts to take such actions as are required to name such Holder as a selling security holder in the Registration Statement or any pre-effective or post-effective amendment thereto and to include (to the extent not theretofore included) in the Registration Statement the Registrable Securities identified in such late Selling Stockholder Questionnaire or request for further information. Each Holder acknowledges and agrees that the information in the Selling Stockholder Questionnaire or request for further information as described in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will be used by the Company in the preparation of the Registration Statement and hereby consents to the inclusion of such information in the Registration Statement.</w:t>
      </w:r>
    </w:p>
    <w:p>
      <w:pPr>
        <w:spacing w:after="0" w:line="158" w:lineRule="exact"/>
        <w:rPr>
          <w:sz w:val="20"/>
          <w:szCs w:val="20"/>
          <w:color w:val="auto"/>
        </w:rPr>
      </w:pPr>
    </w:p>
    <w:p>
      <w:pPr>
        <w:ind w:left="1960" w:hanging="655"/>
        <w:spacing w:after="0"/>
        <w:tabs>
          <w:tab w:leader="none" w:pos="19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In the event that Form S-3 is not available for the registration of the resale of Registrable Securities hereunder, the Company shall</w:t>
      </w:r>
    </w:p>
    <w:p>
      <w:pPr>
        <w:spacing w:after="0" w:line="46" w:lineRule="exact"/>
        <w:rPr>
          <w:rFonts w:ascii="Arial" w:cs="Arial" w:eastAsia="Arial" w:hAnsi="Arial"/>
          <w:sz w:val="16"/>
          <w:szCs w:val="16"/>
          <w:color w:val="auto"/>
        </w:rPr>
      </w:pPr>
    </w:p>
    <w:p>
      <w:pPr>
        <w:ind w:right="100" w:firstLine="8"/>
        <w:spacing w:after="0" w:line="268" w:lineRule="auto"/>
        <w:tabs>
          <w:tab w:leader="none" w:pos="2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register the resale of the Registrable Securities on another appropriate form reasonably acceptable to the Holders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Commission. If the Company elects to register the Registrable Securities on Form S-3 by filing a post-effective amendment to the then effective registration statement covering such Registrable Securities, then, subject to the proviso contained in clause (ii) of the preceding sentence, the Company shall have a period of up to 75 days between the filing of such post-effective amendment to register the Registrable Securities on Form S-3 and, subject to the proviso contained in clause (ii), the delay (up until such 75-day period) in such amendment being declared effective shall not, in and of itself, be considered an Event hereunder and no Liquidated Damages shall accrue or be payable with respect thereto.</w:t>
      </w:r>
    </w:p>
    <w:p>
      <w:pPr>
        <w:spacing w:after="0" w:line="184" w:lineRule="exact"/>
        <w:rPr>
          <w:rFonts w:ascii="Arial" w:cs="Arial" w:eastAsia="Arial" w:hAnsi="Arial"/>
          <w:sz w:val="17"/>
          <w:szCs w:val="17"/>
          <w:color w:val="auto"/>
        </w:rPr>
      </w:pPr>
    </w:p>
    <w:p>
      <w:pPr>
        <w:jc w:val="both"/>
        <w:ind w:right="200" w:firstLine="1305"/>
        <w:spacing w:after="0" w:line="259" w:lineRule="auto"/>
        <w:tabs>
          <w:tab w:leader="none" w:pos="1949" w:val="left"/>
        </w:tabs>
        <w:numPr>
          <w:ilvl w:val="2"/>
          <w:numId w:val="48"/>
        </w:numPr>
        <w:rPr>
          <w:rFonts w:ascii="Arial" w:cs="Arial" w:eastAsia="Arial" w:hAnsi="Arial"/>
          <w:sz w:val="18"/>
          <w:szCs w:val="18"/>
          <w:color w:val="auto"/>
        </w:rPr>
      </w:pPr>
      <w:r>
        <w:rPr>
          <w:rFonts w:ascii="Arial" w:cs="Arial" w:eastAsia="Arial" w:hAnsi="Arial"/>
          <w:sz w:val="18"/>
          <w:szCs w:val="18"/>
          <w:color w:val="auto"/>
        </w:rPr>
        <w:t>Notwithstanding anything herein to the contrary, any time period commencing with the filing of a post-effective amendment to a Registration Statement and continuing until the time such Registration Statement has been declared effective by the Commission shall not be considered an Event hereunder and no Liquidated Damages shall accrue or be payable with respect thereto so long as such Registration Statement remains effective and available for the resale of such Registrable Securities during such period.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rFonts w:ascii="Arial" w:cs="Arial" w:eastAsia="Arial" w:hAnsi="Arial"/>
          <w:sz w:val="18"/>
          <w:szCs w:val="18"/>
          <w:color w:val="auto"/>
        </w:rPr>
      </w:pPr>
    </w:p>
    <w:p>
      <w:pPr>
        <w:ind w:right="160" w:firstLine="1305"/>
        <w:spacing w:after="0" w:line="285" w:lineRule="auto"/>
        <w:tabs>
          <w:tab w:leader="none" w:pos="1942" w:val="left"/>
        </w:tabs>
        <w:numPr>
          <w:ilvl w:val="2"/>
          <w:numId w:val="49"/>
        </w:numPr>
        <w:rPr>
          <w:rFonts w:ascii="Arial" w:cs="Arial" w:eastAsia="Arial" w:hAnsi="Arial"/>
          <w:sz w:val="16"/>
          <w:szCs w:val="16"/>
          <w:color w:val="auto"/>
        </w:rPr>
      </w:pPr>
      <w:r>
        <w:rPr>
          <w:rFonts w:ascii="Arial" w:cs="Arial" w:eastAsia="Arial" w:hAnsi="Arial"/>
          <w:sz w:val="16"/>
          <w:szCs w:val="16"/>
          <w:color w:val="auto"/>
        </w:rPr>
        <w:t>Not less than five (5) Trading Days prior to the filing of each Registration Statement and not less than two (2) Trading Days prior to the filing of any related Prospectus or any amendment or supplement thereto (except for Annual Reports on Form 10-K, and Quarterly Reports on Form 10-Q and Current Reports on Form 8-K and any similar or successor reports), (i) furnish to the Holder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five (5) Trading Day or two</w:t>
      </w:r>
    </w:p>
    <w:p>
      <w:pPr>
        <w:spacing w:after="0" w:line="2"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(2) Trading Day period, as the case may be, then the Holder shall be deemed to have consented to and approved the use of such documents)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any Registration Statement or amendment or supplement thereto in a form to which a Holder reasonably objects in good faith, provided that, the Company is notified of such objection in writing within the five (5) Trading Day or two (2) Trading Day period described above, as applicable.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24" w:name="page25"/>
    <w:bookmarkEnd w:id="24"/>
    <w:p>
      <w:pPr>
        <w:ind w:right="20" w:firstLine="1305"/>
        <w:spacing w:after="0" w:line="285" w:lineRule="auto"/>
        <w:tabs>
          <w:tab w:leader="none" w:pos="1952" w:val="left"/>
        </w:tabs>
        <w:numPr>
          <w:ilvl w:val="1"/>
          <w:numId w:val="50"/>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 effective amendments) and supplements, to each Registration Statement and the Prospectus used in connection therewith as may be necessary to keep such Registration Statement continuously effective as to the applicable Registrable Securities for its Effectiveness Period;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Commission with respect to each Registration Statement or any amendment thereto and, as promptly as reasonably possible, provide the Holders true and complete copies of all correspondence from and to the Commission relating to such Registration Statement that pertains to the Holders as “Selling Stockholders” but not any comments that would result in the disclosure to the Holders of material and non-public information concerning the Company; and (iv) during the Effectiveness Period,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provided, however, that each Purchaser shall be responsible for the delivery of the Prospectus to the Persons to whom such Purchaser sells any of the Shares (including in accordance with Rule 172 under the Securities Act), and each Purchaser agrees to dispose of Registrable Securities in compliance with the “Plan of Distribution” described in the Registration Statement and otherwise in compliance with applicable federal and state securities laws. In the case of amendments and supplements to a Registration Statement which are required to be filed pursuant to this Agreement (including pursuant to this Section 3(b)) by reason of the Company filing a report on Form 10-K, Form 10-Q or Form 8-K or any analogous report under the Exchange Act, the Company shall have incorporated such report by reference into such Registration Statement, if applicable, or shall file such amendments or supplements with the Commission on the same day on which the Exchange Act report which created the requirement for the Company to amend or supplement such Registration Statement was filed.</w:t>
      </w:r>
    </w:p>
    <w:p>
      <w:pPr>
        <w:spacing w:after="0" w:line="172" w:lineRule="exact"/>
        <w:rPr>
          <w:rFonts w:ascii="Arial" w:cs="Arial" w:eastAsia="Arial" w:hAnsi="Arial"/>
          <w:sz w:val="16"/>
          <w:szCs w:val="16"/>
          <w:color w:val="auto"/>
        </w:rPr>
      </w:pPr>
    </w:p>
    <w:p>
      <w:pPr>
        <w:jc w:val="both"/>
        <w:ind w:right="140" w:firstLine="1305"/>
        <w:spacing w:after="0" w:line="288" w:lineRule="auto"/>
        <w:tabs>
          <w:tab w:leader="none" w:pos="1955"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Notify the Holders (which notice shall, pursuant to clauses (iii) through (vi) hereof, be accompanied by an instruction to suspend the use of the Prospectus until the requisite changes have been made) as promptly as reasonably practicable via facsimile or electronic mail (and, in the case of (i)(A) below, not less than one (1) Trading Day prior to such filing) and (if requested by any such Person) confirm such notice in writing no later than one</w:t>
      </w:r>
    </w:p>
    <w:p>
      <w:pPr>
        <w:ind w:firstLine="8"/>
        <w:spacing w:after="0" w:line="267" w:lineRule="auto"/>
        <w:tabs>
          <w:tab w:leader="none" w:pos="2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Trading Day following the day: (i)(A) when a Prospectus or any Prospectus supplement or post 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such Holders as a “Selling Stockholder” or to the “Plan of Distribution” and all written responses thereto, but not information that the Company believes would constitute material and non-public information); and (C) with respect to each Registration Statement or any post effective amendment, when the same has become effective; (ii) 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such Registration Statement or Prospectus or any document incorporated or deemed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provided that, any information in a notice provided by the Company to any Holder as expressly provided by this Section 3(c) shall be kept confidential by such Holder until such information otherwise becomes public, unless disclosure by such Holder is required by law; and provided, however, that no notice provided by the Company to a Holder pursuant to this Section 3(c) shall contain any material non-public information (it being understood that the existence of such a notice may constitute material non-public information and such Holder shall keep such existence confidential until such information otherwise becomes public or the Company notifies such Holder that the Registration Statement or Prospectus has once-again become available for resales). For the avoidance of doubt, with respect to a matter set forth in clause (v) of this Section 3(c), the Company shall not notify any Holder as to the nature or terms (or any other material information with respect to) any pending corporate development except upon the written request of such Holder.</w:t>
      </w:r>
    </w:p>
    <w:p>
      <w:pPr>
        <w:spacing w:after="0" w:line="175" w:lineRule="exact"/>
        <w:rPr>
          <w:sz w:val="20"/>
          <w:szCs w:val="20"/>
          <w:color w:val="auto"/>
        </w:rPr>
      </w:pPr>
    </w:p>
    <w:p>
      <w:pPr>
        <w:ind w:right="100" w:firstLine="1305"/>
        <w:spacing w:after="0" w:line="264"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commercially reasonable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as soon as practicable.</w:t>
      </w:r>
    </w:p>
    <w:p>
      <w:pPr>
        <w:spacing w:after="0" w:line="181" w:lineRule="exact"/>
        <w:rPr>
          <w:rFonts w:ascii="Arial" w:cs="Arial" w:eastAsia="Arial" w:hAnsi="Arial"/>
          <w:sz w:val="18"/>
          <w:szCs w:val="18"/>
          <w:color w:val="auto"/>
        </w:rPr>
      </w:pPr>
    </w:p>
    <w:p>
      <w:pPr>
        <w:jc w:val="both"/>
        <w:ind w:right="40" w:firstLine="1305"/>
        <w:spacing w:after="0" w:line="259" w:lineRule="auto"/>
        <w:tabs>
          <w:tab w:leader="none" w:pos="19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If requested by a Holder, furnish to such Holder, without charge, at least one conformed copy of each Registration Statement and each amendment thereto and all exhibits to the extent requested by such Person (including those previously furnished or incorporated by reference) promptly after the filing of such documents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have no obligation to provide any document pursuant to this clause that is available on the Commission’s EDGAR system.</w:t>
      </w:r>
    </w:p>
    <w:p>
      <w:pPr>
        <w:spacing w:after="0" w:line="186" w:lineRule="exact"/>
        <w:rPr>
          <w:rFonts w:ascii="Arial" w:cs="Arial" w:eastAsia="Arial" w:hAnsi="Arial"/>
          <w:sz w:val="18"/>
          <w:szCs w:val="18"/>
          <w:color w:val="auto"/>
        </w:rPr>
      </w:pPr>
    </w:p>
    <w:p>
      <w:pPr>
        <w:ind w:firstLine="1305"/>
        <w:spacing w:after="0" w:line="291" w:lineRule="auto"/>
        <w:tabs>
          <w:tab w:leader="none" w:pos="19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67" w:lineRule="exact"/>
        <w:rPr>
          <w:rFonts w:ascii="Arial" w:cs="Arial" w:eastAsia="Arial" w:hAnsi="Arial"/>
          <w:sz w:val="16"/>
          <w:szCs w:val="16"/>
          <w:color w:val="auto"/>
        </w:rPr>
      </w:pPr>
    </w:p>
    <w:p>
      <w:pPr>
        <w:ind w:right="240" w:firstLine="1305"/>
        <w:spacing w:after="0" w:line="259" w:lineRule="auto"/>
        <w:tabs>
          <w:tab w:leader="none" w:pos="19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the Registration Statement, which certificates shall be free, to the extent permitted by the Purchase Agreement and under law, of all restrictive legends, and to enable such Registrable Securities to be in such denominations and registered in such names as any such Holders may reasonably request.</w:t>
      </w:r>
    </w:p>
    <w:p>
      <w:pPr>
        <w:sectPr>
          <w:pgSz w:w="11900" w:h="16838" w:orient="portrait"/>
          <w:cols w:equalWidth="0" w:num="1">
            <w:col w:w="11420"/>
          </w:cols>
          <w:pgMar w:left="240" w:top="125" w:right="239" w:bottom="0" w:gutter="0" w:footer="0" w:header="0"/>
        </w:sectPr>
      </w:pPr>
    </w:p>
    <w:bookmarkStart w:id="25" w:name="page26"/>
    <w:bookmarkEnd w:id="25"/>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86" w:lineRule="auto"/>
        <w:tabs>
          <w:tab w:leader="none" w:pos="19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Following the occurrence of any event contemplated by Section 3(c), as promptly as reasonably practicable (taking into account the Company’s good faith assessment of any adverse consequences to the Company and its stockholders of the premature disclosure of such event), prepare a supplement or amendment, including a post 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 (vi) of Section 3(c)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Section 3(h) to suspend the availability of a Registration Statement and Prospectus for a period not to exceed forty (40) calendar days (which need not be consecutive days) in any twelve (12) month period without incurring liability for Liquidated Damages otherwise required pursuant to Section 2(c). For the avoidance of doubt, (i) any period of time for which the availability of a Registration Statement and Prospectus are suspended pursuant to Section 2(e) and (f) shall be disregarded when determining the time period allotted this under Section 3(h), and (ii) no suspension of the availability of a Registration Statement and Prospectus hereunder shall be deemed to restrict the sale of any Registrable Securities in any other manner that may be permitted by applicable law (including, to the extent available, Rule 144).</w:t>
      </w:r>
    </w:p>
    <w:p>
      <w:pPr>
        <w:spacing w:after="0" w:line="168" w:lineRule="exact"/>
        <w:rPr>
          <w:rFonts w:ascii="Arial" w:cs="Arial" w:eastAsia="Arial" w:hAnsi="Arial"/>
          <w:sz w:val="16"/>
          <w:szCs w:val="16"/>
          <w:color w:val="auto"/>
        </w:rPr>
      </w:pPr>
    </w:p>
    <w:p>
      <w:pPr>
        <w:ind w:right="20" w:firstLine="1305"/>
        <w:spacing w:after="0" w:line="272" w:lineRule="auto"/>
        <w:tabs>
          <w:tab w:leader="none" w:pos="1966"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Company may require each selling Holder to furnish to the Company a certified statement as to (i) the number of shares of Common Stock beneficially owned by such Holder and any Affiliate thereof, (ii) any Financial Industry Regulatory Authority (“</w:t>
      </w:r>
      <w:r>
        <w:rPr>
          <w:rFonts w:ascii="Arial" w:cs="Arial" w:eastAsia="Arial" w:hAnsi="Arial"/>
          <w:sz w:val="17"/>
          <w:szCs w:val="17"/>
          <w:i w:val="1"/>
          <w:iCs w:val="1"/>
          <w:color w:val="auto"/>
        </w:rPr>
        <w:t>FINRA</w:t>
      </w:r>
      <w:r>
        <w:rPr>
          <w:rFonts w:ascii="Arial" w:cs="Arial" w:eastAsia="Arial" w:hAnsi="Arial"/>
          <w:sz w:val="17"/>
          <w:szCs w:val="17"/>
          <w:color w:val="auto"/>
        </w:rPr>
        <w:t>”) affiliations, (iii) any natural persons who have the power to vote or dispose of the common stock and (iv) any other information as may be requested by the Commission, FINRA or any state securities commission. During any periods that the Company is unable to meet its obligations hereunder with respect to the registration of Registrable Securities because any Holder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77" w:lineRule="exact"/>
        <w:rPr>
          <w:rFonts w:ascii="Arial" w:cs="Arial" w:eastAsia="Arial" w:hAnsi="Arial"/>
          <w:sz w:val="17"/>
          <w:szCs w:val="17"/>
          <w:color w:val="auto"/>
        </w:rPr>
      </w:pPr>
    </w:p>
    <w:p>
      <w:pPr>
        <w:jc w:val="both"/>
        <w:ind w:right="220" w:firstLine="1305"/>
        <w:spacing w:after="0" w:line="264" w:lineRule="auto"/>
        <w:tabs>
          <w:tab w:leader="none" w:pos="19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shall cooperate with any registered broker through which a Holder proposes to resell its Registrable Securities in effecting a filing with FINRA pursuant to FINRA Rule 2710 as reasonably requested by any such Holder and the Company shall pay the filing fee required for the first such filing within four (4) Business Days of the request therefor.</w:t>
      </w:r>
    </w:p>
    <w:p>
      <w:pPr>
        <w:spacing w:after="0" w:line="181" w:lineRule="exact"/>
        <w:rPr>
          <w:rFonts w:ascii="Arial" w:cs="Arial" w:eastAsia="Arial" w:hAnsi="Arial"/>
          <w:sz w:val="18"/>
          <w:szCs w:val="18"/>
          <w:color w:val="auto"/>
        </w:rPr>
      </w:pPr>
    </w:p>
    <w:p>
      <w:pPr>
        <w:ind w:right="80" w:firstLine="656"/>
        <w:spacing w:after="0" w:line="253"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All fees and expenses incident to the Company’s performance of or compliance with its obligations under this Agreement (excluding any underwriting discounts and selling commissions and all legal fees and expenses of legal counsel for any Holder)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any Trading Market on which the Common Stock is then listed for trading, (B) with respect to compliance with applicable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pursuant to </w:t>
      </w:r>
      <w:r>
        <w:rPr>
          <w:rFonts w:ascii="Arial" w:cs="Arial" w:eastAsia="Arial" w:hAnsi="Arial"/>
          <w:sz w:val="18"/>
          <w:szCs w:val="18"/>
          <w:u w:val="single" w:color="auto"/>
          <w:color w:val="auto"/>
        </w:rPr>
        <w:t>Section 3(j)</w:t>
      </w:r>
      <w:r>
        <w:rPr>
          <w:rFonts w:ascii="Arial" w:cs="Arial" w:eastAsia="Arial" w:hAnsi="Arial"/>
          <w:sz w:val="18"/>
          <w:szCs w:val="18"/>
          <w:color w:val="auto"/>
        </w:rPr>
        <w:t xml:space="preserve"> above, with respect to any filing that may be required to be made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any broker through which a Holder intends to make sales of Registrable Securities with FINRA pursuant to FINRA Rule 2710,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Transaction Documents, any legal fees or other costs of the Holders.</w:t>
      </w:r>
    </w:p>
    <w:p>
      <w:pPr>
        <w:spacing w:after="0" w:line="183"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1942"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defend and hold harmless each Holder, the officers, directors, agents, partners, members, managers, stockholders, Affiliates and employees of each of them, each Person who controls any such Holder (within the meaning of Section 15 of the Securities Act or Section 20 of the Exchange Act) and the officers, directors, partners, members, managers, stockholders, agents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“Losses”), as incurred, that arise out of or are based upon (i) any untrue or alleged untrue statement of a material fact contained in any Registration Statement, any Prospectus or any form of prospectus or in any amendment or supplement thereto (it being understood that each Holder has approved Annex A hereto for this purpose)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Agreement, except to the extent, but only to the extent, that (A)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(it being</w:t>
      </w:r>
    </w:p>
    <w:p>
      <w:pPr>
        <w:sectPr>
          <w:pgSz w:w="11900" w:h="16931" w:orient="portrait"/>
          <w:cols w:equalWidth="0" w:num="1">
            <w:col w:w="11420"/>
          </w:cols>
          <w:pgMar w:left="240" w:top="125" w:right="239" w:bottom="0" w:gutter="0" w:footer="0" w:header="0"/>
        </w:sectPr>
      </w:pPr>
    </w:p>
    <w:bookmarkStart w:id="26" w:name="page27"/>
    <w:bookmarkEnd w:id="26"/>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understood that each Holder has approved Annex A hereto for this purpose) or (B) in the case of an occurrence of an event of the type specified in Section 3(c)(iii)-(vi), related to the use by a Holder of an outdated or defective Prospectus after the Company has notified such Holder in writing that the Prospectus is outdated or defective and prior to the receipt by such Holder of the Advice contemplated and defined in Section 6(d) below, following the receipt of the Advice the misstatement or omission giving rise to such Loss would have been corrected or (C) any such Losses arise out of the Purchaser’s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Section 5(c)) and shall survive the transfer of the Registrable Securities by the Holders.</w:t>
      </w:r>
    </w:p>
    <w:p>
      <w:pPr>
        <w:spacing w:after="0" w:line="171" w:lineRule="exact"/>
        <w:rPr>
          <w:sz w:val="20"/>
          <w:szCs w:val="20"/>
          <w:color w:val="auto"/>
        </w:rPr>
      </w:pPr>
    </w:p>
    <w:p>
      <w:pPr>
        <w:ind w:right="60" w:firstLine="1305"/>
        <w:spacing w:after="0" w:line="286" w:lineRule="auto"/>
        <w:tabs>
          <w:tab w:leader="none" w:pos="195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xml:space="preserve">. Each Holder shall, severally and not jointly, indemnify and hold harmless the Company, its directors, officers, agents, stockholders, Affiliates and employees, each Person who controls the Company (within the meaning of Section 15 of the Securities Act and Section 20 of the Exchange Act), and the directors, officers, partners, members, managers, stockholders, agents or employees of such controlling Persons, to the fullest extent permitted by applicable law, from and against all Losses, as incurred, arising out of or are based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upon information regarding such Holder furnished in writing to the Company by such Holder expressly for use therein or (ii)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for this purpose), such Prospectus or such form of Prospectus or in any amendment or supplement thereto or (iii) in the case of an occurrence of an event of the type specified in </w:t>
      </w:r>
      <w:r>
        <w:rPr>
          <w:rFonts w:ascii="Arial" w:cs="Arial" w:eastAsia="Arial" w:hAnsi="Arial"/>
          <w:sz w:val="16"/>
          <w:szCs w:val="16"/>
          <w:u w:val="single" w:color="auto"/>
          <w:color w:val="auto"/>
        </w:rPr>
        <w:t>Section 3(c)(iii)</w:t>
      </w:r>
      <w:r>
        <w:rPr>
          <w:rFonts w:ascii="Arial" w:cs="Arial" w:eastAsia="Arial" w:hAnsi="Arial"/>
          <w:sz w:val="16"/>
          <w:szCs w:val="16"/>
          <w:color w:val="auto"/>
        </w:rPr>
        <w:t>-</w:t>
      </w:r>
      <w:r>
        <w:rPr>
          <w:rFonts w:ascii="Arial" w:cs="Arial" w:eastAsia="Arial" w:hAnsi="Arial"/>
          <w:sz w:val="16"/>
          <w:szCs w:val="16"/>
          <w:u w:val="single" w:color="auto"/>
          <w:color w:val="auto"/>
        </w:rPr>
        <w:t>(vi)</w:t>
      </w:r>
      <w:r>
        <w:rPr>
          <w:rFonts w:ascii="Arial" w:cs="Arial" w:eastAsia="Arial" w:hAnsi="Arial"/>
          <w:sz w:val="16"/>
          <w:szCs w:val="16"/>
          <w:color w:val="auto"/>
        </w:rPr>
        <w:t xml:space="preserve">, to the extent related to the use by such Holder of an outdated or defective Prospectus after the Company has notified such Holder in writing that the Prospectus is outdated or defective and prior to the receipt by such Holder of the Advice contemplated in </w:t>
      </w:r>
      <w:r>
        <w:rPr>
          <w:rFonts w:ascii="Arial" w:cs="Arial" w:eastAsia="Arial" w:hAnsi="Arial"/>
          <w:sz w:val="16"/>
          <w:szCs w:val="16"/>
          <w:u w:val="single" w:color="auto"/>
          <w:color w:val="auto"/>
        </w:rPr>
        <w:t>Section 6(d)</w:t>
      </w:r>
      <w:r>
        <w:rPr>
          <w:rFonts w:ascii="Arial" w:cs="Arial" w:eastAsia="Arial" w:hAnsi="Arial"/>
          <w:sz w:val="16"/>
          <w:szCs w:val="16"/>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68" w:lineRule="exact"/>
        <w:rPr>
          <w:rFonts w:ascii="Arial" w:cs="Arial" w:eastAsia="Arial" w:hAnsi="Arial"/>
          <w:sz w:val="16"/>
          <w:szCs w:val="16"/>
          <w:color w:val="auto"/>
        </w:rPr>
      </w:pPr>
    </w:p>
    <w:p>
      <w:pPr>
        <w:ind w:right="100" w:firstLine="1305"/>
        <w:spacing w:after="0" w:line="272" w:lineRule="auto"/>
        <w:tabs>
          <w:tab w:leader="none" w:pos="195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If any Proceeding shall be brought or asserted against any Person entitled to indemnity hereunder (an “</w:t>
      </w:r>
      <w:r>
        <w:rPr>
          <w:rFonts w:ascii="Arial" w:cs="Arial" w:eastAsia="Arial" w:hAnsi="Arial"/>
          <w:sz w:val="17"/>
          <w:szCs w:val="17"/>
          <w:i w:val="1"/>
          <w:iCs w:val="1"/>
          <w:color w:val="auto"/>
        </w:rPr>
        <w:t>Indemnified Party</w:t>
      </w:r>
      <w:r>
        <w:rPr>
          <w:rFonts w:ascii="Arial" w:cs="Arial" w:eastAsia="Arial" w:hAnsi="Arial"/>
          <w:sz w:val="17"/>
          <w:szCs w:val="17"/>
          <w:color w:val="auto"/>
        </w:rPr>
        <w:t>”), such Indemnified Party shall promptly notify the Person from whom indemnity is sought (the “</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in writing, and the Indemnifying Party shall have the right to assume the defense thereof, including the employment of counsel reasonably satisfactory to the Indemnified Party and the payment of all reasonable fees and expenses incurred in connection with defense thereof; </w:t>
      </w:r>
      <w:r>
        <w:rPr>
          <w:rFonts w:ascii="Arial" w:cs="Arial" w:eastAsia="Arial" w:hAnsi="Arial"/>
          <w:sz w:val="17"/>
          <w:szCs w:val="17"/>
          <w:i w:val="1"/>
          <w:iCs w:val="1"/>
          <w:color w:val="auto"/>
        </w:rPr>
        <w:t>provided</w:t>
      </w:r>
      <w:r>
        <w:rPr>
          <w:rFonts w:ascii="Arial" w:cs="Arial" w:eastAsia="Arial" w:hAnsi="Arial"/>
          <w:sz w:val="17"/>
          <w:szCs w:val="17"/>
          <w:color w:val="auto"/>
        </w:rPr>
        <w:t>,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7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Arial" w:cs="Arial" w:eastAsia="Arial" w:hAnsi="Arial"/>
          <w:sz w:val="17"/>
          <w:szCs w:val="17"/>
          <w:i w:val="1"/>
          <w:iCs w:val="1"/>
          <w:color w:val="auto"/>
        </w:rPr>
        <w:t>provided</w:t>
      </w:r>
      <w:r>
        <w:rPr>
          <w:rFonts w:ascii="Arial" w:cs="Arial" w:eastAsia="Arial" w:hAnsi="Arial"/>
          <w:sz w:val="17"/>
          <w:szCs w:val="17"/>
          <w:color w:val="auto"/>
        </w:rPr>
        <w:t>, that the Indemnifying Party shall not be liable for the fees and expenses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and such settlement does not include any non-monetary actions of an Indemnified Party or any of its affiliates or any admission of fault or liability on behalf of any such Indemnified Party.</w:t>
      </w:r>
    </w:p>
    <w:p>
      <w:pPr>
        <w:spacing w:after="0" w:line="179"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Subject to the terms of this Agreement, all fees and expenses of the Indemnified Party (including reasonable fees and expenses to the extent incurred in connection with investigating or preparing to defend such Proceeding in a manner not inconsistent with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paid to the Indemnified Party, as incurred, within twenty (20) Trading Days of written notice thereof to the Indemnifying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except to the extent that the Indemnifying Party is materially and adversely prejudiced in its ability to defend such action.</w:t>
      </w:r>
    </w:p>
    <w:p>
      <w:pPr>
        <w:spacing w:after="0" w:line="178" w:lineRule="exact"/>
        <w:rPr>
          <w:sz w:val="20"/>
          <w:szCs w:val="20"/>
          <w:color w:val="auto"/>
        </w:rPr>
      </w:pPr>
    </w:p>
    <w:p>
      <w:pPr>
        <w:ind w:right="20" w:firstLine="1305"/>
        <w:spacing w:after="0" w:line="291" w:lineRule="auto"/>
        <w:tabs>
          <w:tab w:leader="none" w:pos="19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a claim for indemnification under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w:t>
      </w:r>
    </w:p>
    <w:p>
      <w:pPr>
        <w:sectPr>
          <w:pgSz w:w="11900" w:h="16932" w:orient="portrait"/>
          <w:cols w:equalWidth="0" w:num="1">
            <w:col w:w="11420"/>
          </w:cols>
          <w:pgMar w:left="240" w:top="125" w:right="239" w:bottom="0" w:gutter="0" w:footer="0" w:header="0"/>
        </w:sectPr>
      </w:pPr>
    </w:p>
    <w:bookmarkStart w:id="27" w:name="page28"/>
    <w:bookmarkEnd w:id="27"/>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was available to such party in accordance with its terms.</w:t>
      </w:r>
    </w:p>
    <w:p>
      <w:pPr>
        <w:spacing w:after="0" w:line="187" w:lineRule="exact"/>
        <w:rPr>
          <w:sz w:val="20"/>
          <w:szCs w:val="20"/>
          <w:color w:val="auto"/>
        </w:rPr>
      </w:pPr>
    </w:p>
    <w:p>
      <w:pPr>
        <w:ind w:right="40" w:firstLine="1297"/>
        <w:spacing w:after="0" w:line="285" w:lineRule="auto"/>
        <w:rPr>
          <w:sz w:val="20"/>
          <w:szCs w:val="20"/>
          <w:color w:val="auto"/>
        </w:rPr>
      </w:pPr>
      <w:r>
        <w:rPr>
          <w:rFonts w:ascii="Arial" w:cs="Arial" w:eastAsia="Arial" w:hAnsi="Arial"/>
          <w:sz w:val="16"/>
          <w:szCs w:val="16"/>
          <w:color w:val="auto"/>
        </w:rPr>
        <w:t xml:space="preserve">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w:t>
      </w:r>
    </w:p>
    <w:p>
      <w:pPr>
        <w:spacing w:after="0" w:line="2"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contribution will be made under circumstances where the maker of such contribution would not have been required to indemnify the Indemnified Party</w:t>
      </w:r>
    </w:p>
    <w:p>
      <w:pPr>
        <w:spacing w:after="0" w:line="23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under the fault standards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No person guilty of fraudulent misrepresentation (within the meaning of Section 11(f) of the Securities Act) shall be entitled to contribution from any Person who was not guilty of such fraudulent misrepresentation.</w:t>
      </w:r>
    </w:p>
    <w:p>
      <w:pPr>
        <w:spacing w:after="0" w:line="17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 xml:space="preserve">The indemnity and contribution agreements contained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are in addition to any liability that the Indemnifying Parties may have to the Indemnified Parties and are not in diminution or limitation of the indemnification provisions under the Purchase Agreement.</w:t>
      </w:r>
    </w:p>
    <w:p>
      <w:pPr>
        <w:spacing w:after="0" w:line="14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97" w:lineRule="auto"/>
        <w:tabs>
          <w:tab w:leader="none" w:pos="194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58" w:lineRule="exact"/>
        <w:rPr>
          <w:rFonts w:ascii="Arial" w:cs="Arial" w:eastAsia="Arial" w:hAnsi="Arial"/>
          <w:sz w:val="16"/>
          <w:szCs w:val="16"/>
          <w:color w:val="auto"/>
        </w:rPr>
      </w:pPr>
    </w:p>
    <w:p>
      <w:pPr>
        <w:ind w:firstLine="1305"/>
        <w:spacing w:after="0" w:line="289" w:lineRule="auto"/>
        <w:tabs>
          <w:tab w:leader="none" w:pos="195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No Piggyback on Registrations</w:t>
      </w:r>
      <w:r>
        <w:rPr>
          <w:rFonts w:ascii="Arial" w:cs="Arial" w:eastAsia="Arial" w:hAnsi="Arial"/>
          <w:sz w:val="16"/>
          <w:szCs w:val="16"/>
          <w:color w:val="auto"/>
        </w:rPr>
        <w:t>; Prohibition on Filing Other Registration Statements. Except and to the extent specified in the SEC Reports or in the Disclosure Schedules to the Purchase Agreement, neither the Company nor any of its security holders (other than the Holders in such capacity pursuant hereto) may include securities of the Company in a Registration Statement other than the Registrable Securities and the Company shall not prior to the Effective Date enter into any agreement providing any such right to any of its security holders. The Company shall not file with the Commission a registration statement relating to an offering for its own account under the Securities Act of any of its equity securities other than a registration statement on Form S-8 or, in connection with an acquisition, on Form S-4, until the date that the Initial Registration Statement or New Registration Statement, as the case may be, is declared effective. For the avoidance of doubt, the Company shall not be prohibited from preparing and filing with the Commission a registration statement relating to an offering of Common Stock by existing stockholders of the Company under the Securities Act pursuant to the terms of registration rights held by such stockholder or from filing amendments to registration statements filed prior to the date of this Agreement.</w:t>
      </w:r>
    </w:p>
    <w:p>
      <w:pPr>
        <w:spacing w:after="0" w:line="166" w:lineRule="exact"/>
        <w:rPr>
          <w:rFonts w:ascii="Arial" w:cs="Arial" w:eastAsia="Arial" w:hAnsi="Arial"/>
          <w:sz w:val="16"/>
          <w:szCs w:val="16"/>
          <w:color w:val="auto"/>
        </w:rPr>
      </w:pPr>
    </w:p>
    <w:p>
      <w:pPr>
        <w:ind w:right="20" w:firstLine="1305"/>
        <w:spacing w:after="0" w:line="286" w:lineRule="auto"/>
        <w:tabs>
          <w:tab w:leader="none" w:pos="1955"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w:t>
      </w:r>
    </w:p>
    <w:p>
      <w:pPr>
        <w:spacing w:after="0" w:line="165" w:lineRule="exact"/>
        <w:rPr>
          <w:rFonts w:ascii="Arial" w:cs="Arial" w:eastAsia="Arial" w:hAnsi="Arial"/>
          <w:sz w:val="17"/>
          <w:szCs w:val="17"/>
          <w:color w:val="auto"/>
        </w:rPr>
      </w:pPr>
    </w:p>
    <w:p>
      <w:pPr>
        <w:ind w:right="80" w:firstLine="1305"/>
        <w:spacing w:after="0" w:line="255" w:lineRule="auto"/>
        <w:tabs>
          <w:tab w:leader="none" w:pos="195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Discontinued Disposition</w:t>
      </w:r>
      <w:r>
        <w:rPr>
          <w:rFonts w:ascii="Arial" w:cs="Arial" w:eastAsia="Arial" w:hAnsi="Arial"/>
          <w:sz w:val="18"/>
          <w:szCs w:val="18"/>
          <w:color w:val="auto"/>
        </w:rPr>
        <w:t>. By its acquisition of Registrable Securities, each Holder agrees that, upon receipt of a notice from the Company of the occurrence of any event of the kind described in Section 3(c)(iii)-(vi),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commercially reasonable efforts to ensure that the use of the Prospectus may be resumed as promptly as is practicable. The Company may provide stop transfer orders to enforce the provisions of this Section 6(d). The Company agrees and acknowledges that any periods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during which the Holder is required to discontinue the disposition of the Registrable Securities hereunder shall be subject to the provisions of Section 2(c).</w:t>
      </w:r>
    </w:p>
    <w:p>
      <w:pPr>
        <w:spacing w:after="0" w:line="248" w:lineRule="exact"/>
        <w:rPr>
          <w:sz w:val="20"/>
          <w:szCs w:val="20"/>
          <w:color w:val="auto"/>
        </w:rPr>
      </w:pPr>
    </w:p>
    <w:p>
      <w:pPr>
        <w:ind w:right="100" w:firstLine="1305"/>
        <w:spacing w:after="0" w:line="264" w:lineRule="auto"/>
        <w:tabs>
          <w:tab w:leader="none" w:pos="195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Neither the Company nor any of its Subsidiaries has entered, as of the date hereof, nor shall the Company or any of its Subsidiaries, on or after the date hereof, enter into any agreement with respect to its securities, that would have the effect of impairing the rights granted to the Holders in this Agreement or otherwise conflicts with the provisions hereof.</w:t>
      </w:r>
    </w:p>
    <w:p>
      <w:pPr>
        <w:spacing w:after="0" w:line="181" w:lineRule="exact"/>
        <w:rPr>
          <w:rFonts w:ascii="Arial" w:cs="Arial" w:eastAsia="Arial" w:hAnsi="Arial"/>
          <w:sz w:val="18"/>
          <w:szCs w:val="18"/>
          <w:color w:val="auto"/>
        </w:rPr>
      </w:pPr>
    </w:p>
    <w:p>
      <w:pPr>
        <w:ind w:right="100" w:firstLine="1305"/>
        <w:spacing w:after="0" w:line="272" w:lineRule="auto"/>
        <w:tabs>
          <w:tab w:leader="none" w:pos="1949"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The provisions of this Agreement, including the provisions of this sentence, may not be amended, modified or supplemented, or waived unless the same shall be in writing and signed by the Company and Holders holding no less than a majority of the then outstanding Registrable Securities, in which case such amendment, modification supplement or waiver shall be binding on all Holders, and provided that any party may give a waiver as to itself. Notwithstanding the foregoing,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this sentence may not be amended, modified, or supplemented except in accordance with the provisions of the immediately preceding sentence.</w:t>
      </w:r>
    </w:p>
    <w:p>
      <w:pPr>
        <w:spacing w:after="0" w:line="177" w:lineRule="exact"/>
        <w:rPr>
          <w:rFonts w:ascii="Arial" w:cs="Arial" w:eastAsia="Arial" w:hAnsi="Arial"/>
          <w:sz w:val="17"/>
          <w:szCs w:val="17"/>
          <w:color w:val="auto"/>
        </w:rPr>
      </w:pPr>
    </w:p>
    <w:p>
      <w:pPr>
        <w:ind w:right="560" w:firstLine="1305"/>
        <w:spacing w:after="0" w:line="277" w:lineRule="auto"/>
        <w:tabs>
          <w:tab w:leader="none" w:pos="196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0" w:lineRule="exact"/>
        <w:rPr>
          <w:rFonts w:ascii="Arial" w:cs="Arial" w:eastAsia="Arial" w:hAnsi="Arial"/>
          <w:sz w:val="18"/>
          <w:szCs w:val="18"/>
          <w:color w:val="auto"/>
        </w:rPr>
      </w:pPr>
    </w:p>
    <w:p>
      <w:pPr>
        <w:ind w:right="80" w:firstLine="1305"/>
        <w:spacing w:after="0" w:line="302" w:lineRule="auto"/>
        <w:tabs>
          <w:tab w:leader="none" w:pos="195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w:t>
      </w:r>
    </w:p>
    <w:p>
      <w:pPr>
        <w:sectPr>
          <w:pgSz w:w="11900" w:h="16945" w:orient="portrait"/>
          <w:cols w:equalWidth="0" w:num="1">
            <w:col w:w="11420"/>
          </w:cols>
          <w:pgMar w:left="240" w:top="125" w:right="239" w:bottom="0" w:gutter="0" w:footer="0" w:header="0"/>
        </w:sectPr>
      </w:pPr>
    </w:p>
    <w:bookmarkStart w:id="28" w:name="page29"/>
    <w:bookmarkEnd w:id="28"/>
    <w:p>
      <w:pPr>
        <w:ind w:right="80"/>
        <w:spacing w:after="0" w:line="286" w:lineRule="auto"/>
        <w:rPr>
          <w:sz w:val="20"/>
          <w:szCs w:val="20"/>
          <w:color w:val="auto"/>
        </w:rPr>
      </w:pPr>
      <w:r>
        <w:rPr>
          <w:rFonts w:ascii="Arial" w:cs="Arial" w:eastAsia="Arial" w:hAnsi="Arial"/>
          <w:sz w:val="16"/>
          <w:szCs w:val="16"/>
          <w:color w:val="auto"/>
        </w:rPr>
        <w:t>substantially all of the Company’s assets) or obligations hereunder without the prior written consent of all the Holders of the then outstanding Registrable Securities. Each Holder may assign its respective rights hereunder in the manner and to the Persons as permitted under the Purchase Agreement; provided in each case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w:t>
      </w:r>
    </w:p>
    <w:p>
      <w:pPr>
        <w:spacing w:after="0" w:line="2"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is, within a reasonable time after such transfer or assignment, furnished with written notice of the name and address of such transferee or</w:t>
      </w:r>
    </w:p>
    <w:p>
      <w:pPr>
        <w:spacing w:after="0" w:line="32" w:lineRule="exact"/>
        <w:rPr>
          <w:rFonts w:ascii="Arial" w:cs="Arial" w:eastAsia="Arial" w:hAnsi="Arial"/>
          <w:sz w:val="16"/>
          <w:szCs w:val="16"/>
          <w:color w:val="auto"/>
        </w:rPr>
      </w:pPr>
    </w:p>
    <w:p>
      <w:pPr>
        <w:ind w:right="20"/>
        <w:spacing w:after="0" w:line="277" w:lineRule="auto"/>
        <w:rPr>
          <w:rFonts w:ascii="Arial" w:cs="Arial" w:eastAsia="Arial" w:hAnsi="Arial"/>
          <w:sz w:val="16"/>
          <w:szCs w:val="16"/>
          <w:color w:val="auto"/>
        </w:rPr>
      </w:pPr>
      <w:r>
        <w:rPr>
          <w:rFonts w:ascii="Arial" w:cs="Arial" w:eastAsia="Arial" w:hAnsi="Arial"/>
          <w:sz w:val="17"/>
          <w:szCs w:val="17"/>
          <w:color w:val="auto"/>
        </w:rPr>
        <w:t>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spacing w:after="0" w:line="173" w:lineRule="exact"/>
        <w:rPr>
          <w:rFonts w:ascii="Arial" w:cs="Arial" w:eastAsia="Arial" w:hAnsi="Arial"/>
          <w:sz w:val="16"/>
          <w:szCs w:val="16"/>
          <w:color w:val="auto"/>
        </w:rPr>
      </w:pPr>
    </w:p>
    <w:p>
      <w:pPr>
        <w:ind w:firstLine="1305"/>
        <w:spacing w:after="0" w:line="255" w:lineRule="auto"/>
        <w:tabs>
          <w:tab w:leader="none" w:pos="1966"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were the original thereof.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305"/>
        <w:spacing w:after="0" w:line="277" w:lineRule="auto"/>
        <w:tabs>
          <w:tab w:leader="none" w:pos="195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provided herein are cumulative and not exclusive of any other remedies provided by law.</w:t>
      </w:r>
    </w:p>
    <w:p>
      <w:pPr>
        <w:spacing w:after="0" w:line="248" w:lineRule="exact"/>
        <w:rPr>
          <w:rFonts w:ascii="Arial" w:cs="Arial" w:eastAsia="Arial" w:hAnsi="Arial"/>
          <w:sz w:val="16"/>
          <w:szCs w:val="16"/>
          <w:color w:val="auto"/>
        </w:rPr>
      </w:pPr>
    </w:p>
    <w:p>
      <w:pPr>
        <w:ind w:right="100" w:firstLine="1305"/>
        <w:spacing w:after="0" w:line="273" w:lineRule="auto"/>
        <w:tabs>
          <w:tab w:leader="none" w:pos="1966"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only and shall not limit or otherwise affect the meaning hereof.</w:t>
      </w:r>
    </w:p>
    <w:p>
      <w:pPr>
        <w:spacing w:after="0" w:line="248" w:lineRule="exact"/>
        <w:rPr>
          <w:rFonts w:ascii="Arial" w:cs="Arial" w:eastAsia="Arial" w:hAnsi="Arial"/>
          <w:sz w:val="16"/>
          <w:szCs w:val="16"/>
          <w:color w:val="auto"/>
        </w:rPr>
      </w:pPr>
    </w:p>
    <w:p>
      <w:pPr>
        <w:ind w:right="60" w:firstLine="1305"/>
        <w:spacing w:after="0" w:line="287" w:lineRule="auto"/>
        <w:tabs>
          <w:tab w:leader="none" w:pos="195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the Securities pursuant to the Transaction Documents has been made independently of any other Purchaser. Nothing contained herein or in any other agreement or document delivered at any closing, and no action taken by any Purchaser pursuant hereto or thereto, shall be deemed to constitute the Purchasers as a partnership, an association, a joint venture or any other kind of entity, or create a presumption that the Purchasers are in any way acting in concert with respect to such obligations or the transactions contemplated by this Agreement.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protect and enforce its rights, including, without limitation, the rights arising out of this Agreement,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WITNESS WHEREOF, the parties have executed this Registration Rights Agreement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Bonnie Anderson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CEO &amp; President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WITNESS WHEREOF, the parties have executed this Registration Rights Agreement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AUTHORIZED SIGNATORY</w:t>
      </w:r>
    </w:p>
    <w:p>
      <w:pPr>
        <w:sectPr>
          <w:pgSz w:w="11900" w:h="16838" w:orient="portrait"/>
          <w:cols w:equalWidth="0" w:num="1">
            <w:col w:w="11400"/>
          </w:cols>
          <w:pgMar w:left="240" w:top="125" w:right="259" w:bottom="0" w:gutter="0" w:footer="0" w:header="0"/>
          <w:type w:val="continuous"/>
        </w:sectPr>
      </w:pPr>
    </w:p>
    <w:bookmarkStart w:id="29" w:name="page30"/>
    <w:bookmarkEnd w:id="29"/>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2727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2984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[EXECUTED SIGNATURE PAGES OF PURCHASERS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226060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$40 Million Private Placement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South San Francisco, Calif., April 23, 2015 — Veracyte, Inc. (NASDAQ: VCYT) today announced that it has entered into a definitive agreement to sell approximately $40 million of its common stock in a private placement. Under the agreement, the investors will purchase an aggregate of 4,907,975 shares of common stock at a purchase price of $8.15 per share, the closing stock price on April 22, 2015. The private placement was led by new and existing investors, including Broadfin Capital, Camber Capital, Deerfield, Longwood Capital Partners and venBio, among others.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private placement is expected to close on or about April 27, 2015, subject to the satisfaction of customary closing conditions. Veracyte intends to use the net proceeds from the placement to fund research and development, for product commercialization, and for working capital and general corporate purposes. Veracyte had $25.8 million in cash at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 acted as sole lead placement agent and William Blair &amp; Company, L.L.C. acted as a co-placement agent for the transaction.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to be sold in the private placement have not been registered under the Securities Act of 1933 or applicable state securities laws and may not be offered or sold in the United States absent registration under the Securities Act or an applicable exemption from such registration requirements. Veracyte has agreed to file a registration statement with the Securities and Exchange Commission covering the resale of the shares of common stock sold in the private placement.</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 Thyroid FNA Analysis, centers on the proprietary Afirma Gene Expression Classifier (GEC) to resolve ambiguity in diagnosis and is becoming a new standard of care in thyroid nodule assessment. Since launching its Afirma solution in 2011, Veracyte estimates it has helped approximately 15,000 patients with thyroid nodules avoid unnecessary surgery, reducing healthcare costs by millions of dollars. The Afirma test is recommended in leading practice guidelines and is covered for 145 million lives in the United States, including through Medicare and many commercial insurance plans. Veracyte intends to expand its molecular cytology franchise to other clinical areas, beginning with difficult-to-diagnose lung diseases. In April 2015, the company launched the Percepta™ Bronchial Genomic Classifier, a test to resolve preoperative ambiguity in lung nodules that are suspicious for cancer. Veracyte is also developing a second product in pulmonology, targeting interstitial lung diseases, including idiopathic pulmonary fibrosis. For more information, please visit www.veracyte.com.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and include, among others, statements we make regarding the anticipated gross proceeds from the transaction, the expected closing date of the transaction, the expected use of proceeds from the transaction, and the value and potential of our technology and research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Forward-looking statements are neither historical facts nor assurances of future performance. Forward-looking statements involve risks and uncertainties, which could cause actual results to differ materially, and reported results should not be considered as an indication of future performance. These risks and uncertainties include, but are not limited to: risks related to whether Veracyte will be able to satisfy the conditions required to close the sale of the shares in the private placement and the fact that Veracyte’s management will have broad discretion in the use of the proceeds from any sale of the shares; the occurrence and outcome of clinical studies; the timing and publication of study results; the applicability of clinical results to actual outcomes; our inclusion in clinical practice guidelines; the continued application of clinical guidelines to our products; and other risks set forth in the company’s filings with the Securities and Exchange Commission, including the risks set forth in the company’s Annual Report on Form 10-K for the year ended December 31, 2014. These forward-looking statements speak only as of the date hereof and Veracyte specifically disclaims any obligation to update these forward-looking statements</w:t>
      </w:r>
      <w:r>
        <w:rPr>
          <w:rFonts w:ascii="Arial" w:cs="Arial" w:eastAsia="Arial" w:hAnsi="Arial"/>
          <w:sz w:val="18"/>
          <w:szCs w:val="18"/>
          <w:i w:val="1"/>
          <w:iCs w:val="1"/>
          <w:color w:val="auto"/>
        </w:rPr>
        <w:t>.</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Veracyte, Afirma, Percepta, the Veracyte logo, and the Afirma logo are trademarks or registered trademarks of Veracyte, Inc. This press release also contains trademarks and trade names that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ectPr>
          <w:pgSz w:w="11900" w:h="16838" w:orient="portrait"/>
          <w:cols w:equalWidth="0" w:num="1">
            <w:col w:w="11420"/>
          </w:cols>
          <w:pgMar w:left="240" w:top="121"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619-849-6003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o"/>
      <w:numFmt w:val="bullet"/>
      <w:start w:val="1"/>
    </w:lvl>
  </w:abstractNum>
  <w:abstractNum w:abstractNumId="1">
    <w:nsid w:val="6CEAF087"/>
    <w:multiLevelType w:val="hybridMultilevel"/>
    <w:lvl w:ilvl="0">
      <w:lvlJc w:val="left"/>
      <w:lvlText w:val="(%1)"/>
      <w:numFmt w:val="lowerLetter"/>
      <w:start w:val="4"/>
    </w:lvl>
  </w:abstractNum>
  <w:abstractNum w:abstractNumId="2">
    <w:nsid w:val="22221A70"/>
    <w:multiLevelType w:val="hybridMultilevel"/>
    <w:lvl w:ilvl="0">
      <w:lvlJc w:val="left"/>
      <w:lvlText w:val="%1."/>
      <w:numFmt w:val="upperLetter"/>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Roman"/>
      <w:start w:val="1"/>
    </w:lvl>
  </w:abstractNum>
  <w:abstractNum w:abstractNumId="5">
    <w:nsid w:val="614FD4A1"/>
    <w:multiLevelType w:val="hybridMultilevel"/>
    <w:lvl w:ilvl="0">
      <w:lvlJc w:val="left"/>
      <w:lvlText w:val="(%1)"/>
      <w:numFmt w:val="lowerRoman"/>
      <w:start w:val="3"/>
    </w:lvl>
  </w:abstractNum>
  <w:abstractNum w:abstractNumId="6">
    <w:nsid w:val="419AC241"/>
    <w:multiLevelType w:val="hybridMultilevel"/>
    <w:lvl w:ilvl="0">
      <w:lvlJc w:val="left"/>
      <w:lvlText w:val="(%1)"/>
      <w:numFmt w:val="lowerRoman"/>
      <w:start w:val="6"/>
    </w:lvl>
  </w:abstractNum>
  <w:abstractNum w:abstractNumId="7">
    <w:nsid w:val="5577F8E1"/>
    <w:multiLevelType w:val="hybridMultilevel"/>
    <w:lvl w:ilvl="0">
      <w:lvlJc w:val="left"/>
      <w:lvlText w:val="%1"/>
      <w:numFmt w:val="lowerLetter"/>
      <w:start w:val="1"/>
    </w:lvl>
    <w:lvl w:ilvl="1">
      <w:lvlJc w:val="left"/>
      <w:lvlText w:val="(%2)"/>
      <w:numFmt w:val="lowerRoman"/>
      <w:start w:val="11"/>
    </w:lvl>
  </w:abstractNum>
  <w:abstractNum w:abstractNumId="8">
    <w:nsid w:val="440BADFC"/>
    <w:multiLevelType w:val="hybridMultilevel"/>
    <w:lvl w:ilvl="0">
      <w:lvlJc w:val="left"/>
      <w:lvlText w:val="(%1)"/>
      <w:numFmt w:val="lowerLetter"/>
      <w:start w:val="2"/>
    </w:lvl>
    <w:lvl w:ilvl="1">
      <w:lvlJc w:val="left"/>
      <w:lvlText w:val="(%2)"/>
      <w:numFmt w:val="lowerRoman"/>
      <w:start w:val="1"/>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lowerLetter"/>
      <w:start w:val="5"/>
    </w:lvl>
  </w:abstractNum>
  <w:abstractNum w:abstractNumId="11">
    <w:nsid w:val="77465F01"/>
    <w:multiLevelType w:val="hybridMultilevel"/>
    <w:lvl w:ilvl="0">
      <w:lvlJc w:val="left"/>
      <w:lvlText w:val="%1"/>
      <w:numFmt w:val="upperLetter"/>
      <w:start w:val="1"/>
    </w:lvl>
    <w:lvl w:ilvl="1">
      <w:lvlJc w:val="left"/>
      <w:lvlText w:val="(%2)"/>
      <w:numFmt w:val="lowerLetter"/>
      <w:start w:val="8"/>
    </w:lvl>
  </w:abstractNum>
  <w:abstractNum w:abstractNumId="12">
    <w:nsid w:val="7724C67E"/>
    <w:multiLevelType w:val="hybridMultilevel"/>
    <w:lvl w:ilvl="0">
      <w:lvlJc w:val="left"/>
      <w:lvlText w:val="(%1)"/>
      <w:numFmt w:val="upperLetter"/>
      <w:start w:val="2"/>
    </w:lvl>
    <w:lvl w:ilvl="1">
      <w:lvlJc w:val="left"/>
      <w:lvlText w:val="%2"/>
      <w:numFmt w:val="lowerLetter"/>
      <w:start w:val="1"/>
    </w:lvl>
  </w:abstractNum>
  <w:abstractNum w:abstractNumId="13">
    <w:nsid w:val="5C482A97"/>
    <w:multiLevelType w:val="hybridMultilevel"/>
    <w:lvl w:ilvl="0">
      <w:lvlJc w:val="left"/>
      <w:lvlText w:val="(%1)"/>
      <w:numFmt w:val="lowerLetter"/>
      <w:start w:val="22"/>
    </w:lvl>
    <w:lvl w:ilvl="1">
      <w:lvlJc w:val="left"/>
      <w:lvlText w:val="(%2)"/>
      <w:numFmt w:val="lowerLetter"/>
      <w:start w:val="11"/>
    </w:lvl>
  </w:abstractNum>
  <w:abstractNum w:abstractNumId="14">
    <w:nsid w:val="2463B9EA"/>
    <w:multiLevelType w:val="hybridMultilevel"/>
    <w:lvl w:ilvl="0">
      <w:lvlJc w:val="left"/>
      <w:lvlText w:val="(%1)"/>
      <w:numFmt w:val="lowerLetter"/>
      <w:start w:val="15"/>
    </w:lvl>
  </w:abstractNum>
  <w:abstractNum w:abstractNumId="15">
    <w:nsid w:val="5E884ADC"/>
    <w:multiLevelType w:val="hybridMultilevel"/>
    <w:lvl w:ilvl="0">
      <w:lvlJc w:val="left"/>
      <w:lvlText w:val="(%1)"/>
      <w:numFmt w:val="lowerLetter"/>
      <w:start w:val="18"/>
    </w:lvl>
  </w:abstractNum>
  <w:abstractNum w:abstractNumId="16">
    <w:nsid w:val="51EAD36B"/>
    <w:multiLevelType w:val="hybridMultilevel"/>
    <w:lvl w:ilvl="0">
      <w:lvlJc w:val="left"/>
      <w:lvlText w:val="(%1)"/>
      <w:numFmt w:val="lowerLetter"/>
      <w:start w:val="20"/>
    </w:lvl>
  </w:abstractNum>
  <w:abstractNum w:abstractNumId="17">
    <w:nsid w:val="2D517796"/>
    <w:multiLevelType w:val="hybridMultilevel"/>
    <w:lvl w:ilvl="0">
      <w:lvlJc w:val="left"/>
      <w:lvlText w:val="(%1)"/>
      <w:numFmt w:val="lowerRoman"/>
      <w:start w:val="10"/>
    </w:lvl>
  </w:abstractNum>
  <w:abstractNum w:abstractNumId="18">
    <w:nsid w:val="580BD78F"/>
    <w:multiLevelType w:val="hybridMultilevel"/>
    <w:lvl w:ilvl="0">
      <w:lvlJc w:val="left"/>
      <w:lvlText w:val="(%1)"/>
      <w:numFmt w:val="lowerLetter"/>
      <w:start w:val="25"/>
    </w:lvl>
  </w:abstractNum>
  <w:abstractNum w:abstractNumId="19">
    <w:nsid w:val="153EA438"/>
    <w:multiLevelType w:val="hybridMultilevel"/>
    <w:lvl w:ilvl="0">
      <w:lvlJc w:val="left"/>
      <w:lvlText w:val="%1"/>
      <w:numFmt w:val="decimal"/>
      <w:start w:val="1"/>
    </w:lvl>
    <w:lvl w:ilvl="1">
      <w:lvlJc w:val="left"/>
      <w:lvlText w:val="(%2)"/>
      <w:numFmt w:val="lowerLetter"/>
      <w:start w:val="27"/>
    </w:lvl>
  </w:abstractNum>
  <w:abstractNum w:abstractNumId="20">
    <w:nsid w:val="3855585C"/>
    <w:multiLevelType w:val="hybridMultilevel"/>
    <w:lvl w:ilvl="0">
      <w:lvlJc w:val="left"/>
      <w:lvlText w:val="(%1)"/>
      <w:numFmt w:val="decimal"/>
      <w:start w:val="6"/>
    </w:lvl>
    <w:lvl w:ilvl="1">
      <w:lvlJc w:val="left"/>
      <w:lvlText w:val="%2"/>
      <w:numFmt w:val="lowerLetter"/>
      <w:start w:val="1"/>
    </w:lvl>
  </w:abstractNum>
  <w:abstractNum w:abstractNumId="21">
    <w:nsid w:val="70A64E2A"/>
    <w:multiLevelType w:val="hybridMultilevel"/>
    <w:lvl w:ilvl="0">
      <w:lvlJc w:val="left"/>
      <w:lvlText w:val="%1"/>
      <w:numFmt w:val="lowerLetter"/>
      <w:start w:val="1"/>
    </w:lvl>
    <w:lvl w:ilvl="1">
      <w:lvlJc w:val="left"/>
      <w:lvlText w:val="(%2)"/>
      <w:numFmt w:val="lowerLetter"/>
      <w:start w:val="28"/>
    </w:lvl>
  </w:abstractNum>
  <w:abstractNum w:abstractNumId="22">
    <w:nsid w:val="6A2342EC"/>
    <w:multiLevelType w:val="hybridMultilevel"/>
    <w:lvl w:ilvl="0">
      <w:lvlJc w:val="left"/>
      <w:lvlText w:val="(%1)"/>
      <w:numFmt w:val="lowerLetter"/>
      <w:start w:val="9"/>
    </w:lvl>
    <w:lvl w:ilvl="1">
      <w:lvlJc w:val="left"/>
      <w:lvlText w:val="(%2)"/>
      <w:numFmt w:val="lowerLetter"/>
      <w:start w:val="29"/>
    </w:lvl>
  </w:abstractNum>
  <w:abstractNum w:abstractNumId="23">
    <w:nsid w:val="2A487CB0"/>
    <w:multiLevelType w:val="hybridMultilevel"/>
    <w:lvl w:ilvl="0">
      <w:lvlJc w:val="left"/>
      <w:lvlText w:val="(%1)"/>
      <w:numFmt w:val="lowerLetter"/>
      <w:start w:val="30"/>
    </w:lvl>
  </w:abstractNum>
  <w:abstractNum w:abstractNumId="24">
    <w:nsid w:val="1D4ED43B"/>
    <w:multiLevelType w:val="hybridMultilevel"/>
    <w:lvl w:ilvl="0">
      <w:lvlJc w:val="left"/>
      <w:lvlText w:val="(%1)"/>
      <w:numFmt w:val="lowerLetter"/>
      <w:start w:val="37"/>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4"/>
    </w:lvl>
  </w:abstractNum>
  <w:abstractNum w:abstractNumId="27">
    <w:nsid w:val="57E4CCAF"/>
    <w:multiLevelType w:val="hybridMultilevel"/>
    <w:lvl w:ilvl="0">
      <w:lvlJc w:val="left"/>
      <w:lvlText w:val="(%1)"/>
      <w:numFmt w:val="lowerLetter"/>
      <w:start w:val="9"/>
    </w:lvl>
  </w:abstractNum>
  <w:abstractNum w:abstractNumId="28">
    <w:nsid w:val="7A6D8D3C"/>
    <w:multiLevelType w:val="hybridMultilevel"/>
    <w:lvl w:ilvl="0">
      <w:lvlJc w:val="left"/>
      <w:lvlText w:val="(%1)"/>
      <w:numFmt w:val="lowerLetter"/>
      <w:start w:val="15"/>
    </w:lvl>
  </w:abstractNum>
  <w:abstractNum w:abstractNumId="29">
    <w:nsid w:val="4B588F54"/>
    <w:multiLevelType w:val="hybridMultilevel"/>
    <w:lvl w:ilvl="0">
      <w:lvlJc w:val="left"/>
      <w:lvlText w:val="%1"/>
      <w:numFmt w:val="lowerLetter"/>
      <w:start w:val="1"/>
    </w:lvl>
    <w:lvl w:ilvl="1">
      <w:lvlJc w:val="left"/>
      <w:lvlText w:val="(%2)"/>
      <w:numFmt w:val="lowerLetter"/>
      <w:start w:val="1"/>
    </w:lvl>
  </w:abstractNum>
  <w:abstractNum w:abstractNumId="30">
    <w:nsid w:val="542289EC"/>
    <w:multiLevelType w:val="hybridMultilevel"/>
    <w:lvl w:ilvl="0">
      <w:lvlJc w:val="left"/>
      <w:lvlText w:val="(%1)"/>
      <w:numFmt w:val="lowerLetter"/>
      <w:start w:val="61"/>
    </w:lvl>
    <w:lvl w:ilvl="1">
      <w:lvlJc w:val="left"/>
      <w:lvlText w:val="%2"/>
      <w:numFmt w:val="lowerLetter"/>
      <w:start w:val="1"/>
    </w:lvl>
  </w:abstractNum>
  <w:abstractNum w:abstractNumId="31">
    <w:nsid w:val="6DE91B18"/>
    <w:multiLevelType w:val="hybridMultilevel"/>
    <w:lvl w:ilvl="0">
      <w:lvlJc w:val="left"/>
      <w:lvlText w:val="(%1)"/>
      <w:numFmt w:val="lowerLetter"/>
      <w:start w:val="2"/>
    </w:lvl>
  </w:abstractNum>
  <w:abstractNum w:abstractNumId="32">
    <w:nsid w:val="38437FDB"/>
    <w:multiLevelType w:val="hybridMultilevel"/>
    <w:lvl w:ilvl="0">
      <w:lvlJc w:val="left"/>
      <w:lvlText w:val="(%1)"/>
      <w:numFmt w:val="lowerLetter"/>
      <w:start w:val="3"/>
    </w:lvl>
  </w:abstractNum>
  <w:abstractNum w:abstractNumId="33">
    <w:nsid w:val="7644A45C"/>
    <w:multiLevelType w:val="hybridMultilevel"/>
    <w:lvl w:ilvl="0">
      <w:lvlJc w:val="left"/>
      <w:lvlText w:val="(%1)"/>
      <w:numFmt w:val="decimal"/>
      <w:start w:val="3"/>
    </w:lvl>
    <w:lvl w:ilvl="1">
      <w:lvlJc w:val="left"/>
      <w:lvlText w:val="(%2)"/>
      <w:numFmt w:val="lowerLetter"/>
      <w:start w:val="4"/>
    </w:lvl>
  </w:abstractNum>
  <w:abstractNum w:abstractNumId="34">
    <w:nsid w:val="32FFF902"/>
    <w:multiLevelType w:val="hybridMultilevel"/>
    <w:lvl w:ilvl="0">
      <w:lvlJc w:val="left"/>
      <w:lvlText w:val="(%1)"/>
      <w:numFmt w:val="lowerLetter"/>
      <w:start w:val="5"/>
    </w:lvl>
  </w:abstractNum>
  <w:abstractNum w:abstractNumId="35">
    <w:nsid w:val="684A481A"/>
    <w:multiLevelType w:val="hybridMultilevel"/>
    <w:lvl w:ilvl="0">
      <w:lvlJc w:val="left"/>
      <w:lvlText w:val="(%1)"/>
      <w:numFmt w:val="upperLetter"/>
      <w:start w:val="1"/>
    </w:lvl>
  </w:abstractNum>
  <w:abstractNum w:abstractNumId="36">
    <w:nsid w:val="579478FE"/>
    <w:multiLevelType w:val="hybridMultilevel"/>
    <w:lvl w:ilvl="0">
      <w:lvlJc w:val="left"/>
      <w:lvlText w:val="(%1)"/>
      <w:numFmt w:val="decimal"/>
      <w:start w:val="30"/>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2"/>
    </w:lvl>
  </w:abstractNum>
  <w:abstractNum w:abstractNumId="39">
    <w:nsid w:val="1BA026FA"/>
    <w:multiLevelType w:val="hybridMultilevel"/>
    <w:lvl w:ilvl="0">
      <w:lvlJc w:val="left"/>
      <w:lvlText w:val="(%1)"/>
      <w:numFmt w:val="lowerLetter"/>
      <w:start w:val="4"/>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2"/>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2"/>
    </w:lvl>
    <w:lvl w:ilvl="1">
      <w:lvlJc w:val="left"/>
      <w:lvlText w:val="(%2)"/>
      <w:numFmt w:val="lowerLetter"/>
      <w:start w:val="1"/>
    </w:lvl>
  </w:abstractNum>
  <w:abstractNum w:abstractNumId="44">
    <w:nsid w:val="520EEDD1"/>
    <w:multiLevelType w:val="hybridMultilevel"/>
    <w:lvl w:ilvl="0">
      <w:lvlJc w:val="left"/>
      <w:lvlText w:val="(%1)"/>
      <w:numFmt w:val="lowerLetter"/>
      <w:start w:val="2"/>
    </w:lvl>
  </w:abstractNum>
  <w:abstractNum w:abstractNumId="45">
    <w:nsid w:val="374A3FE6"/>
    <w:multiLevelType w:val="hybridMultilevel"/>
    <w:lvl w:ilvl="0">
      <w:lvlJc w:val="left"/>
      <w:lvlText w:val="(%1)"/>
      <w:numFmt w:val="lowerLetter"/>
      <w:start w:val="4"/>
    </w:lvl>
  </w:abstractNum>
  <w:abstractNum w:abstractNumId="46">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7">
    <w:nsid w:val="23F9C13C"/>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6"/>
    </w:lvl>
  </w:abstractNum>
  <w:abstractNum w:abstractNumId="48">
    <w:nsid w:val="649BB7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9">
    <w:nsid w:val="275AC794"/>
    <w:multiLevelType w:val="hybridMultilevel"/>
    <w:lvl w:ilvl="0">
      <w:lvlJc w:val="left"/>
      <w:lvlText w:val="%1"/>
      <w:numFmt w:val="decimal"/>
      <w:start w:val="1"/>
    </w:lvl>
    <w:lvl w:ilvl="1">
      <w:lvlJc w:val="left"/>
      <w:lvlText w:val="(%2)"/>
      <w:numFmt w:val="lowerLetter"/>
      <w:start w:val="2"/>
    </w:lvl>
  </w:abstractNum>
  <w:abstractNum w:abstractNumId="50">
    <w:nsid w:val="39386575"/>
    <w:multiLevelType w:val="hybridMultilevel"/>
    <w:lvl w:ilvl="0">
      <w:lvlJc w:val="left"/>
      <w:lvlText w:val="(%1)"/>
      <w:numFmt w:val="decimal"/>
      <w:start w:val="1"/>
    </w:lvl>
    <w:lvl w:ilvl="1">
      <w:lvlJc w:val="left"/>
      <w:lvlText w:val="%2"/>
      <w:numFmt w:val="lowerLetter"/>
      <w:start w:val="1"/>
    </w:lvl>
  </w:abstractNum>
  <w:abstractNum w:abstractNumId="51">
    <w:nsid w:val="1CF10FD8"/>
    <w:multiLevelType w:val="hybridMultilevel"/>
    <w:lvl w:ilvl="0">
      <w:lvlJc w:val="left"/>
      <w:lvlText w:val="(%1)"/>
      <w:numFmt w:val="lowerLetter"/>
      <w:start w:val="4"/>
    </w:lvl>
  </w:abstractNum>
  <w:abstractNum w:abstractNumId="52">
    <w:nsid w:val="180115BE"/>
    <w:multiLevelType w:val="hybridMultilevel"/>
    <w:lvl w:ilvl="0">
      <w:lvlJc w:val="left"/>
      <w:lvlText w:val="%1"/>
      <w:numFmt w:val="decimal"/>
      <w:start w:val="1"/>
    </w:lvl>
    <w:lvl w:ilvl="1">
      <w:lvlJc w:val="left"/>
      <w:lvlText w:val="(%2)"/>
      <w:numFmt w:val="lowerLetter"/>
      <w:start w:val="8"/>
    </w:lvl>
  </w:abstractNum>
  <w:abstractNum w:abstractNumId="53">
    <w:nsid w:val="235BA861"/>
    <w:multiLevelType w:val="hybridMultilevel"/>
    <w:lvl w:ilvl="0">
      <w:lvlJc w:val="left"/>
      <w:lvlText w:val="%1."/>
      <w:numFmt w:val="decimal"/>
      <w:start w:val="4"/>
    </w:lvl>
    <w:lvl w:ilvl="1">
      <w:lvlJc w:val="left"/>
      <w:lvlText w:val="%2"/>
      <w:numFmt w:val="lowerLetter"/>
      <w:start w:val="1"/>
    </w:lvl>
  </w:abstractNum>
  <w:abstractNum w:abstractNumId="54">
    <w:nsid w:val="47398C89"/>
    <w:multiLevelType w:val="hybridMultilevel"/>
    <w:lvl w:ilvl="0">
      <w:lvlJc w:val="left"/>
      <w:lvlText w:val="%1."/>
      <w:numFmt w:val="decimal"/>
      <w:start w:val="5"/>
    </w:lvl>
    <w:lvl w:ilvl="1">
      <w:lvlJc w:val="left"/>
      <w:lvlText w:val="(%2)"/>
      <w:numFmt w:val="lowerLetter"/>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1)"/>
      <w:numFmt w:val="lowerLetter"/>
      <w:start w:val="4"/>
    </w:lvl>
  </w:abstractNum>
  <w:abstractNum w:abstractNumId="57">
    <w:nsid w:val="741226BB"/>
    <w:multiLevelType w:val="hybridMultilevel"/>
    <w:lvl w:ilvl="0">
      <w:lvlJc w:val="left"/>
      <w:lvlText w:val="(%1)"/>
      <w:numFmt w:val="upperLetter"/>
      <w:start w:val="2"/>
    </w:lvl>
  </w:abstractNum>
  <w:abstractNum w:abstractNumId="58">
    <w:nsid w:val="D34B6A8"/>
    <w:multiLevelType w:val="hybridMultilevel"/>
    <w:lvl w:ilvl="0">
      <w:lvlJc w:val="left"/>
      <w:lvlText w:val="%1."/>
      <w:numFmt w:val="decimal"/>
      <w:start w:val="6"/>
    </w:lvl>
    <w:lvl w:ilvl="1">
      <w:lvlJc w:val="left"/>
      <w:lvlText w:val="(%2)"/>
      <w:numFmt w:val="lowerLetter"/>
      <w:start w:val="1"/>
    </w:lvl>
  </w:abstractNum>
  <w:abstractNum w:abstractNumId="59">
    <w:nsid w:val="10233C99"/>
    <w:multiLevelType w:val="hybridMultilevel"/>
    <w:lvl w:ilvl="0">
      <w:lvlJc w:val="left"/>
      <w:lvlText w:val="(%1)"/>
      <w:numFmt w:val="lowerLetter"/>
      <w:start w:val="5"/>
    </w:lvl>
  </w:abstractNum>
  <w:abstractNum w:abstractNumId="60">
    <w:nsid w:val="3F6AB60F"/>
    <w:multiLevelType w:val="hybridMultilevel"/>
    <w:lvl w:ilvl="0">
      <w:lvlJc w:val="left"/>
      <w:lvlText w:val="(%1)"/>
      <w:numFmt w:val="lowerRoman"/>
      <w:start w:val="2"/>
    </w:lvl>
    <w:lvl w:ilvl="1">
      <w:lvlJc w:val="left"/>
      <w:lvlText w:val="(%2)"/>
      <w:numFmt w:val="lowerRoman"/>
      <w:start w:val="1"/>
    </w:lvl>
  </w:abstractNum>
  <w:abstractNum w:abstractNumId="61">
    <w:nsid w:val="61574095"/>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2019-12-08T18:54:02Z</dcterms:created>
  <dcterms:modified xsi:type="dcterms:W3CDTF">2019-12-08T18:54:02Z</dcterms:modified>
</cp:coreProperties>
</file>