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30">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58">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line="262" w:lineRule="auto"/>
        <w:rPr>
          <w:sz w:val="20"/>
          <w:szCs w:val="20"/>
          <w:color w:val="auto"/>
        </w:rPr>
      </w:pPr>
      <w:r>
        <w:rPr>
          <w:rFonts w:ascii="Arial" w:cs="Arial" w:eastAsia="Arial" w:hAnsi="Arial"/>
          <w:sz w:val="13"/>
          <w:szCs w:val="13"/>
          <w:b w:val="1"/>
          <w:bCs w:val="1"/>
          <w:color w:val="auto"/>
        </w:rPr>
        <w:t>Confidential Draft Submission No. 3 as confidentially submitted to the Securities and Exchange Commission on September 16, 2013. This draft registration statement has not been publicly filed with the Securities and Exchange Commission and all information herein remains strictly confidential.</w:t>
      </w:r>
    </w:p>
    <w:p>
      <w:pPr>
        <w:spacing w:after="0" w:line="172" w:lineRule="exact"/>
        <w:rPr>
          <w:sz w:val="24"/>
          <w:szCs w:val="24"/>
          <w:color w:val="auto"/>
        </w:rPr>
      </w:pPr>
    </w:p>
    <w:p>
      <w:pPr>
        <w:ind w:left="99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060" w:type="dxa"/>
            <w:vAlign w:val="bottom"/>
          </w:tcPr>
          <w:p>
            <w:pPr>
              <w:jc w:val="center"/>
              <w:ind w:right="214"/>
              <w:spacing w:after="0"/>
              <w:rPr>
                <w:sz w:val="20"/>
                <w:szCs w:val="20"/>
                <w:color w:val="auto"/>
              </w:rPr>
            </w:pPr>
            <w:r>
              <w:rPr>
                <w:rFonts w:ascii="Arial" w:cs="Arial" w:eastAsia="Arial" w:hAnsi="Arial"/>
                <w:sz w:val="13"/>
                <w:szCs w:val="13"/>
                <w:b w:val="1"/>
                <w:bCs w:val="1"/>
                <w:color w:val="auto"/>
                <w:w w:val="89"/>
              </w:rPr>
              <w:t>8071</w:t>
            </w:r>
          </w:p>
        </w:tc>
        <w:tc>
          <w:tcPr>
            <w:tcW w:w="11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2"/>
              </w:rPr>
              <w:t>(Primary Standard Industrial</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3"/>
              </w:rPr>
              <w:t>Classification Code Number)</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220" w:type="dxa"/>
            <w:vAlign w:val="bottom"/>
          </w:tcPr>
          <w:p>
            <w:pPr>
              <w:spacing w:after="0"/>
              <w:rPr>
                <w:sz w:val="14"/>
                <w:szCs w:val="14"/>
                <w:color w:val="auto"/>
              </w:rPr>
            </w:pPr>
          </w:p>
        </w:tc>
      </w:tr>
      <w:tr>
        <w:trPr>
          <w:trHeight w:val="356"/>
        </w:trPr>
        <w:tc>
          <w:tcPr>
            <w:tcW w:w="2380" w:type="dxa"/>
            <w:vAlign w:val="bottom"/>
          </w:tcPr>
          <w:p>
            <w:pPr>
              <w:jc w:val="center"/>
              <w:ind w:right="154"/>
              <w:spacing w:after="0"/>
              <w:rPr>
                <w:sz w:val="20"/>
                <w:szCs w:val="20"/>
                <w:color w:val="auto"/>
              </w:rPr>
            </w:pPr>
            <w:r>
              <w:rPr>
                <w:rFonts w:ascii="Arial" w:cs="Arial" w:eastAsia="Arial" w:hAnsi="Arial"/>
                <w:sz w:val="13"/>
                <w:szCs w:val="13"/>
                <w:b w:val="1"/>
                <w:bCs w:val="1"/>
                <w:color w:val="auto"/>
                <w:w w:val="91"/>
              </w:rPr>
              <w:t>Stanton D. Wong</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220" w:type="dxa"/>
            <w:vAlign w:val="bottom"/>
          </w:tcPr>
          <w:p>
            <w:pPr>
              <w:jc w:val="center"/>
              <w:ind w:left="29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220" w:type="dxa"/>
            <w:vAlign w:val="bottom"/>
          </w:tcPr>
          <w:p>
            <w:pPr>
              <w:jc w:val="center"/>
              <w:ind w:left="29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220" w:type="dxa"/>
            <w:vAlign w:val="bottom"/>
          </w:tcPr>
          <w:p>
            <w:pPr>
              <w:spacing w:after="0"/>
              <w:rPr>
                <w:sz w:val="12"/>
                <w:szCs w:val="12"/>
                <w:color w:val="auto"/>
              </w:rPr>
            </w:pP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3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9"/>
        </w:trPr>
        <w:tc>
          <w:tcPr>
            <w:tcW w:w="2380" w:type="dxa"/>
            <w:vAlign w:val="bottom"/>
          </w:tcPr>
          <w:p>
            <w:pPr>
              <w:jc w:val="center"/>
              <w:ind w:right="134"/>
              <w:spacing w:after="0"/>
              <w:rPr>
                <w:sz w:val="20"/>
                <w:szCs w:val="20"/>
                <w:color w:val="auto"/>
              </w:rPr>
            </w:pPr>
            <w:r>
              <w:rPr>
                <w:rFonts w:ascii="Arial" w:cs="Arial" w:eastAsia="Arial" w:hAnsi="Arial"/>
                <w:sz w:val="13"/>
                <w:szCs w:val="13"/>
                <w:b w:val="1"/>
                <w:bCs w:val="1"/>
                <w:color w:val="auto"/>
                <w:w w:val="90"/>
              </w:rPr>
              <w:t>San Francisco, California 94111</w:t>
            </w:r>
          </w:p>
        </w:tc>
        <w:tc>
          <w:tcPr>
            <w:tcW w:w="23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8"/>
        </w:trPr>
        <w:tc>
          <w:tcPr>
            <w:tcW w:w="23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6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53"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(Do not check if 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904" w:orient="portrait"/>
          <w:cols w:equalWidth="0" w:num="4">
            <w:col w:w="3140" w:space="720"/>
            <w:col w:w="1320" w:space="720"/>
            <w:col w:w="2120" w:space="720"/>
            <w:col w:w="2680"/>
          </w:cols>
          <w:pgMar w:left="240" w:top="669" w:right="239" w:bottom="0" w:gutter="0" w:footer="0" w:header="0"/>
          <w:type w:val="continuous"/>
        </w:sectPr>
      </w:pPr>
    </w:p>
    <w:bookmarkStart w:id="1" w:name="page2"/>
    <w:bookmarkEnd w:id="1"/>
    <w:p>
      <w:pPr>
        <w:ind w:left="580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1"/>
        </w:trPr>
        <w:tc>
          <w:tcPr>
            <w:tcW w:w="4700" w:type="dxa"/>
            <w:vAlign w:val="bottom"/>
          </w:tcPr>
          <w:p>
            <w:pPr>
              <w:spacing w:after="0"/>
              <w:rPr>
                <w:sz w:val="9"/>
                <w:szCs w:val="9"/>
                <w:color w:val="auto"/>
              </w:rPr>
            </w:pPr>
          </w:p>
        </w:tc>
        <w:tc>
          <w:tcPr>
            <w:tcW w:w="2780" w:type="dxa"/>
            <w:vAlign w:val="bottom"/>
          </w:tcPr>
          <w:p>
            <w:pPr>
              <w:jc w:val="center"/>
              <w:ind w:left="761"/>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640" w:type="dxa"/>
            <w:vAlign w:val="bottom"/>
          </w:tcPr>
          <w:p>
            <w:pPr>
              <w:spacing w:after="0"/>
              <w:rPr>
                <w:sz w:val="9"/>
                <w:szCs w:val="9"/>
                <w:color w:val="auto"/>
              </w:rPr>
            </w:pPr>
          </w:p>
        </w:tc>
      </w:tr>
      <w:tr>
        <w:trPr>
          <w:trHeight w:val="157"/>
        </w:trPr>
        <w:tc>
          <w:tcPr>
            <w:tcW w:w="4700" w:type="dxa"/>
            <w:vAlign w:val="bottom"/>
          </w:tcPr>
          <w:p>
            <w:pPr>
              <w:jc w:val="center"/>
              <w:ind w:left="754"/>
              <w:spacing w:after="0"/>
              <w:rPr>
                <w:sz w:val="20"/>
                <w:szCs w:val="20"/>
                <w:color w:val="auto"/>
              </w:rPr>
            </w:pPr>
            <w:r>
              <w:rPr>
                <w:rFonts w:ascii="Arial" w:cs="Arial" w:eastAsia="Arial" w:hAnsi="Arial"/>
                <w:sz w:val="13"/>
                <w:szCs w:val="13"/>
                <w:b w:val="1"/>
                <w:bCs w:val="1"/>
                <w:color w:val="auto"/>
                <w:w w:val="87"/>
              </w:rPr>
              <w:t>Title of each class of</w:t>
            </w:r>
          </w:p>
        </w:tc>
        <w:tc>
          <w:tcPr>
            <w:tcW w:w="2780" w:type="dxa"/>
            <w:vAlign w:val="bottom"/>
          </w:tcPr>
          <w:p>
            <w:pPr>
              <w:jc w:val="center"/>
              <w:ind w:left="781"/>
              <w:spacing w:after="0"/>
              <w:rPr>
                <w:sz w:val="20"/>
                <w:szCs w:val="20"/>
                <w:color w:val="auto"/>
              </w:rPr>
            </w:pPr>
            <w:r>
              <w:rPr>
                <w:rFonts w:ascii="Arial" w:cs="Arial" w:eastAsia="Arial" w:hAnsi="Arial"/>
                <w:sz w:val="13"/>
                <w:szCs w:val="13"/>
                <w:b w:val="1"/>
                <w:bCs w:val="1"/>
                <w:color w:val="auto"/>
                <w:w w:val="89"/>
              </w:rPr>
              <w:t>aggregate offering</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211"/>
        </w:trPr>
        <w:tc>
          <w:tcPr>
            <w:tcW w:w="4700" w:type="dxa"/>
            <w:vAlign w:val="bottom"/>
          </w:tcPr>
          <w:p>
            <w:pPr>
              <w:jc w:val="center"/>
              <w:ind w:left="774"/>
              <w:spacing w:after="0"/>
              <w:rPr>
                <w:sz w:val="20"/>
                <w:szCs w:val="20"/>
                <w:color w:val="auto"/>
              </w:rPr>
            </w:pPr>
            <w:r>
              <w:rPr>
                <w:rFonts w:ascii="Arial" w:cs="Arial" w:eastAsia="Arial" w:hAnsi="Arial"/>
                <w:sz w:val="13"/>
                <w:szCs w:val="13"/>
                <w:b w:val="1"/>
                <w:bCs w:val="1"/>
                <w:color w:val="auto"/>
                <w:w w:val="87"/>
              </w:rPr>
              <w:t>securities to be registered</w:t>
            </w:r>
          </w:p>
        </w:tc>
        <w:tc>
          <w:tcPr>
            <w:tcW w:w="2780" w:type="dxa"/>
            <w:vAlign w:val="bottom"/>
          </w:tcPr>
          <w:p>
            <w:pPr>
              <w:jc w:val="center"/>
              <w:ind w:left="781"/>
              <w:spacing w:after="0" w:line="211" w:lineRule="exact"/>
              <w:rPr>
                <w:sz w:val="20"/>
                <w:szCs w:val="20"/>
                <w:color w:val="auto"/>
              </w:rPr>
            </w:pPr>
            <w:r>
              <w:rPr>
                <w:rFonts w:ascii="Arial" w:cs="Arial" w:eastAsia="Arial" w:hAnsi="Arial"/>
                <w:sz w:val="24"/>
                <w:szCs w:val="24"/>
                <w:b w:val="1"/>
                <w:bCs w:val="1"/>
                <w:color w:val="auto"/>
                <w:w w:val="86"/>
                <w:vertAlign w:val="subscript"/>
              </w:rPr>
              <w:t>price</w:t>
            </w:r>
            <w:r>
              <w:rPr>
                <w:rFonts w:ascii="Arial" w:cs="Arial" w:eastAsia="Arial" w:hAnsi="Arial"/>
                <w:sz w:val="10"/>
                <w:szCs w:val="10"/>
                <w:b w:val="1"/>
                <w:bCs w:val="1"/>
                <w:color w:val="auto"/>
                <w:w w:val="86"/>
              </w:rPr>
              <w:t>(1)(2)</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registration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-8255</wp:posOffset>
            </wp:positionV>
            <wp:extent cx="579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12700</wp:posOffset>
            </wp:positionV>
            <wp:extent cx="579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29210</wp:posOffset>
            </wp:positionV>
            <wp:extent cx="579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spacing w:after="0" w:line="227"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i w:val="1"/>
          <w:iCs w:val="1"/>
          <w:color w:val="FF4019"/>
        </w:rPr>
        <w:t>Issued</w:t>
      </w:r>
      <w:r>
        <w:rPr>
          <w:sz w:val="20"/>
          <w:szCs w:val="20"/>
          <w:color w:val="auto"/>
        </w:rPr>
        <w:tab/>
      </w:r>
      <w:r>
        <w:rPr>
          <w:rFonts w:ascii="Arial" w:cs="Arial" w:eastAsia="Arial" w:hAnsi="Arial"/>
          <w:sz w:val="17"/>
          <w:szCs w:val="17"/>
          <w:i w:val="1"/>
          <w:iCs w:val="1"/>
          <w:color w:val="FF4019"/>
        </w:rPr>
        <w:t>, 2013</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Arial" w:cs="Arial" w:eastAsia="Arial" w:hAnsi="Arial"/>
                <w:sz w:val="17"/>
                <w:szCs w:val="17"/>
                <w:b w:val="1"/>
                <w:bCs w:val="1"/>
                <w:i w:val="1"/>
                <w:iCs w:val="1"/>
                <w:color w:val="auto"/>
              </w:rPr>
              <w:t>Veracyte, Inc. is offering</w:t>
            </w:r>
          </w:p>
        </w:tc>
        <w:tc>
          <w:tcPr>
            <w:tcW w:w="936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w w:val="87"/>
              </w:rPr>
              <w:t>shares of its common stock. This is our initial public offering and no public market currently exists for our shares. We anticipate</w:t>
            </w:r>
          </w:p>
        </w:tc>
      </w:tr>
      <w:tr>
        <w:trPr>
          <w:trHeight w:val="216"/>
        </w:trPr>
        <w:tc>
          <w:tcPr>
            <w:tcW w:w="556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2"/>
              </w:rPr>
              <w:t>that the initial public offering price of our common stock will be between $</w:t>
            </w:r>
          </w:p>
        </w:tc>
        <w:tc>
          <w:tcPr>
            <w:tcW w:w="136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and $</w:t>
            </w:r>
          </w:p>
        </w:tc>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per share.</w:t>
            </w:r>
          </w:p>
        </w:tc>
      </w:tr>
      <w:tr>
        <w:trPr>
          <w:trHeight w:val="212"/>
        </w:trPr>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intend to apply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i w:val="1"/>
                <w:iCs w:val="1"/>
                <w:color w:val="auto"/>
                <w:w w:val="92"/>
              </w:rPr>
              <w:t>Underwriting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13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53"/>
        </w:trPr>
        <w:tc>
          <w:tcPr>
            <w:tcW w:w="5420" w:type="dxa"/>
            <w:vAlign w:val="bottom"/>
            <w:vMerge w:val="restart"/>
          </w:tcPr>
          <w:p>
            <w:pPr>
              <w:ind w:left="1160"/>
              <w:spacing w:after="0"/>
              <w:rPr>
                <w:sz w:val="20"/>
                <w:szCs w:val="20"/>
                <w:color w:val="auto"/>
              </w:rPr>
            </w:pPr>
            <w:r>
              <w:rPr>
                <w:rFonts w:ascii="Arial" w:cs="Arial" w:eastAsia="Arial" w:hAnsi="Arial"/>
                <w:sz w:val="17"/>
                <w:szCs w:val="17"/>
                <w:i w:val="1"/>
                <w:iCs w:val="1"/>
                <w:color w:val="auto"/>
              </w:rPr>
              <w:t>Per Share</w:t>
            </w:r>
          </w:p>
        </w:tc>
        <w:tc>
          <w:tcPr>
            <w:tcW w:w="114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710"/>
              <w:spacing w:after="0" w:line="194" w:lineRule="exact"/>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6"/>
                <w:szCs w:val="16"/>
                <w:color w:val="auto"/>
              </w:rPr>
            </w:pPr>
          </w:p>
        </w:tc>
        <w:tc>
          <w:tcPr>
            <w:tcW w:w="84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160"/>
              <w:spacing w:after="0"/>
              <w:rPr>
                <w:sz w:val="20"/>
                <w:szCs w:val="20"/>
                <w:color w:val="auto"/>
              </w:rPr>
            </w:pPr>
            <w:r>
              <w:rPr>
                <w:rFonts w:ascii="Arial" w:cs="Arial" w:eastAsia="Arial" w:hAnsi="Arial"/>
                <w:sz w:val="17"/>
                <w:szCs w:val="17"/>
                <w:i w:val="1"/>
                <w:iCs w:val="1"/>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7"/>
                <w:szCs w:val="17"/>
                <w:i w:val="1"/>
                <w:iCs w:val="1"/>
                <w:color w:val="auto"/>
                <w:w w:val="96"/>
              </w:rPr>
              <w:t>We have granted the underwriters the right to purchase up to an additional</w:t>
            </w:r>
          </w:p>
        </w:tc>
        <w:tc>
          <w:tcPr>
            <w:tcW w:w="3740" w:type="dxa"/>
            <w:vAlign w:val="bottom"/>
            <w:gridSpan w:val="5"/>
          </w:tcPr>
          <w:p>
            <w:pPr>
              <w:ind w:left="300"/>
              <w:spacing w:after="0"/>
              <w:rPr>
                <w:sz w:val="20"/>
                <w:szCs w:val="20"/>
                <w:color w:val="auto"/>
              </w:rPr>
            </w:pPr>
            <w:r>
              <w:rPr>
                <w:rFonts w:ascii="Arial" w:cs="Arial" w:eastAsia="Arial" w:hAnsi="Arial"/>
                <w:sz w:val="17"/>
                <w:szCs w:val="17"/>
                <w:i w:val="1"/>
                <w:iCs w:val="1"/>
                <w:color w:val="auto"/>
                <w:w w:val="91"/>
              </w:rPr>
              <w:t>shares of common stock to cover over-allotments.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693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0"/>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0"/>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6"/>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0"/>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Information Regarding Forward-Looking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85"/>
              </w:rPr>
            </w:pPr>
            <w:hyperlink w:anchor="page38">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33</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Dividend Policy</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1">
              <w:r>
                <w:rPr>
                  <w:rFonts w:ascii="Arial" w:cs="Arial" w:eastAsia="Arial" w:hAnsi="Arial"/>
                  <w:sz w:val="17"/>
                  <w:szCs w:val="17"/>
                  <w:color w:val="0000EE"/>
                  <w:w w:val="95"/>
                </w:rPr>
                <w:t>Dilution</w:t>
              </w:r>
            </w:hyperlink>
          </w:p>
        </w:tc>
        <w:tc>
          <w:tcPr>
            <w:tcW w:w="8180" w:type="dxa"/>
            <w:vAlign w:val="bottom"/>
            <w:gridSpan w:val="2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Business</w:t>
              </w:r>
            </w:hyperlink>
          </w:p>
        </w:tc>
        <w:tc>
          <w:tcPr>
            <w:tcW w:w="8140" w:type="dxa"/>
            <w:vAlign w:val="bottom"/>
            <w:gridSpan w:val="22"/>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60</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Management</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89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Executive Compensation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95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Certain Relationships and Related Party Transactions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105</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12">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12">
              <w:r>
                <w:rPr>
                  <w:rFonts w:ascii="Arial" w:cs="Arial" w:eastAsia="Arial" w:hAnsi="Arial"/>
                  <w:sz w:val="17"/>
                  <w:szCs w:val="17"/>
                  <w:color w:val="0000EE"/>
                  <w:w w:val="84"/>
                </w:rPr>
                <w:t>107</w:t>
              </w:r>
            </w:hyperlink>
          </w:p>
        </w:tc>
        <w:tc>
          <w:tcPr>
            <w:tcW w:w="0" w:type="dxa"/>
            <w:vAlign w:val="bottom"/>
          </w:tcPr>
          <w:p>
            <w:pPr>
              <w:spacing w:after="0"/>
              <w:rPr>
                <w:sz w:val="1"/>
                <w:szCs w:val="1"/>
                <w:color w:val="auto"/>
              </w:rPr>
            </w:pPr>
          </w:p>
        </w:tc>
      </w:tr>
      <w:tr>
        <w:trPr>
          <w:trHeight w:val="190"/>
        </w:trPr>
        <w:tc>
          <w:tcPr>
            <w:tcW w:w="1940" w:type="dxa"/>
            <w:vAlign w:val="bottom"/>
            <w:gridSpan w:val="14"/>
          </w:tcPr>
          <w:p>
            <w:pPr>
              <w:spacing w:after="0" w:line="189" w:lineRule="exact"/>
              <w:rPr>
                <w:rFonts w:ascii="Arial" w:cs="Arial" w:eastAsia="Arial" w:hAnsi="Arial"/>
                <w:sz w:val="17"/>
                <w:szCs w:val="17"/>
                <w:color w:val="0000EE"/>
                <w:w w:val="91"/>
              </w:rPr>
            </w:pPr>
            <w:hyperlink w:anchor="page115">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5">
              <w:r>
                <w:rPr>
                  <w:rFonts w:ascii="Arial" w:cs="Arial" w:eastAsia="Arial" w:hAnsi="Arial"/>
                  <w:sz w:val="17"/>
                  <w:szCs w:val="17"/>
                  <w:color w:val="0000EE"/>
                </w:rPr>
                <w:t>110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gridSpan w:val="15"/>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2"/>
          </w:tcPr>
          <w:p>
            <w:pPr>
              <w:spacing w:after="0" w:line="189"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116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25">
              <w:r>
                <w:rPr>
                  <w:rFonts w:ascii="Arial" w:cs="Arial" w:eastAsia="Arial" w:hAnsi="Arial"/>
                  <w:sz w:val="17"/>
                  <w:szCs w:val="17"/>
                  <w:color w:val="0000EE"/>
                  <w:w w:val="91"/>
                </w:rPr>
                <w:t>Underwriters</w:t>
              </w:r>
            </w:hyperlink>
          </w:p>
        </w:tc>
        <w:tc>
          <w:tcPr>
            <w:tcW w:w="3440" w:type="dxa"/>
            <w:vAlign w:val="bottom"/>
            <w:gridSpan w:val="16"/>
          </w:tcPr>
          <w:p>
            <w:pPr>
              <w:spacing w:after="0"/>
              <w:rPr>
                <w:sz w:val="16"/>
                <w:szCs w:val="16"/>
                <w:color w:val="auto"/>
              </w:rPr>
            </w:pPr>
          </w:p>
        </w:tc>
        <w:tc>
          <w:tcPr>
            <w:tcW w:w="440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120</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Legal Matters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29">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00" w:type="dxa"/>
            <w:vAlign w:val="bottom"/>
            <w:gridSpan w:val="18"/>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9">
              <w:r>
                <w:rPr>
                  <w:rFonts w:ascii="Arial" w:cs="Arial" w:eastAsia="Arial" w:hAnsi="Arial"/>
                  <w:sz w:val="17"/>
                  <w:szCs w:val="17"/>
                  <w:color w:val="0000EE"/>
                  <w:w w:val="84"/>
                </w:rPr>
                <w:t>124</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Where You Can Find Additional Information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190"/>
        </w:trPr>
        <w:tc>
          <w:tcPr>
            <w:tcW w:w="2620" w:type="dxa"/>
            <w:vAlign w:val="bottom"/>
            <w:tcBorders>
              <w:top w:val="single" w:sz="8" w:color="0000EE"/>
            </w:tcBorders>
            <w:gridSpan w:val="16"/>
          </w:tcPr>
          <w:p>
            <w:pPr>
              <w:spacing w:after="0" w:line="189"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Index to Audited Financial Statements</w:t>
              </w:r>
            </w:hyperlink>
          </w:p>
        </w:tc>
        <w:tc>
          <w:tcPr>
            <w:tcW w:w="440" w:type="dxa"/>
            <w:vAlign w:val="bottom"/>
            <w:tcBorders>
              <w:top w:val="single" w:sz="8" w:color="0000EE"/>
            </w:tcBorders>
          </w:tcPr>
          <w:p>
            <w:pPr>
              <w:spacing w:after="0"/>
              <w:rPr>
                <w:sz w:val="16"/>
                <w:szCs w:val="16"/>
                <w:color w:val="auto"/>
              </w:rPr>
            </w:pPr>
          </w:p>
        </w:tc>
        <w:tc>
          <w:tcPr>
            <w:tcW w:w="568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8"/>
              </w:rPr>
            </w:pPr>
            <w:hyperlink w:anchor="page130">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6"/>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Index to Unaudited Interim Condensed Financial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predicting outcomes and guiding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Based on our internal analysis and third-party data, we believe molecular diagnost solutions to address these markets could represent an approximately $4.0 billion opportunity.</w:t>
      </w:r>
    </w:p>
    <w:p>
      <w:pPr>
        <w:spacing w:after="0" w:line="187" w:lineRule="exact"/>
        <w:rPr>
          <w:sz w:val="20"/>
          <w:szCs w:val="20"/>
          <w:color w:val="auto"/>
        </w:rPr>
      </w:pPr>
    </w:p>
    <w:p>
      <w:pPr>
        <w:jc w:val="both"/>
        <w:ind w:left="240" w:firstLine="474"/>
        <w:spacing w:after="0" w:line="315"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94" w:lineRule="auto"/>
        <w:rPr>
          <w:sz w:val="20"/>
          <w:szCs w:val="20"/>
          <w:color w:val="auto"/>
        </w:rPr>
      </w:pPr>
      <w:r>
        <w:rPr>
          <w:rFonts w:ascii="Arial" w:cs="Arial" w:eastAsia="Arial" w:hAnsi="Arial"/>
          <w:sz w:val="16"/>
          <w:szCs w:val="16"/>
          <w:color w:val="auto"/>
        </w:rPr>
        <w:t>clinical need and the shortcomings of the current standard of care. We define the precise clinical question in these diseases that, if informed by genomic informatio would alter the standard of care in a way that improves patient outcomes while reducing costs in both the short- and long-term. Only then do we deploy our scientif expertise in biomarker discovery and algorithm development to derive a genomic signature that provides meaningful diagnostic information.</w:t>
      </w:r>
    </w:p>
    <w:p>
      <w:pPr>
        <w:spacing w:after="0" w:line="163" w:lineRule="exact"/>
        <w:rPr>
          <w:sz w:val="20"/>
          <w:szCs w:val="20"/>
          <w:color w:val="auto"/>
        </w:rPr>
      </w:pPr>
    </w:p>
    <w:p>
      <w:pPr>
        <w:jc w:val="both"/>
        <w:ind w:left="240" w:firstLine="338"/>
        <w:spacing w:after="0" w:line="278" w:lineRule="auto"/>
        <w:rPr>
          <w:sz w:val="20"/>
          <w:szCs w:val="20"/>
          <w:color w:val="auto"/>
        </w:rPr>
      </w:pPr>
      <w:r>
        <w:rPr>
          <w:rFonts w:ascii="Arial" w:cs="Arial" w:eastAsia="Arial" w:hAnsi="Arial"/>
          <w:sz w:val="16"/>
          <w:szCs w:val="16"/>
          <w:color w:val="auto"/>
        </w:rPr>
        <w:t>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Approximately 525,000 thyroid FNA were performed in the United States in 2011. Typically, 15% to 30% of FNAs yield indeterminate results, meaning they cannot be diagnosed as definitively benign malignant by cytopathology alone. Because the risk of malignancy is approximately 25% for an indeterminate diagnosis, clinical practice guidelines have historical recommended patients with indeterminate cytopathology results undergo surgery to remove part or all of their thyroid to obtain an accurate pathology diagnosi However, in 70% to 80% of these cases, the thyroid nodule proves to be benign for cancer. We estimate the average cost of this surgery to be $15,000, and surgery ca result in complications and leave a patient in need of hormone replacement therapy for life. We believe Afirma, if fully adopted, could result in over $500 million direct cost savings to the healthcare system over five years.</w:t>
      </w:r>
    </w:p>
    <w:p>
      <w:pPr>
        <w:spacing w:after="0" w:line="179" w:lineRule="exact"/>
        <w:rPr>
          <w:sz w:val="20"/>
          <w:szCs w:val="20"/>
          <w:color w:val="auto"/>
        </w:rPr>
      </w:pPr>
    </w:p>
    <w:p>
      <w:pPr>
        <w:jc w:val="both"/>
        <w:ind w:left="240"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 both a cytopathology indeterminate result and a GEC benign result. The study found that physicians recommended surgery in only 7.6% of these cases, representing 90% reduction in surgeries when compared to the historical average for patients with cytopathology indeterminate results alone. We believe the GEC is currently t only diagnostic test that meets the criteria of the National Comprehensive Cancer Network, or NCCN, for safely monitoring patients with indeterminate cytopatholog results in lieu of surgery.</w:t>
      </w:r>
    </w:p>
    <w:p>
      <w:pPr>
        <w:spacing w:after="0" w:line="179" w:lineRule="exact"/>
        <w:rPr>
          <w:sz w:val="20"/>
          <w:szCs w:val="20"/>
          <w:color w:val="auto"/>
        </w:rPr>
      </w:pPr>
    </w:p>
    <w:p>
      <w:pPr>
        <w:jc w:val="both"/>
        <w:ind w:left="240"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 lungs that are difficult to diagnose prior to surgery. Specifically, we intend to improve the accurac of diagnosis of idiopathic pulmonary fibrosis, one of the more progressive, often fatal, interstitial lung diseases, and to provide critical information to physicians a patients as they decide whether to pursue potentially lifesaving treatments or participate in clinical studies.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ind w:left="1280" w:hanging="524"/>
        <w:spacing w:after="0" w:line="352"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Clinically validated solution with demonstrated utility and significant payer adoption. </w:t>
      </w:r>
      <w:r>
        <w:rPr>
          <w:rFonts w:ascii="Arial" w:cs="Arial" w:eastAsia="Arial" w:hAnsi="Arial"/>
          <w:sz w:val="15"/>
          <w:szCs w:val="15"/>
          <w:color w:val="auto"/>
        </w:rPr>
        <w:t>We have demonstrated the benefits of Afirma in multip</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studies that have been published in leading peer-reviewed publications. As a result of Afirma's demonstrated utility and our managed care</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expertise, we have obtained positive coverage decisions from a range of payers, including Aetna, Humana, Medicare and UnitedHealthcare.</w:t>
      </w:r>
    </w:p>
    <w:p>
      <w:pPr>
        <w:spacing w:after="0" w:line="262" w:lineRule="exact"/>
        <w:rPr>
          <w:sz w:val="20"/>
          <w:szCs w:val="20"/>
          <w:color w:val="auto"/>
        </w:rPr>
      </w:pPr>
    </w:p>
    <w:p>
      <w:pPr>
        <w:jc w:val="both"/>
        <w:ind w:left="1280" w:hanging="524"/>
        <w:spacing w:after="0" w:line="26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Large, underserved specialty markets. </w:t>
      </w:r>
      <w:r>
        <w:rPr>
          <w:rFonts w:ascii="Arial" w:cs="Arial" w:eastAsia="Arial" w:hAnsi="Arial"/>
          <w:sz w:val="17"/>
          <w:szCs w:val="17"/>
          <w:color w:val="auto"/>
        </w:rPr>
        <w:t>Approximately 525,000 thyroid FNAs were performed in the United States in 2011, by an estimated 3,50</w:t>
      </w:r>
      <w:r>
        <w:rPr>
          <w:rFonts w:ascii="Arial" w:cs="Arial" w:eastAsia="Arial" w:hAnsi="Arial"/>
          <w:sz w:val="17"/>
          <w:szCs w:val="17"/>
          <w:i w:val="1"/>
          <w:iCs w:val="1"/>
          <w:color w:val="auto"/>
        </w:rPr>
        <w:t xml:space="preserve"> </w:t>
      </w:r>
      <w:r>
        <w:rPr>
          <w:rFonts w:ascii="Arial" w:cs="Arial" w:eastAsia="Arial" w:hAnsi="Arial"/>
          <w:sz w:val="17"/>
          <w:szCs w:val="17"/>
          <w:color w:val="auto"/>
        </w:rPr>
        <w:t>endocrinologists whom we believe specialize in thyroid disease. We estimate the thyroid nodule diagnostic market to be approximately $500 millio per year in the United States and approximately $300 million outside of the United States. We believe we can effectively market Afirma with a sma specialty sales force, in part because Afirma represents a significant innovation in the underserved thyroid cancer diagnostic market. Because Afirm represents a significant innovation for this underserved and relatively concentrated base of physicians, we believe we can effectively market Afirm with a small specialty sales force.</w:t>
      </w:r>
    </w:p>
    <w:p>
      <w:pPr>
        <w:spacing w:after="0" w:line="201" w:lineRule="exact"/>
        <w:rPr>
          <w:rFonts w:ascii="Arial" w:cs="Arial" w:eastAsia="Arial" w:hAnsi="Arial"/>
          <w:sz w:val="17"/>
          <w:szCs w:val="17"/>
          <w:color w:val="auto"/>
        </w:rPr>
      </w:pPr>
    </w:p>
    <w:p>
      <w:pPr>
        <w:jc w:val="both"/>
        <w:ind w:left="1280" w:hanging="524"/>
        <w:spacing w:after="0" w:line="303"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74"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211"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left="240" w:firstLine="497"/>
        <w:spacing w:after="0" w:line="280"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 diagnosis treatment decisions pre-operatively. We focus on diseases in which a large number of patients undergo invasive and costly diagnostic procedures that could be avoid with a more accurate diagnosis from a cytology sample taken prior to surgery. Positioning our test as an alternative to an invasive procedure allows us to efficient validate the accuracy of our diagnostic test by comparing our test results to those obtained using the more invasive approach. Armed with clinical data that suppor the use of molecular cytology in lieu of a more invasive or costly procedure, we believe we are well-positioned to support clinical studies that demonstrate how o products change the standard of care, improve patient outcomes and reduce costs.</w:t>
      </w:r>
    </w:p>
    <w:p>
      <w:pPr>
        <w:spacing w:after="0" w:line="175"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39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23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496"/>
        <w:spacing w:after="0" w:line="281" w:lineRule="auto"/>
        <w:rPr>
          <w:sz w:val="20"/>
          <w:szCs w:val="20"/>
          <w:color w:val="auto"/>
        </w:rPr>
      </w:pPr>
      <w:r>
        <w:rPr>
          <w:rFonts w:ascii="Arial" w:cs="Arial" w:eastAsia="Arial" w:hAnsi="Arial"/>
          <w:sz w:val="16"/>
          <w:szCs w:val="16"/>
          <w:color w:val="auto"/>
        </w:rPr>
        <w:t>Afirma is our first commercial solution based on our molecular cytology platform. We drive physician adoption and retention by marketing Afirma as t centerpiece of a comprehensive solution for improved disease diagnosis, which allows our offering to seamlessly integrate into a physician's practice workflow. W offer Afirma to physicians as a turnkey solution that combines cytopathology for every patient with our molecular diagnostic test when cytopathology yiel ambiguous results. Our solution includes a complete patient report that guides decision making. By integrating disparate diagnostic procedures into one comprehensi offering, we can simplify and improve the diagnostic process for physicians and their patients while optimizing utilization of our molecular diagnostics to maximi clinical benefits and cost savings. We intend to duplicate this model with solutions we develop for other diseases.</w:t>
      </w:r>
    </w:p>
    <w:p>
      <w:pPr>
        <w:spacing w:after="0" w:line="176"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322"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patients. </w:t>
      </w:r>
      <w:r>
        <w:rPr>
          <w:rFonts w:ascii="Arial" w:cs="Arial" w:eastAsia="Arial" w:hAnsi="Arial"/>
          <w:sz w:val="15"/>
          <w:szCs w:val="15"/>
          <w:color w:val="auto"/>
        </w:rPr>
        <w:t>With the GEC, approximately half of the patients with indeterminate cytology results may avoid unnecessary, invasive diagnost</w:t>
      </w:r>
      <w:r>
        <w:rPr>
          <w:rFonts w:ascii="Arial" w:cs="Arial" w:eastAsia="Arial" w:hAnsi="Arial"/>
          <w:sz w:val="15"/>
          <w:szCs w:val="15"/>
          <w:i w:val="1"/>
          <w:iCs w:val="1"/>
          <w:color w:val="auto"/>
        </w:rPr>
        <w:t xml:space="preserve"> </w:t>
      </w:r>
      <w:r>
        <w:rPr>
          <w:rFonts w:ascii="Arial" w:cs="Arial" w:eastAsia="Arial" w:hAnsi="Arial"/>
          <w:sz w:val="15"/>
          <w:szCs w:val="15"/>
          <w:color w:val="auto"/>
        </w:rPr>
        <w:t>surgery. Patients who obtain an Afirma benign result avoid the potential for surgery-related complications, the effects of life-long hormone replaceme therapy and the associated costs. We estimate that approximately 115,000 FNAs performed in the United States in 2011 yielded an indeterminate resu</w:t>
      </w:r>
    </w:p>
    <w:p>
      <w:pPr>
        <w:spacing w:after="0" w:line="157" w:lineRule="exact"/>
        <w:rPr>
          <w:rFonts w:ascii="Arial" w:cs="Arial" w:eastAsia="Arial" w:hAnsi="Arial"/>
          <w:sz w:val="15"/>
          <w:szCs w:val="15"/>
          <w:color w:val="auto"/>
        </w:rPr>
      </w:pPr>
    </w:p>
    <w:p>
      <w:pPr>
        <w:jc w:val="both"/>
        <w:ind w:left="1280" w:right="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jc w:val="both"/>
        <w:ind w:left="1280" w:right="20" w:hanging="524"/>
        <w:spacing w:after="0" w:line="26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payers. </w:t>
      </w:r>
      <w:r>
        <w:rPr>
          <w:rFonts w:ascii="Arial" w:cs="Arial" w:eastAsia="Arial" w:hAnsi="Arial"/>
          <w:sz w:val="17"/>
          <w:szCs w:val="17"/>
          <w:color w:val="auto"/>
        </w:rPr>
        <w:t>Payers differentiate themselves by offering their insured the most advanced care available in medicine. However, payers are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concluded that routine use the GEC in the United States would prevent tens of thousands of surgeries each year. Based on our estimate of the average cost of surgery of $15,000 well as clinical utility studies, we believe full adoption of Afirma would result in over $500 million in direct cost savings to the healthcare system ov five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246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50"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43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80" w:type="dxa"/>
            <w:vAlign w:val="bottom"/>
            <w:gridSpan w:val="2"/>
          </w:tcPr>
          <w:p>
            <w:pPr>
              <w:ind w:left="112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w:t>
            </w:r>
          </w:p>
        </w:tc>
        <w:tc>
          <w:tcPr>
            <w:tcW w:w="5280" w:type="dxa"/>
            <w:vAlign w:val="bottom"/>
          </w:tcPr>
          <w:p>
            <w:pPr>
              <w:spacing w:after="0"/>
              <w:rPr>
                <w:sz w:val="24"/>
                <w:szCs w:val="24"/>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 (</w:t>
            </w:r>
          </w:p>
        </w:tc>
        <w:tc>
          <w:tcPr>
            <w:tcW w:w="5280" w:type="dxa"/>
            <w:vAlign w:val="bottom"/>
          </w:tcPr>
          <w:p>
            <w:pPr>
              <w:ind w:left="540"/>
              <w:spacing w:after="0"/>
              <w:rPr>
                <w:sz w:val="20"/>
                <w:szCs w:val="20"/>
                <w:color w:val="auto"/>
              </w:rPr>
            </w:pPr>
            <w:r>
              <w:rPr>
                <w:rFonts w:ascii="Arial" w:cs="Arial" w:eastAsia="Arial" w:hAnsi="Arial"/>
                <w:sz w:val="17"/>
                <w:szCs w:val="17"/>
                <w:color w:val="auto"/>
                <w:w w:val="92"/>
              </w:rPr>
              <w:t>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7"/>
                <w:szCs w:val="17"/>
                <w:color w:val="auto"/>
              </w:rPr>
              <w:t>to purchase up to</w:t>
            </w:r>
          </w:p>
        </w:tc>
        <w:tc>
          <w:tcPr>
            <w:tcW w:w="5280" w:type="dxa"/>
            <w:vAlign w:val="bottom"/>
          </w:tcPr>
          <w:p>
            <w:pPr>
              <w:ind w:left="320"/>
              <w:spacing w:after="0"/>
              <w:rPr>
                <w:sz w:val="20"/>
                <w:szCs w:val="20"/>
                <w:color w:val="auto"/>
              </w:rPr>
            </w:pPr>
            <w:r>
              <w:rPr>
                <w:rFonts w:ascii="Arial" w:cs="Arial" w:eastAsia="Arial" w:hAnsi="Arial"/>
                <w:sz w:val="17"/>
                <w:szCs w:val="17"/>
                <w:color w:val="auto"/>
              </w:rPr>
              <w:t>additional shares of common stock.</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7"/>
              </w:rPr>
              <w:t>The principal purposes of this offering are to obtain additional capital to support our operations,</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1"/>
              </w:rPr>
              <w:t>establish a public market for our common stock and to facilitate our future access to the public capital</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markets. We currently intend to use the net proceeds from this offering as follows:</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5"/>
              </w:rPr>
              <w:t xml:space="preserve">• </w:t>
            </w:r>
            <w:r>
              <w:rPr>
                <w:rFonts w:ascii="Arial" w:cs="Arial" w:eastAsia="Arial" w:hAnsi="Arial"/>
                <w:sz w:val="17"/>
                <w:szCs w:val="17"/>
                <w:color w:val="auto"/>
                <w:w w:val="95"/>
              </w:rPr>
              <w:t>approximately $20 million for sales and marketing activities, including expansion of our sales for</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580"/>
              <w:spacing w:after="0"/>
              <w:rPr>
                <w:sz w:val="20"/>
                <w:szCs w:val="20"/>
                <w:color w:val="auto"/>
              </w:rPr>
            </w:pPr>
            <w:r>
              <w:rPr>
                <w:rFonts w:ascii="Arial" w:cs="Arial" w:eastAsia="Arial" w:hAnsi="Arial"/>
                <w:sz w:val="17"/>
                <w:szCs w:val="17"/>
                <w:color w:val="auto"/>
              </w:rPr>
              <w:t>to support the ongoing commercialization of our products;</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9"/>
              </w:rPr>
              <w:t xml:space="preserve">• </w:t>
            </w:r>
            <w:r>
              <w:rPr>
                <w:rFonts w:ascii="Arial" w:cs="Arial" w:eastAsia="Arial" w:hAnsi="Arial"/>
                <w:sz w:val="17"/>
                <w:szCs w:val="17"/>
                <w:color w:val="auto"/>
                <w:w w:val="99"/>
              </w:rPr>
              <w:t>approximately $20 million for research and development, including medical and clinical cost</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580"/>
              <w:spacing w:after="0"/>
              <w:rPr>
                <w:sz w:val="20"/>
                <w:szCs w:val="20"/>
                <w:color w:val="auto"/>
              </w:rPr>
            </w:pPr>
            <w:r>
              <w:rPr>
                <w:rFonts w:ascii="Arial" w:cs="Arial" w:eastAsia="Arial" w:hAnsi="Arial"/>
                <w:sz w:val="17"/>
                <w:szCs w:val="17"/>
                <w:color w:val="auto"/>
                <w:w w:val="92"/>
              </w:rPr>
              <w:t>related to the continued support of Afirma as well as the development of our product pipeline; and</w:t>
            </w:r>
          </w:p>
        </w:tc>
      </w:tr>
      <w:tr>
        <w:trPr>
          <w:trHeight w:val="458"/>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remaining proceeds for working capital and other general corporate purposes.</w:t>
            </w:r>
          </w:p>
        </w:tc>
      </w:tr>
      <w:tr>
        <w:trPr>
          <w:trHeight w:val="401"/>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In addition, we may use a portion of the net proceeds from this offering for acquisitions of</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89"/>
              </w:rPr>
              <w:t>complementary businesses, technologies or other assets. However, we do not have agreements for any</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material acquisitions at this time. See "Use of Proceeds".</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10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2100" w:type="dxa"/>
            <w:vAlign w:val="bottom"/>
          </w:tcPr>
          <w:p>
            <w:pPr>
              <w:ind w:left="400"/>
              <w:spacing w:after="0"/>
              <w:rPr>
                <w:sz w:val="20"/>
                <w:szCs w:val="20"/>
                <w:color w:val="auto"/>
              </w:rPr>
            </w:pPr>
            <w:r>
              <w:rPr>
                <w:rFonts w:ascii="Arial" w:cs="Arial" w:eastAsia="Arial" w:hAnsi="Arial"/>
                <w:sz w:val="17"/>
                <w:szCs w:val="17"/>
                <w:color w:val="auto"/>
              </w:rPr>
              <w:t>VCYT</w:t>
            </w:r>
          </w:p>
        </w:tc>
        <w:tc>
          <w:tcPr>
            <w:tcW w:w="5280" w:type="dxa"/>
            <w:vAlign w:val="bottom"/>
          </w:tcPr>
          <w:p>
            <w:pPr>
              <w:spacing w:after="0"/>
              <w:rPr>
                <w:sz w:val="24"/>
                <w:szCs w:val="24"/>
                <w:color w:val="auto"/>
              </w:rPr>
            </w:pPr>
          </w:p>
        </w:tc>
      </w:tr>
    </w:tbl>
    <w:p>
      <w:pPr>
        <w:spacing w:after="0" w:line="204" w:lineRule="exact"/>
        <w:rPr>
          <w:sz w:val="20"/>
          <w:szCs w:val="20"/>
          <w:color w:val="auto"/>
        </w:rPr>
      </w:pPr>
    </w:p>
    <w:p>
      <w:pPr>
        <w:jc w:val="both"/>
        <w:ind w:left="240" w:firstLine="455"/>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63,704,170 shares outstanding as of June 30, 2013, on an a converted basis, and excludes:</w:t>
      </w:r>
    </w:p>
    <w:p>
      <w:pPr>
        <w:spacing w:after="0" w:line="196" w:lineRule="exact"/>
        <w:rPr>
          <w:sz w:val="20"/>
          <w:szCs w:val="20"/>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 per share;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909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290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 of common stock upon conversion of our Series C preferred stock into common stock immediately prior to the completion of this offering, with exercise price of $1.89 per share;</w:t>
      </w:r>
    </w:p>
    <w:p>
      <w:pPr>
        <w:sectPr>
          <w:pgSz w:w="11900" w:h="16838" w:orient="portrait"/>
          <w:cols w:equalWidth="0" w:num="1">
            <w:col w:w="11500"/>
          </w:cols>
          <w:pgMar w:left="240" w:top="131" w:right="159" w:bottom="1440" w:gutter="0" w:footer="0" w:header="0"/>
        </w:sectPr>
      </w:pP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 on an annual basis, reserved for future issuance under our 2013 Stock Incentive Plan, which will become effective in connection with this offering; an</w:t>
      </w:r>
    </w:p>
    <w:p>
      <w:pPr>
        <w:spacing w:after="0" w:line="159" w:lineRule="exact"/>
        <w:rPr>
          <w:sz w:val="20"/>
          <w:szCs w:val="20"/>
          <w:color w:val="auto"/>
        </w:rPr>
      </w:pPr>
    </w:p>
    <w:p>
      <w:pPr>
        <w:sectPr>
          <w:pgSz w:w="11900" w:h="16838" w:orient="portrait"/>
          <w:cols w:equalWidth="0" w:num="2">
            <w:col w:w="820" w:space="460"/>
            <w:col w:w="10220"/>
          </w:cols>
          <w:pgMar w:left="240" w:top="131" w:right="159" w:bottom="1440" w:gutter="0" w:footer="0" w:header="0"/>
          <w:type w:val="continuous"/>
        </w:sectPr>
      </w:pPr>
    </w:p>
    <w:p>
      <w:pPr>
        <w:ind w:left="580" w:right="2420" w:firstLine="176"/>
        <w:spacing w:after="0" w:line="515" w:lineRule="auto"/>
        <w:tabs>
          <w:tab w:leader="none" w:pos="12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232,546 shares of common stock issued upon the exercise of options between June 30, 2013 and August 31, 2013. Unless otherwise indicated, all information in this prospectus assumes:</w:t>
      </w:r>
    </w:p>
    <w:p>
      <w:pPr>
        <w:spacing w:after="0" w:line="26"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completion of this offering, is in effect;</w:t>
      </w:r>
    </w:p>
    <w:p>
      <w:pPr>
        <w:spacing w:after="0" w:line="237"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into an aggregate of 59,989,268 shares of common stock immediately pri to the completion of this offering; and</w:t>
      </w:r>
    </w:p>
    <w:p>
      <w:pPr>
        <w:spacing w:after="0" w:line="170"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680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Pr>
          <w:p>
            <w:pPr>
              <w:spacing w:after="0"/>
              <w:rPr>
                <w:sz w:val="13"/>
                <w:szCs w:val="13"/>
                <w:color w:val="auto"/>
              </w:rPr>
            </w:pPr>
          </w:p>
        </w:tc>
        <w:tc>
          <w:tcPr>
            <w:tcW w:w="11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5"/>
              </w:rPr>
              <w:t>thousands, except</w:t>
            </w:r>
          </w:p>
        </w:tc>
        <w:tc>
          <w:tcPr>
            <w:tcW w:w="10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2"/>
              </w:rPr>
              <w:t>share and per share</w:t>
            </w:r>
          </w:p>
        </w:tc>
        <w:tc>
          <w:tcPr>
            <w:tcW w:w="36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data)</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3,947</w:t>
            </w:r>
          </w:p>
        </w:tc>
        <w:tc>
          <w:tcPr>
            <w:tcW w:w="160" w:type="dxa"/>
            <w:vAlign w:val="bottom"/>
          </w:tcPr>
          <w:p>
            <w:pPr>
              <w:spacing w:after="0"/>
              <w:rPr>
                <w:sz w:val="18"/>
                <w:szCs w:val="18"/>
                <w:color w:val="auto"/>
              </w:rPr>
            </w:pPr>
          </w:p>
        </w:tc>
        <w:tc>
          <w:tcPr>
            <w:tcW w:w="200" w:type="dxa"/>
            <w:vAlign w:val="bottom"/>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3,045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gridSpan w:val="3"/>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60" w:type="dxa"/>
            <w:vAlign w:val="bottom"/>
            <w:gridSpan w:val="3"/>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Shares used in computing net loss per common share, basic and</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2,601,352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3,250,863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ind w:left="54"/>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(Unaudited)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 to the completion of this offering; and</w:t>
      </w:r>
    </w:p>
    <w:p>
      <w:pPr>
        <w:sectPr>
          <w:pgSz w:w="11900" w:h="16838" w:orient="portrait"/>
          <w:cols w:equalWidth="0" w:num="1">
            <w:col w:w="11520"/>
          </w:cols>
          <w:pgMar w:left="240" w:top="131" w:right="1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 stock in this offering at a price of $ per share, the midpoint of the price range set forth on the cover page of this prospectus, and aft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jc w:val="both"/>
        <w:ind w:left="240" w:firstLine="350"/>
        <w:spacing w:after="0" w:line="277"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 prospectus, would increase (decrease) each of cash and cash equivalents, working capital, total assets and total stockholders' equity (deficit) by $ millio</w:t>
      </w:r>
    </w:p>
    <w:p>
      <w:pPr>
        <w:sectPr>
          <w:pgSz w:w="11900" w:h="16838" w:orient="portrait"/>
          <w:cols w:equalWidth="0" w:num="1">
            <w:col w:w="11520"/>
          </w:cols>
          <w:pgMar w:left="240" w:top="131" w:right="139" w:bottom="1440" w:gutter="0" w:footer="0" w:header="0"/>
          <w:type w:val="continuous"/>
        </w:sectPr>
      </w:pPr>
    </w:p>
    <w:p>
      <w:pPr>
        <w:spacing w:after="0" w:line="1" w:lineRule="exact"/>
        <w:rPr>
          <w:sz w:val="20"/>
          <w:szCs w:val="20"/>
          <w:color w:val="auto"/>
        </w:rPr>
      </w:pPr>
    </w:p>
    <w:p>
      <w:pPr>
        <w:ind w:left="240"/>
        <w:spacing w:after="0" w:line="287" w:lineRule="auto"/>
        <w:rPr>
          <w:sz w:val="20"/>
          <w:szCs w:val="20"/>
          <w:color w:val="auto"/>
        </w:rPr>
      </w:pPr>
      <w:r>
        <w:rPr>
          <w:rFonts w:ascii="Arial" w:cs="Arial" w:eastAsia="Arial" w:hAnsi="Arial"/>
          <w:sz w:val="15"/>
          <w:szCs w:val="15"/>
          <w:color w:val="auto"/>
        </w:rPr>
        <w:t>assuming that the number of shares offered as set forth on the cover page of this prospectus remains the same, and after deducting the estimated underwriting discoun and commissions and estimated expenses payable by us. Each increase (decrease) of 1.0 million shares in the number of shares of common stock offered by us wou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40"/>
        <w:spacing w:after="0" w:line="277" w:lineRule="auto"/>
        <w:rPr>
          <w:sz w:val="20"/>
          <w:szCs w:val="20"/>
          <w:color w:val="auto"/>
        </w:rPr>
      </w:pPr>
      <w:r>
        <w:rPr>
          <w:rFonts w:ascii="Arial" w:cs="Arial" w:eastAsia="Arial" w:hAnsi="Arial"/>
          <w:sz w:val="16"/>
          <w:szCs w:val="16"/>
          <w:color w:val="auto"/>
        </w:rPr>
        <w:t>increase (decrease) each of cash and cash equivalents, working capital, total assets and total stockholders' equity (deficit) by approximately $ millio assuming a price of $ per share, the midpoint of the price range set forth on the cover page of this prospectus, and after deducting the estimated underwritin</w:t>
      </w:r>
    </w:p>
    <w:p>
      <w:pPr>
        <w:spacing w:after="0" w:line="1" w:lineRule="exact"/>
        <w:rPr>
          <w:sz w:val="20"/>
          <w:szCs w:val="20"/>
          <w:color w:val="auto"/>
        </w:rPr>
      </w:pPr>
    </w:p>
    <w:p>
      <w:pPr>
        <w:jc w:val="both"/>
        <w:ind w:left="240"/>
        <w:spacing w:after="0" w:line="275" w:lineRule="auto"/>
        <w:rPr>
          <w:sz w:val="20"/>
          <w:szCs w:val="20"/>
          <w:color w:val="auto"/>
        </w:rPr>
      </w:pPr>
      <w:r>
        <w:rPr>
          <w:rFonts w:ascii="Arial" w:cs="Arial" w:eastAsia="Arial" w:hAnsi="Arial"/>
          <w:sz w:val="17"/>
          <w:szCs w:val="17"/>
          <w:color w:val="auto"/>
        </w:rPr>
        <w:t>discounts and commissions and estimated expenses payable by us. The pro forma as adjusted information discussed above is illustrative only and will be adjuste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We believe that Afirma is an LDT. As a result, we believe Afirma should not be subject to regulation in accordance with the FDA's current policy of exercising enforcement discretion regarding LDTs.</w:t>
      </w:r>
    </w:p>
    <w:p>
      <w:pPr>
        <w:spacing w:after="0" w:line="185" w:lineRule="exact"/>
        <w:rPr>
          <w:sz w:val="20"/>
          <w:szCs w:val="20"/>
          <w:color w:val="auto"/>
        </w:rPr>
      </w:pPr>
    </w:p>
    <w:p>
      <w:pPr>
        <w:jc w:val="both"/>
        <w:ind w:firstLine="408"/>
        <w:spacing w:after="0" w:line="287" w:lineRule="auto"/>
        <w:rPr>
          <w:sz w:val="20"/>
          <w:szCs w:val="20"/>
          <w:color w:val="auto"/>
        </w:rPr>
      </w:pPr>
      <w:r>
        <w:rPr>
          <w:rFonts w:ascii="Arial" w:cs="Arial" w:eastAsia="Arial" w:hAnsi="Arial"/>
          <w:sz w:val="16"/>
          <w:szCs w:val="16"/>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future for our tests, whether through additional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We cannot predict the timing or content of future legislation enacted or guidance issued regarding LDTs, or how it will affect our business.</w:t>
      </w:r>
    </w:p>
    <w:p>
      <w:pPr>
        <w:spacing w:after="0" w:line="185"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5"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If FDA premarket review or approval is required for Afirma or any of our future tests we may develop, or we decide to voluntarily pursue FDA review or approval, we may be forced to stop selling our tests or we may be allowed to keep selling our tests while we work to obtain FDA approval. Our business would be negatively affected until such review is completed and clearance to market or approval is obtained. The regulatory approval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they are labeled investigational by the FDA,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capabilities outside of the United States and expanding our relationships with international payers. Doing business internationally involves a number of risks, including:</w:t>
      </w:r>
    </w:p>
    <w:p>
      <w:pPr>
        <w:spacing w:after="0" w:line="183" w:lineRule="exact"/>
        <w:rPr>
          <w:sz w:val="20"/>
          <w:szCs w:val="20"/>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conduct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we might choose to abandon the development of the product, which could harm our business. In addition, competitors may develop and commercialize competing products or technologies faster than us or at a lower cost.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establishes standards for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 able to prepare samples for cytopathology on FNAs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patients in New York in that laboratory. Moreover, several other states require that we hold licenses to test samples from patients in those states. Other states may have similar requirements or may adopt similar requirements in the future.</w:t>
      </w:r>
    </w:p>
    <w:p>
      <w:pPr>
        <w:spacing w:after="0" w:line="170"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If we were to lose our CLIA certificate or state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80"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5"/>
          <w:szCs w:val="15"/>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66"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June 30, 2013, we had six pending United States non-provisional patent applications and one allowed patent application. It is possible that none of our pending patent applications will result in issued patents in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8"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5"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383"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4"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5620" w:right="2960" w:hanging="5091"/>
        <w:spacing w:after="0" w:line="540" w:lineRule="auto"/>
        <w:tabs>
          <w:tab w:leader="none" w:pos="10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restrictions on resale discussed in this prospectus lapse, the trading price of our common stock could decline. Based on shares outstanding as of , 2013, upon completion of this offering, we will have outstanding a total of shares of common stock. Of these shares, only of the shares of common stock sold in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offering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gridSpan w:val="2"/>
          </w:tcPr>
          <w:p>
            <w:pPr>
              <w:spacing w:after="0"/>
              <w:rPr>
                <w:sz w:val="20"/>
                <w:szCs w:val="20"/>
                <w:color w:val="auto"/>
              </w:rPr>
            </w:pPr>
            <w:r>
              <w:rPr>
                <w:rFonts w:ascii="Arial" w:cs="Arial" w:eastAsia="Arial" w:hAnsi="Arial"/>
                <w:sz w:val="17"/>
                <w:szCs w:val="17"/>
                <w:color w:val="auto"/>
              </w:rPr>
              <w:t>prior to the expiration of the lock-up agreements. After the lock-up agreements expire, based on</w:t>
            </w:r>
          </w:p>
        </w:tc>
        <w:tc>
          <w:tcPr>
            <w:tcW w:w="2360" w:type="dxa"/>
            <w:vAlign w:val="bottom"/>
          </w:tcPr>
          <w:p>
            <w:pPr>
              <w:ind w:left="40"/>
              <w:spacing w:after="0"/>
              <w:rPr>
                <w:sz w:val="20"/>
                <w:szCs w:val="20"/>
                <w:color w:val="auto"/>
              </w:rPr>
            </w:pPr>
            <w:r>
              <w:rPr>
                <w:rFonts w:ascii="Arial" w:cs="Arial" w:eastAsia="Arial" w:hAnsi="Arial"/>
                <w:sz w:val="17"/>
                <w:szCs w:val="17"/>
                <w:color w:val="auto"/>
              </w:rPr>
              <w:t>shares outstanding as of</w:t>
            </w:r>
          </w:p>
        </w:tc>
        <w:tc>
          <w:tcPr>
            <w:tcW w:w="1800" w:type="dxa"/>
            <w:vAlign w:val="bottom"/>
          </w:tcPr>
          <w:p>
            <w:pPr>
              <w:jc w:val="right"/>
              <w:spacing w:after="0"/>
              <w:rPr>
                <w:sz w:val="20"/>
                <w:szCs w:val="20"/>
                <w:color w:val="auto"/>
              </w:rPr>
            </w:pPr>
            <w:r>
              <w:rPr>
                <w:rFonts w:ascii="Arial" w:cs="Arial" w:eastAsia="Arial" w:hAnsi="Arial"/>
                <w:sz w:val="17"/>
                <w:szCs w:val="17"/>
                <w:color w:val="auto"/>
              </w:rPr>
              <w:t>, 2013, up to an</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additional</w:t>
            </w:r>
          </w:p>
        </w:tc>
        <w:tc>
          <w:tcPr>
            <w:tcW w:w="6240" w:type="dxa"/>
            <w:vAlign w:val="bottom"/>
          </w:tcPr>
          <w:p>
            <w:pPr>
              <w:jc w:val="right"/>
              <w:ind w:right="375"/>
              <w:spacing w:after="0"/>
              <w:rPr>
                <w:sz w:val="20"/>
                <w:szCs w:val="20"/>
                <w:color w:val="auto"/>
              </w:rPr>
            </w:pPr>
            <w:r>
              <w:rPr>
                <w:rFonts w:ascii="Arial" w:cs="Arial" w:eastAsia="Arial" w:hAnsi="Arial"/>
                <w:sz w:val="17"/>
                <w:szCs w:val="17"/>
                <w:color w:val="auto"/>
                <w:w w:val="99"/>
              </w:rPr>
              <w:t>shares of common stock will be eligible for sale in the public market, of which</w:t>
            </w: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w w:val="94"/>
              </w:rPr>
              <w:t>are held by directors, executive officers and other affiliates</w:t>
            </w:r>
          </w:p>
        </w:tc>
      </w:tr>
      <w:tr>
        <w:trPr>
          <w:trHeight w:val="216"/>
        </w:trPr>
        <w:tc>
          <w:tcPr>
            <w:tcW w:w="7260" w:type="dxa"/>
            <w:vAlign w:val="bottom"/>
            <w:gridSpan w:val="2"/>
          </w:tcPr>
          <w:p>
            <w:pPr>
              <w:spacing w:after="0"/>
              <w:rPr>
                <w:sz w:val="20"/>
                <w:szCs w:val="20"/>
                <w:color w:val="auto"/>
              </w:rPr>
            </w:pPr>
            <w:r>
              <w:rPr>
                <w:rFonts w:ascii="Arial" w:cs="Arial" w:eastAsia="Arial" w:hAnsi="Arial"/>
                <w:sz w:val="17"/>
                <w:szCs w:val="17"/>
                <w:color w:val="auto"/>
              </w:rPr>
              <w:t>and will be subject to volume limitations under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19"/>
        </w:trPr>
        <w:tc>
          <w:tcPr>
            <w:tcW w:w="1020" w:type="dxa"/>
            <w:vAlign w:val="bottom"/>
          </w:tcPr>
          <w:p>
            <w:pPr>
              <w:spacing w:after="0"/>
              <w:rPr>
                <w:sz w:val="24"/>
                <w:szCs w:val="24"/>
                <w:color w:val="auto"/>
              </w:rPr>
            </w:pPr>
          </w:p>
        </w:tc>
        <w:tc>
          <w:tcPr>
            <w:tcW w:w="6240" w:type="dxa"/>
            <w:vAlign w:val="bottom"/>
          </w:tcPr>
          <w:p>
            <w:pPr>
              <w:jc w:val="right"/>
              <w:ind w:right="1375"/>
              <w:spacing w:after="0"/>
              <w:rPr>
                <w:sz w:val="20"/>
                <w:szCs w:val="20"/>
                <w:color w:val="auto"/>
              </w:rPr>
            </w:pPr>
            <w:r>
              <w:rPr>
                <w:rFonts w:ascii="Arial" w:cs="Arial" w:eastAsia="Arial" w:hAnsi="Arial"/>
                <w:sz w:val="17"/>
                <w:szCs w:val="17"/>
                <w:color w:val="auto"/>
              </w:rPr>
              <w:t>29</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2"/>
        </w:trPr>
        <w:tc>
          <w:tcPr>
            <w:tcW w:w="1020" w:type="dxa"/>
            <w:vAlign w:val="bottom"/>
            <w:tcBorders>
              <w:bottom w:val="single" w:sz="8" w:color="808080"/>
            </w:tcBorders>
          </w:tcPr>
          <w:p>
            <w:pPr>
              <w:spacing w:after="0"/>
              <w:rPr>
                <w:sz w:val="19"/>
                <w:szCs w:val="19"/>
                <w:color w:val="auto"/>
              </w:rPr>
            </w:pPr>
          </w:p>
        </w:tc>
        <w:tc>
          <w:tcPr>
            <w:tcW w:w="62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040" w:val="left"/>
          <w:tab w:leader="none" w:pos="11360" w:val="left"/>
        </w:tabs>
        <w:rPr>
          <w:sz w:val="20"/>
          <w:szCs w:val="20"/>
          <w:color w:val="auto"/>
        </w:rPr>
      </w:pPr>
      <w:r>
        <w:rPr>
          <w:rFonts w:ascii="Arial" w:cs="Arial" w:eastAsia="Arial" w:hAnsi="Arial"/>
          <w:sz w:val="17"/>
          <w:szCs w:val="17"/>
          <w:color w:val="auto"/>
        </w:rPr>
        <w:t>Rule 144 under the Securities Act, and various vesting agreements. In addition,</w:t>
      </w:r>
      <w:r>
        <w:rPr>
          <w:sz w:val="20"/>
          <w:szCs w:val="20"/>
          <w:color w:val="auto"/>
        </w:rPr>
        <w:tab/>
      </w:r>
      <w:r>
        <w:rPr>
          <w:rFonts w:ascii="Arial" w:cs="Arial" w:eastAsia="Arial" w:hAnsi="Arial"/>
          <w:sz w:val="17"/>
          <w:szCs w:val="17"/>
          <w:color w:val="auto"/>
        </w:rPr>
        <w:t>shares of common stock that are subject to outstanding options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366"/>
        <w:spacing w:after="0" w:line="265" w:lineRule="auto"/>
        <w:rPr>
          <w:sz w:val="20"/>
          <w:szCs w:val="20"/>
          <w:color w:val="auto"/>
        </w:rPr>
      </w:pPr>
      <w:r>
        <w:rPr>
          <w:rFonts w:ascii="Arial" w:cs="Arial" w:eastAsia="Arial" w:hAnsi="Arial"/>
          <w:sz w:val="17"/>
          <w:szCs w:val="17"/>
          <w:color w:val="auto"/>
        </w:rPr>
        <w:t>As of , 2013, directors and executive officers and their affiliates beneficially owned, in the aggregate, %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completion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new tests and cause the price of our common stock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offering. Therefore, if you purchase our common stock in this offering, you will incur an immediate dilution of $ in net tangible book value per share from the price you paid, based on an assumed initial public offering price of $ per share. In addition, new investors who purchase shares in this offering will contribute approximately % of the total amount of equity capital raised by us through the date of this offering, but will only own approximately % of the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equity capital. The exercise of outstanding options and warrants will result in further dilution. For a detailed description of the dilution that you will experience immediately after this offering, see "Dilution".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59" w:lineRule="exact"/>
        <w:rPr>
          <w:sz w:val="20"/>
          <w:szCs w:val="20"/>
          <w:color w:val="auto"/>
        </w:rPr>
      </w:pPr>
    </w:p>
    <w:p>
      <w:pPr>
        <w:jc w:val="both"/>
        <w:ind w:firstLine="365"/>
        <w:spacing w:after="0" w:line="265"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liquidity and working capital requirements, including our long-term future cash requirements beyond the next 12 months;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Although we have not independently verified the third-party data, we are responsible for its inclusion in the prospectus and believe it to be reasonable.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162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7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280"/>
              <w:spacing w:after="0"/>
              <w:rPr>
                <w:sz w:val="20"/>
                <w:szCs w:val="20"/>
                <w:color w:val="auto"/>
              </w:rPr>
            </w:pPr>
            <w:r>
              <w:rPr>
                <w:rFonts w:ascii="Arial" w:cs="Arial" w:eastAsia="Arial" w:hAnsi="Arial"/>
                <w:sz w:val="17"/>
                <w:szCs w:val="17"/>
                <w:b w:val="1"/>
                <w:bCs w:val="1"/>
                <w:color w:val="auto"/>
              </w:rPr>
              <w:t>USE OF PROCEEDS</w:t>
            </w:r>
          </w:p>
        </w:tc>
        <w:tc>
          <w:tcPr>
            <w:tcW w:w="2700" w:type="dxa"/>
            <w:vAlign w:val="bottom"/>
          </w:tcPr>
          <w:p>
            <w:pPr>
              <w:spacing w:after="0"/>
              <w:rPr>
                <w:sz w:val="24"/>
                <w:szCs w:val="24"/>
                <w:color w:val="auto"/>
              </w:rPr>
            </w:pPr>
          </w:p>
        </w:tc>
      </w:tr>
      <w:tr>
        <w:trPr>
          <w:trHeight w:val="413"/>
        </w:trPr>
        <w:tc>
          <w:tcPr>
            <w:tcW w:w="8720" w:type="dxa"/>
            <w:vAlign w:val="bottom"/>
            <w:gridSpan w:val="3"/>
          </w:tcPr>
          <w:p>
            <w:pPr>
              <w:ind w:left="360"/>
              <w:spacing w:after="0"/>
              <w:rPr>
                <w:sz w:val="20"/>
                <w:szCs w:val="20"/>
                <w:color w:val="auto"/>
              </w:rPr>
            </w:pPr>
            <w:r>
              <w:rPr>
                <w:rFonts w:ascii="Arial" w:cs="Arial" w:eastAsia="Arial" w:hAnsi="Arial"/>
                <w:sz w:val="17"/>
                <w:szCs w:val="17"/>
                <w:color w:val="auto"/>
                <w:w w:val="94"/>
              </w:rPr>
              <w:t>We estimate that the net proceeds from the sale of shares of our common stock in this offering will be approximately $</w:t>
            </w:r>
          </w:p>
        </w:tc>
        <w:tc>
          <w:tcPr>
            <w:tcW w:w="2700" w:type="dxa"/>
            <w:vAlign w:val="bottom"/>
          </w:tcPr>
          <w:p>
            <w:pPr>
              <w:jc w:val="right"/>
              <w:spacing w:after="0"/>
              <w:rPr>
                <w:sz w:val="20"/>
                <w:szCs w:val="20"/>
                <w:color w:val="auto"/>
              </w:rPr>
            </w:pPr>
            <w:r>
              <w:rPr>
                <w:rFonts w:ascii="Arial" w:cs="Arial" w:eastAsia="Arial" w:hAnsi="Arial"/>
                <w:sz w:val="17"/>
                <w:szCs w:val="17"/>
                <w:color w:val="auto"/>
                <w:w w:val="99"/>
              </w:rPr>
              <w:t>, based on an assumed initial public</w:t>
            </w:r>
          </w:p>
        </w:tc>
      </w:tr>
      <w:tr>
        <w:trPr>
          <w:trHeight w:val="216"/>
        </w:trPr>
        <w:tc>
          <w:tcPr>
            <w:tcW w:w="162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00" w:type="dxa"/>
            <w:vAlign w:val="bottom"/>
            <w:gridSpan w:val="2"/>
          </w:tcPr>
          <w:p>
            <w:pPr>
              <w:jc w:val="right"/>
              <w:spacing w:after="0"/>
              <w:rPr>
                <w:sz w:val="20"/>
                <w:szCs w:val="20"/>
                <w:color w:val="auto"/>
              </w:rPr>
            </w:pPr>
            <w:r>
              <w:rPr>
                <w:rFonts w:ascii="Arial" w:cs="Arial" w:eastAsia="Arial" w:hAnsi="Arial"/>
                <w:sz w:val="17"/>
                <w:szCs w:val="17"/>
                <w:color w:val="auto"/>
                <w:w w:val="96"/>
              </w:rPr>
              <w:t>per share, the midpoint of the price range set forth on the cover page of this prospectus, and after deducting the estimated underwriting</w:t>
            </w:r>
          </w:p>
        </w:tc>
      </w:tr>
    </w:tbl>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over-allotment option to purchase additional shares from us is exercised</w:t>
      </w: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full, we estimate that our net proceeds will be approximately $ . A $1.00 increase (decrease) in the assumed initial public offering price of $ per share, the midpoint of the price range set forth on the cover page of this prospectus, would increase (decrease) the estimated net proceeds to us by $ million, assuming</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1.0 million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83"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83" w:lineRule="exact"/>
        <w:rPr>
          <w:sz w:val="20"/>
          <w:szCs w:val="20"/>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$20 million for sales and marketing activities, including expansion of our sales force to support the ongoing commercialization of our products;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$20 million for research and development, including medical and clinical costs, related to the continued support of Afirma as well as the development of our product pipeline;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remaining proceeds for working capital and other general corporate purposes.</w:t>
      </w:r>
    </w:p>
    <w:p>
      <w:pPr>
        <w:spacing w:after="0" w:line="224" w:lineRule="exact"/>
        <w:rPr>
          <w:sz w:val="20"/>
          <w:szCs w:val="20"/>
          <w:color w:val="auto"/>
        </w:rPr>
      </w:pPr>
    </w:p>
    <w:p>
      <w:pPr>
        <w:jc w:val="both"/>
        <w:ind w:firstLine="389"/>
        <w:spacing w:after="0" w:line="315" w:lineRule="auto"/>
        <w:rPr>
          <w:sz w:val="20"/>
          <w:szCs w:val="20"/>
          <w:color w:val="auto"/>
        </w:rPr>
      </w:pPr>
      <w:r>
        <w:rPr>
          <w:rFonts w:ascii="Arial" w:cs="Arial" w:eastAsia="Arial" w:hAnsi="Arial"/>
          <w:sz w:val="16"/>
          <w:szCs w:val="16"/>
          <w:color w:val="auto"/>
        </w:rPr>
        <w:t>In addition, we may use a portion of the net proceeds from this offering for acquisitions of complementary businesses, technologies or other assets. We have no agreements with respect to any material acquisitions at this time, and we have not allocated specific amounts of net proceeds for any of these purposes.</w:t>
      </w:r>
    </w:p>
    <w:p>
      <w:pPr>
        <w:spacing w:after="0" w:line="146"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We cannot specify with certainty all of the uses for the net proceeds to be received by us from this offering. In addition, the amount, allocation and timing of actual expenditures will depend upon numerous factors, including revenue generated from the sale of Afirma. Accordingly, our management will have broad discretion in using the net proceeds from this offering.</w:t>
      </w:r>
    </w:p>
    <w:p>
      <w:pPr>
        <w:spacing w:after="0" w:line="179"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prior to the completion of this offering; and</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6"/>
          </w:tcPr>
          <w:p>
            <w:pPr>
              <w:jc w:val="center"/>
              <w:ind w:right="2120"/>
              <w:spacing w:after="0"/>
              <w:rPr>
                <w:sz w:val="20"/>
                <w:szCs w:val="20"/>
                <w:color w:val="auto"/>
              </w:rPr>
            </w:pPr>
            <w:r>
              <w:rPr>
                <w:rFonts w:ascii="Arial" w:cs="Arial" w:eastAsia="Arial" w:hAnsi="Arial"/>
                <w:sz w:val="13"/>
                <w:szCs w:val="13"/>
                <w:b w:val="1"/>
                <w:bCs w:val="1"/>
                <w:color w:val="auto"/>
                <w:w w:val="91"/>
              </w:rPr>
              <w:t>As of June 30, 2013</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Pro Forma as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 Forma</w:t>
            </w:r>
          </w:p>
        </w:tc>
        <w:tc>
          <w:tcPr>
            <w:tcW w:w="22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20,683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20"/>
              <w:spacing w:after="0"/>
              <w:rPr>
                <w:sz w:val="20"/>
                <w:szCs w:val="20"/>
                <w:color w:val="auto"/>
              </w:rPr>
            </w:pPr>
            <w:r>
              <w:rPr>
                <w:rFonts w:ascii="Arial" w:cs="Arial" w:eastAsia="Arial" w:hAnsi="Arial"/>
                <w:sz w:val="17"/>
                <w:szCs w:val="17"/>
                <w:color w:val="auto"/>
                <w:w w:val="95"/>
              </w:rPr>
              <w:t>Convertible preferred stock, par value $0.001 per share: 60,187,700 shares authorized,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rPr>
              <w:t>59,989,268 issued and outstanding, actual; no shares authorized, issued or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w w:val="91"/>
              </w:rPr>
              <w:t>outstanding, pro forma and 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w w:val="94"/>
              </w:rPr>
              <w:t>Common stock, par value $0.001 per share: 77,000,000 shares authorized, 3,714,902</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actual;</w:t>
            </w:r>
          </w:p>
        </w:tc>
        <w:tc>
          <w:tcPr>
            <w:tcW w:w="2680" w:type="dxa"/>
            <w:vAlign w:val="bottom"/>
            <w:gridSpan w:val="3"/>
          </w:tcPr>
          <w:p>
            <w:pPr>
              <w:jc w:val="right"/>
              <w:ind w:right="405"/>
              <w:spacing w:after="0"/>
              <w:rPr>
                <w:sz w:val="20"/>
                <w:szCs w:val="20"/>
                <w:color w:val="auto"/>
              </w:rPr>
            </w:pPr>
            <w:r>
              <w:rPr>
                <w:rFonts w:ascii="Arial" w:cs="Arial" w:eastAsia="Arial" w:hAnsi="Arial"/>
                <w:sz w:val="17"/>
                <w:szCs w:val="17"/>
                <w:color w:val="auto"/>
                <w:w w:val="94"/>
              </w:rPr>
              <w:t>shares authorized, 63,704,170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pro forma;</w:t>
            </w:r>
          </w:p>
        </w:tc>
        <w:tc>
          <w:tcPr>
            <w:tcW w:w="2680" w:type="dxa"/>
            <w:vAlign w:val="bottom"/>
            <w:gridSpan w:val="3"/>
          </w:tcPr>
          <w:p>
            <w:pPr>
              <w:jc w:val="right"/>
              <w:ind w:right="465"/>
              <w:spacing w:after="0"/>
              <w:rPr>
                <w:sz w:val="20"/>
                <w:szCs w:val="20"/>
                <w:color w:val="auto"/>
              </w:rPr>
            </w:pPr>
            <w:r>
              <w:rPr>
                <w:rFonts w:ascii="Arial" w:cs="Arial" w:eastAsia="Arial" w:hAnsi="Arial"/>
                <w:sz w:val="17"/>
                <w:szCs w:val="17"/>
                <w:color w:val="auto"/>
                <w:w w:val="90"/>
              </w:rPr>
              <w:t>shares issued and outstanding,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(70,788)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00" w:type="dxa"/>
            <w:vAlign w:val="bottom"/>
            <w:gridSpan w:val="3"/>
          </w:tcPr>
          <w:p>
            <w:pPr>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5520" w:type="dxa"/>
            <w:vAlign w:val="bottom"/>
            <w:gridSpan w:val="11"/>
          </w:tcPr>
          <w:p>
            <w:pPr>
              <w:ind w:left="300"/>
              <w:spacing w:after="0"/>
              <w:rPr>
                <w:sz w:val="20"/>
                <w:szCs w:val="20"/>
                <w:color w:val="auto"/>
              </w:rPr>
            </w:pPr>
            <w:r>
              <w:rPr>
                <w:rFonts w:ascii="Arial" w:cs="Arial" w:eastAsia="Arial" w:hAnsi="Arial"/>
                <w:sz w:val="17"/>
                <w:szCs w:val="17"/>
                <w:color w:val="auto"/>
                <w:w w:val="91"/>
              </w:rPr>
              <w:t>per share, the midpoint of the price range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prospectus, would increase (decrease) each of cash and cash equivalents, additional paid-in capital, total capitalization and total stockholders' (deficit) equity by</w:t>
      </w:r>
    </w:p>
    <w:p>
      <w:pPr>
        <w:spacing w:after="0" w:line="26" w:lineRule="exact"/>
        <w:rPr>
          <w:sz w:val="20"/>
          <w:szCs w:val="20"/>
          <w:color w:val="auto"/>
        </w:rPr>
      </w:pPr>
    </w:p>
    <w:p>
      <w:pPr>
        <w:jc w:val="both"/>
        <w:ind w:firstLine="5"/>
        <w:spacing w:after="0" w:line="291" w:lineRule="auto"/>
        <w:tabs>
          <w:tab w:leader="none" w:pos="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cash and cash equivalents, additional paid-in capital, total capitalization and total stockholders' (deficit) equity by</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 million, assuming an initial public offering price of $ per share, the midpoint of the price range set forth on the cover page of this prospectus, and after deducting the estimated underwriting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the underwriters' over-allotment option were exercised in full, pro forma as adjusted cash and cash equivalents, common stock, additional paid-in capital, total</w:t>
      </w:r>
    </w:p>
    <w:p>
      <w:pPr>
        <w:spacing w:after="0" w:line="43" w:lineRule="exact"/>
        <w:rPr>
          <w:sz w:val="20"/>
          <w:szCs w:val="20"/>
          <w:color w:val="auto"/>
        </w:rPr>
      </w:pPr>
    </w:p>
    <w:p>
      <w:pPr>
        <w:spacing w:after="0"/>
        <w:tabs>
          <w:tab w:leader="none" w:pos="6380" w:val="left"/>
          <w:tab w:leader="none" w:pos="7060" w:val="left"/>
          <w:tab w:leader="none" w:pos="7740" w:val="left"/>
          <w:tab w:leader="none" w:pos="8420" w:val="left"/>
          <w:tab w:leader="none" w:pos="9180" w:val="left"/>
        </w:tabs>
        <w:rPr>
          <w:sz w:val="20"/>
          <w:szCs w:val="20"/>
          <w:color w:val="auto"/>
        </w:rPr>
      </w:pPr>
      <w:r>
        <w:rPr>
          <w:rFonts w:ascii="Arial" w:cs="Arial" w:eastAsia="Arial" w:hAnsi="Arial"/>
          <w:sz w:val="17"/>
          <w:szCs w:val="17"/>
          <w:color w:val="auto"/>
        </w:rPr>
        <w:t>stockholders' deficit and shares issued and outstanding as of June 30, 2013 would be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respectively.</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 and</w:t>
      </w:r>
    </w:p>
    <w:p>
      <w:pPr>
        <w:spacing w:after="0" w:line="15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left="5620" w:right="2580" w:hanging="5091"/>
        <w:spacing w:after="0" w:line="540" w:lineRule="auto"/>
        <w:tabs>
          <w:tab w:leader="none" w:pos="10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232,546 shares of common stock issued upon the exercise of options between June 30, 2013 and August 31, 2013.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outstanding. Our historical net tangible book value (deficit) as of June 30, 2013, was $ , or $ per share of common stock. Our pro forma net tangible book value (deficit) as of June 30, 2013, was $ , or $ per share of common stock, based on the total number of shares of our common stock outstanding as of June 30, 2013, after giving effect to the conversion of all outstanding shares of our convertible preferred stock into common stock.</w:t>
      </w:r>
    </w:p>
    <w:p>
      <w:pPr>
        <w:spacing w:after="0" w:line="183"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price range set forth on the cover page of this prospectus, and after deducting the estimated underwriting discounts and commissions and estimated offering expenses</w:t>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payable by us, our pro forma as adjusted net tangible book value as of June 30, 2013 would have been $ , or $ per share. This represents an immediate increase in pro forma net tangible book value of $ per share to existing stockholders and an immediate dilution in net tangible book value of</w:t>
      </w:r>
    </w:p>
    <w:p>
      <w:pPr>
        <w:ind w:left="780" w:hanging="775"/>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 share to purchasers of common stock in this offering, as illustrated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Arial" w:cs="Arial" w:eastAsia="Arial" w:hAnsi="Arial"/>
                <w:sz w:val="17"/>
                <w:szCs w:val="17"/>
                <w:color w:val="auto"/>
              </w:rPr>
              <w:t>Pro forma net tangible book value (deficit) per share as of June 30, 2013</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60" w:type="dxa"/>
            <w:vAlign w:val="bottom"/>
            <w:gridSpan w:val="3"/>
            <w:vMerge w:val="restart"/>
          </w:tcPr>
          <w:p>
            <w:pPr>
              <w:ind w:left="1720"/>
              <w:spacing w:after="0"/>
              <w:rPr>
                <w:sz w:val="20"/>
                <w:szCs w:val="20"/>
                <w:color w:val="auto"/>
              </w:rPr>
            </w:pPr>
            <w:r>
              <w:rPr>
                <w:rFonts w:ascii="Arial" w:cs="Arial" w:eastAsia="Arial" w:hAnsi="Arial"/>
                <w:sz w:val="17"/>
                <w:szCs w:val="17"/>
                <w:color w:val="auto"/>
                <w:w w:val="99"/>
              </w:rPr>
              <w:t>Pro forma as adjusted net tangible book value (deficit) per share after this offering</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w w:val="94"/>
              </w:rPr>
              <w:t>Dilution per share to investors participating in this offering</w:t>
            </w:r>
          </w:p>
        </w:tc>
        <w:tc>
          <w:tcPr>
            <w:tcW w:w="20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2"/>
          </w:tcPr>
          <w:p>
            <w:pPr>
              <w:spacing w:after="0"/>
              <w:rPr>
                <w:sz w:val="2"/>
                <w:szCs w:val="2"/>
                <w:color w:val="auto"/>
              </w:rPr>
            </w:pPr>
          </w:p>
        </w:tc>
        <w:tc>
          <w:tcPr>
            <w:tcW w:w="31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40" w:type="dxa"/>
            <w:vAlign w:val="bottom"/>
            <w:gridSpan w:val="2"/>
          </w:tcPr>
          <w:p>
            <w:pPr>
              <w:ind w:left="400"/>
              <w:spacing w:after="0"/>
              <w:rPr>
                <w:sz w:val="20"/>
                <w:szCs w:val="20"/>
                <w:color w:val="auto"/>
              </w:rPr>
            </w:pPr>
            <w:r>
              <w:rPr>
                <w:rFonts w:ascii="Arial" w:cs="Arial" w:eastAsia="Arial" w:hAnsi="Arial"/>
                <w:sz w:val="17"/>
                <w:szCs w:val="17"/>
                <w:color w:val="auto"/>
                <w:w w:val="99"/>
              </w:rPr>
              <w:t>Each $1.00 increase (decrease) in the assumed public offering price of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7"/>
              </w:rPr>
              <w:t>per share, the midpoint of the price range set forth on the cover page of this</w:t>
            </w:r>
          </w:p>
        </w:tc>
        <w:tc>
          <w:tcPr>
            <w:tcW w:w="0" w:type="dxa"/>
            <w:vAlign w:val="bottom"/>
          </w:tcPr>
          <w:p>
            <w:pPr>
              <w:spacing w:after="0"/>
              <w:rPr>
                <w:sz w:val="1"/>
                <w:szCs w:val="1"/>
                <w:color w:val="auto"/>
              </w:rPr>
            </w:pPr>
          </w:p>
        </w:tc>
      </w:tr>
      <w:tr>
        <w:trPr>
          <w:trHeight w:val="210"/>
        </w:trPr>
        <w:tc>
          <w:tcPr>
            <w:tcW w:w="7860" w:type="dxa"/>
            <w:vAlign w:val="bottom"/>
            <w:gridSpan w:val="3"/>
          </w:tcPr>
          <w:p>
            <w:pPr>
              <w:spacing w:after="0"/>
              <w:rPr>
                <w:sz w:val="20"/>
                <w:szCs w:val="20"/>
                <w:color w:val="auto"/>
              </w:rPr>
            </w:pPr>
            <w:r>
              <w:rPr>
                <w:rFonts w:ascii="Arial" w:cs="Arial" w:eastAsia="Arial" w:hAnsi="Arial"/>
                <w:sz w:val="17"/>
                <w:szCs w:val="17"/>
                <w:color w:val="auto"/>
                <w:w w:val="95"/>
              </w:rPr>
              <w:t>prospectus, would increase (decrease) our pro forma as adjusted net tangible book value by approximately $</w:t>
            </w:r>
          </w:p>
        </w:tc>
        <w:tc>
          <w:tcPr>
            <w:tcW w:w="2540" w:type="dxa"/>
            <w:vAlign w:val="bottom"/>
            <w:gridSpan w:val="6"/>
          </w:tcPr>
          <w:p>
            <w:pPr>
              <w:ind w:left="300"/>
              <w:spacing w:after="0"/>
              <w:rPr>
                <w:sz w:val="20"/>
                <w:szCs w:val="20"/>
                <w:color w:val="auto"/>
              </w:rPr>
            </w:pPr>
            <w:r>
              <w:rPr>
                <w:rFonts w:ascii="Arial" w:cs="Arial" w:eastAsia="Arial" w:hAnsi="Arial"/>
                <w:sz w:val="17"/>
                <w:szCs w:val="17"/>
                <w:color w:val="auto"/>
              </w:rPr>
              <w:t>million, or approximately $</w:t>
            </w:r>
          </w:p>
        </w:tc>
        <w:tc>
          <w:tcPr>
            <w:tcW w:w="1020" w:type="dxa"/>
            <w:vAlign w:val="bottom"/>
          </w:tcPr>
          <w:p>
            <w:pPr>
              <w:jc w:val="right"/>
              <w:spacing w:after="0"/>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7"/>
                <w:szCs w:val="17"/>
                <w:color w:val="auto"/>
              </w:rPr>
              <w:t>and the dilution per share to investors in this offering by approximately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2"/>
              </w:rPr>
              <w:t>per share, assuming that the number of shares offered by us, as set forth on the</w:t>
            </w:r>
          </w:p>
        </w:tc>
        <w:tc>
          <w:tcPr>
            <w:tcW w:w="0" w:type="dxa"/>
            <w:vAlign w:val="bottom"/>
          </w:tcPr>
          <w:p>
            <w:pPr>
              <w:spacing w:after="0"/>
              <w:rPr>
                <w:sz w:val="1"/>
                <w:szCs w:val="1"/>
                <w:color w:val="auto"/>
              </w:rPr>
            </w:pPr>
          </w:p>
        </w:tc>
      </w:tr>
    </w:tbl>
    <w:p>
      <w:pPr>
        <w:jc w:val="both"/>
        <w:spacing w:after="0" w:line="432"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(decrease) our pro forma as adjusted net tangible book value by approximately $ million, or approximately $ per share, and the pro forma dilution per share to investors in this offering by approximately $ per share, assuming an initial public offering price of $ per share, the midpoint of the price</w:t>
      </w:r>
    </w:p>
    <w:p>
      <w:pPr>
        <w:jc w:val="both"/>
        <w:spacing w:after="0" w:line="266" w:lineRule="auto"/>
        <w:rPr>
          <w:sz w:val="20"/>
          <w:szCs w:val="20"/>
          <w:color w:val="auto"/>
        </w:rPr>
      </w:pPr>
      <w:r>
        <w:rPr>
          <w:rFonts w:ascii="Arial" w:cs="Arial" w:eastAsia="Arial" w:hAnsi="Arial"/>
          <w:sz w:val="17"/>
          <w:szCs w:val="17"/>
          <w:color w:val="auto"/>
        </w:rPr>
        <w:t>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to purchase additional shares is exercised in full, the pro forma as adjusted net tangible book value per share after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Arial" w:cs="Arial" w:eastAsia="Arial" w:hAnsi="Arial"/>
                <w:sz w:val="17"/>
                <w:szCs w:val="17"/>
                <w:color w:val="auto"/>
              </w:rPr>
              <w:t>offering would be $</w:t>
            </w:r>
          </w:p>
        </w:tc>
        <w:tc>
          <w:tcPr>
            <w:tcW w:w="8720" w:type="dxa"/>
            <w:vAlign w:val="bottom"/>
            <w:gridSpan w:val="2"/>
          </w:tcPr>
          <w:p>
            <w:pPr>
              <w:jc w:val="right"/>
              <w:ind w:right="275"/>
              <w:spacing w:after="0"/>
              <w:rPr>
                <w:sz w:val="20"/>
                <w:szCs w:val="20"/>
                <w:color w:val="auto"/>
              </w:rPr>
            </w:pPr>
            <w:r>
              <w:rPr>
                <w:rFonts w:ascii="Arial" w:cs="Arial" w:eastAsia="Arial" w:hAnsi="Arial"/>
                <w:sz w:val="17"/>
                <w:szCs w:val="17"/>
                <w:color w:val="auto"/>
                <w:w w:val="94"/>
              </w:rPr>
              <w:t>per share, the increase in pro forma as adjusted net tangible book value per share to existing stockholders would be $</w:t>
            </w:r>
          </w:p>
        </w:tc>
        <w:tc>
          <w:tcPr>
            <w:tcW w:w="980" w:type="dxa"/>
            <w:vAlign w:val="bottom"/>
          </w:tcPr>
          <w:p>
            <w:pPr>
              <w:ind w:left="360"/>
              <w:spacing w:after="0"/>
              <w:rPr>
                <w:sz w:val="20"/>
                <w:szCs w:val="20"/>
                <w:color w:val="auto"/>
              </w:rPr>
            </w:pPr>
            <w:r>
              <w:rPr>
                <w:rFonts w:ascii="Arial" w:cs="Arial" w:eastAsia="Arial" w:hAnsi="Arial"/>
                <w:sz w:val="17"/>
                <w:szCs w:val="17"/>
                <w:color w:val="auto"/>
                <w:w w:val="83"/>
              </w:rPr>
              <w:t>per share</w:t>
            </w: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w w:val="93"/>
              </w:rPr>
              <w:t>and the dilution to new investors purchasing shares in this offering would be $</w:t>
            </w:r>
          </w:p>
        </w:tc>
        <w:tc>
          <w:tcPr>
            <w:tcW w:w="4960" w:type="dxa"/>
            <w:vAlign w:val="bottom"/>
          </w:tcPr>
          <w:p>
            <w:pPr>
              <w:jc w:val="right"/>
              <w:ind w:right="3675"/>
              <w:spacing w:after="0"/>
              <w:rPr>
                <w:sz w:val="20"/>
                <w:szCs w:val="20"/>
                <w:color w:val="auto"/>
              </w:rPr>
            </w:pPr>
            <w:r>
              <w:rPr>
                <w:rFonts w:ascii="Arial" w:cs="Arial" w:eastAsia="Arial" w:hAnsi="Arial"/>
                <w:sz w:val="17"/>
                <w:szCs w:val="17"/>
                <w:color w:val="auto"/>
              </w:rPr>
              <w:t>per share.</w:t>
            </w:r>
          </w:p>
        </w:tc>
        <w:tc>
          <w:tcPr>
            <w:tcW w:w="98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tcPr>
          <w:p>
            <w:pPr>
              <w:jc w:val="right"/>
              <w:ind w:right="4555"/>
              <w:spacing w:after="0"/>
              <w:rPr>
                <w:sz w:val="20"/>
                <w:szCs w:val="20"/>
                <w:color w:val="auto"/>
              </w:rPr>
            </w:pPr>
            <w:r>
              <w:rPr>
                <w:rFonts w:ascii="Arial" w:cs="Arial" w:eastAsia="Arial" w:hAnsi="Arial"/>
                <w:sz w:val="17"/>
                <w:szCs w:val="17"/>
                <w:color w:val="auto"/>
              </w:rPr>
              <w:t>36</w:t>
            </w:r>
          </w:p>
        </w:tc>
        <w:tc>
          <w:tcPr>
            <w:tcW w:w="98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69"/>
        <w:spacing w:after="0" w:line="296" w:lineRule="auto"/>
        <w:rPr>
          <w:sz w:val="20"/>
          <w:szCs w:val="20"/>
          <w:color w:val="auto"/>
        </w:rPr>
      </w:pPr>
      <w:r>
        <w:rPr>
          <w:rFonts w:ascii="Arial" w:cs="Arial" w:eastAsia="Arial" w:hAnsi="Arial"/>
          <w:sz w:val="15"/>
          <w:szCs w:val="15"/>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w:t>
      </w:r>
    </w:p>
    <w:p>
      <w:pPr>
        <w:spacing w:after="0" w:line="275" w:lineRule="auto"/>
        <w:rPr>
          <w:sz w:val="20"/>
          <w:szCs w:val="20"/>
          <w:color w:val="auto"/>
        </w:rPr>
      </w:pPr>
      <w:r>
        <w:rPr>
          <w:rFonts w:ascii="Arial" w:cs="Arial" w:eastAsia="Arial" w:hAnsi="Arial"/>
          <w:sz w:val="17"/>
          <w:szCs w:val="17"/>
          <w:color w:val="auto"/>
        </w:rPr>
        <w:t>to the purchasers of shares in this offering an initial public offering price of $ per share, the midpoint of the price range on the cover of this prospectus before deducting estimated underwriting discounts and commissions and estimated expenses payable by 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0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Total Shares</w:t>
            </w:r>
          </w:p>
        </w:tc>
        <w:tc>
          <w:tcPr>
            <w:tcW w:w="1580" w:type="dxa"/>
            <w:vAlign w:val="bottom"/>
            <w:gridSpan w:val="3"/>
            <w:vMerge w:val="restart"/>
          </w:tcPr>
          <w:p>
            <w:pPr>
              <w:jc w:val="right"/>
              <w:ind w:right="254"/>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89"/>
              </w:rPr>
              <w:t>Number</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w w:val="81"/>
              </w:rPr>
              <w:t>% $</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 $</w:t>
            </w:r>
          </w:p>
        </w:tc>
        <w:tc>
          <w:tcPr>
            <w:tcW w:w="8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00" w:type="dxa"/>
            <w:vAlign w:val="bottom"/>
            <w:gridSpan w:val="3"/>
          </w:tcPr>
          <w:p>
            <w:pPr>
              <w:ind w:left="3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5020" w:type="dxa"/>
            <w:vAlign w:val="bottom"/>
            <w:gridSpan w:val="12"/>
          </w:tcPr>
          <w:p>
            <w:pPr>
              <w:jc w:val="right"/>
              <w:spacing w:after="0"/>
              <w:rPr>
                <w:sz w:val="20"/>
                <w:szCs w:val="20"/>
                <w:color w:val="auto"/>
              </w:rPr>
            </w:pPr>
            <w:r>
              <w:rPr>
                <w:rFonts w:ascii="Arial" w:cs="Arial" w:eastAsia="Arial" w:hAnsi="Arial"/>
                <w:sz w:val="17"/>
                <w:szCs w:val="17"/>
                <w:color w:val="auto"/>
                <w:w w:val="93"/>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7"/>
                <w:szCs w:val="17"/>
                <w:color w:val="auto"/>
              </w:rPr>
              <w:t>this prospectus, would increase (decrease) the total consideration paid to us by new</w:t>
            </w: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8"/>
              </w:rPr>
              <w:t>investors and total consideration paid</w:t>
            </w:r>
          </w:p>
        </w:tc>
        <w:tc>
          <w:tcPr>
            <w:tcW w:w="2180" w:type="dxa"/>
            <w:vAlign w:val="bottom"/>
            <w:gridSpan w:val="4"/>
          </w:tcPr>
          <w:p>
            <w:pPr>
              <w:jc w:val="right"/>
              <w:spacing w:after="0"/>
              <w:rPr>
                <w:sz w:val="20"/>
                <w:szCs w:val="20"/>
                <w:color w:val="auto"/>
              </w:rPr>
            </w:pPr>
            <w:r>
              <w:rPr>
                <w:rFonts w:ascii="Arial" w:cs="Arial" w:eastAsia="Arial" w:hAnsi="Arial"/>
                <w:sz w:val="17"/>
                <w:szCs w:val="17"/>
                <w:color w:val="auto"/>
              </w:rPr>
              <w:t>to us by all stockholders by</w:t>
            </w:r>
          </w:p>
        </w:tc>
        <w:tc>
          <w:tcPr>
            <w:tcW w:w="0" w:type="dxa"/>
            <w:vAlign w:val="bottom"/>
          </w:tcPr>
          <w:p>
            <w:pPr>
              <w:spacing w:after="0"/>
              <w:rPr>
                <w:sz w:val="1"/>
                <w:szCs w:val="1"/>
                <w:color w:val="auto"/>
              </w:rPr>
            </w:pPr>
          </w:p>
        </w:tc>
      </w:tr>
    </w:tbl>
    <w:p>
      <w:pPr>
        <w:jc w:val="both"/>
        <w:ind w:firstLine="5"/>
        <w:spacing w:after="0" w:line="291" w:lineRule="auto"/>
        <w:tabs>
          <w:tab w:leader="none" w:pos="981" w:val="left"/>
        </w:tabs>
        <w:numPr>
          <w:ilvl w:val="0"/>
          <w:numId w:val="29"/>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An increase (decrease) of 1.0 million shares in the number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520" w:type="dxa"/>
            <w:vAlign w:val="bottom"/>
            <w:gridSpan w:val="4"/>
          </w:tcPr>
          <w:p>
            <w:pPr>
              <w:spacing w:after="0"/>
              <w:rPr>
                <w:sz w:val="20"/>
                <w:szCs w:val="20"/>
                <w:color w:val="auto"/>
              </w:rPr>
            </w:pPr>
            <w:r>
              <w:rPr>
                <w:rFonts w:ascii="Arial" w:cs="Arial" w:eastAsia="Arial" w:hAnsi="Arial"/>
                <w:sz w:val="17"/>
                <w:szCs w:val="17"/>
                <w:color w:val="auto"/>
                <w:w w:val="93"/>
              </w:rPr>
              <w:t>offered by us would increase (decrease) the total consideration paid to us by new investors and total consideration paid to us by all stockholders by $</w:t>
            </w:r>
          </w:p>
        </w:tc>
        <w:tc>
          <w:tcPr>
            <w:tcW w:w="900" w:type="dxa"/>
            <w:vAlign w:val="bottom"/>
          </w:tcPr>
          <w:p>
            <w:pPr>
              <w:jc w:val="right"/>
              <w:spacing w:after="0"/>
              <w:rPr>
                <w:sz w:val="20"/>
                <w:szCs w:val="20"/>
                <w:color w:val="auto"/>
              </w:rPr>
            </w:pPr>
            <w:r>
              <w:rPr>
                <w:rFonts w:ascii="Arial" w:cs="Arial" w:eastAsia="Arial" w:hAnsi="Arial"/>
                <w:sz w:val="17"/>
                <w:szCs w:val="17"/>
                <w:color w:val="auto"/>
              </w:rPr>
              <w:t>million,</w:t>
            </w: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assuming an initial public offering price of $</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4"/>
              </w:rPr>
              <w:t>per share, the midpoint of the price range set forth on the cover page of this prospectus, and after deducting the</w:t>
            </w:r>
          </w:p>
        </w:tc>
      </w:tr>
      <w:tr>
        <w:trPr>
          <w:trHeight w:val="216"/>
        </w:trPr>
        <w:tc>
          <w:tcPr>
            <w:tcW w:w="9260" w:type="dxa"/>
            <w:vAlign w:val="bottom"/>
            <w:gridSpan w:val="3"/>
          </w:tcPr>
          <w:p>
            <w:pPr>
              <w:spacing w:after="0"/>
              <w:rPr>
                <w:sz w:val="20"/>
                <w:szCs w:val="20"/>
                <w:color w:val="auto"/>
              </w:rPr>
            </w:pPr>
            <w:r>
              <w:rPr>
                <w:rFonts w:ascii="Arial" w:cs="Arial" w:eastAsia="Arial" w:hAnsi="Arial"/>
                <w:sz w:val="17"/>
                <w:szCs w:val="17"/>
                <w:color w:val="auto"/>
              </w:rPr>
              <w:t>estimated underwriting discounts and commissions and estimated offering expenses payable by us.</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8920" w:type="dxa"/>
            <w:vAlign w:val="bottom"/>
            <w:gridSpan w:val="2"/>
          </w:tcPr>
          <w:p>
            <w:pPr>
              <w:ind w:left="60"/>
              <w:spacing w:after="0"/>
              <w:rPr>
                <w:sz w:val="20"/>
                <w:szCs w:val="20"/>
                <w:color w:val="auto"/>
              </w:rPr>
            </w:pPr>
            <w:r>
              <w:rPr>
                <w:rFonts w:ascii="Arial" w:cs="Arial" w:eastAsia="Arial" w:hAnsi="Arial"/>
                <w:sz w:val="17"/>
                <w:szCs w:val="17"/>
                <w:color w:val="auto"/>
                <w:w w:val="96"/>
              </w:rPr>
              <w:t>If the underwriters' over-allotment option to purchase additional shares is exercised in full, existing stockholders would own</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 and new investors would</w:t>
            </w:r>
          </w:p>
        </w:tc>
      </w:tr>
      <w:tr>
        <w:trPr>
          <w:trHeight w:val="216"/>
        </w:trPr>
        <w:tc>
          <w:tcPr>
            <w:tcW w:w="340" w:type="dxa"/>
            <w:vAlign w:val="bottom"/>
          </w:tcPr>
          <w:p>
            <w:pPr>
              <w:spacing w:after="0"/>
              <w:rPr>
                <w:sz w:val="20"/>
                <w:szCs w:val="20"/>
                <w:color w:val="auto"/>
              </w:rPr>
            </w:pPr>
            <w:r>
              <w:rPr>
                <w:rFonts w:ascii="Arial" w:cs="Arial" w:eastAsia="Arial" w:hAnsi="Arial"/>
                <w:sz w:val="17"/>
                <w:szCs w:val="17"/>
                <w:color w:val="auto"/>
              </w:rPr>
              <w:t>own</w:t>
            </w:r>
          </w:p>
        </w:tc>
        <w:tc>
          <w:tcPr>
            <w:tcW w:w="8920" w:type="dxa"/>
            <w:vAlign w:val="bottom"/>
            <w:gridSpan w:val="2"/>
          </w:tcPr>
          <w:p>
            <w:pPr>
              <w:ind w:left="420"/>
              <w:spacing w:after="0"/>
              <w:rPr>
                <w:sz w:val="20"/>
                <w:szCs w:val="20"/>
                <w:color w:val="auto"/>
              </w:rPr>
            </w:pPr>
            <w:r>
              <w:rPr>
                <w:rFonts w:ascii="Arial" w:cs="Arial" w:eastAsia="Arial" w:hAnsi="Arial"/>
                <w:sz w:val="17"/>
                <w:szCs w:val="17"/>
                <w:color w:val="auto"/>
              </w:rPr>
              <w:t>% of the total number of shares of our common stock outstanding immediately after this offering.</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Arial" w:cs="Arial" w:eastAsia="Arial" w:hAnsi="Arial"/>
                <w:sz w:val="17"/>
                <w:szCs w:val="17"/>
                <w:color w:val="auto"/>
              </w:rPr>
              <w:t>The calculations above are based on</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2"/>
              </w:rPr>
              <w:t>shares outstanding as of June 30, 2013 after giving effect to the conversion of all outstanding shares of convertible</w:t>
            </w:r>
          </w:p>
        </w:tc>
      </w:tr>
      <w:tr>
        <w:trPr>
          <w:trHeight w:val="216"/>
        </w:trPr>
        <w:tc>
          <w:tcPr>
            <w:tcW w:w="3440" w:type="dxa"/>
            <w:vAlign w:val="bottom"/>
            <w:gridSpan w:val="2"/>
          </w:tcPr>
          <w:p>
            <w:pPr>
              <w:spacing w:after="0"/>
              <w:rPr>
                <w:sz w:val="20"/>
                <w:szCs w:val="20"/>
                <w:color w:val="auto"/>
              </w:rPr>
            </w:pPr>
            <w:r>
              <w:rPr>
                <w:rFonts w:ascii="Arial" w:cs="Arial" w:eastAsia="Arial" w:hAnsi="Arial"/>
                <w:sz w:val="17"/>
                <w:szCs w:val="17"/>
                <w:color w:val="auto"/>
                <w:w w:val="94"/>
              </w:rPr>
              <w:t>preferred stock into common stock and exclude:</w:t>
            </w:r>
          </w:p>
        </w:tc>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17" w:lineRule="exact"/>
        <w:rPr>
          <w:sz w:val="20"/>
          <w:szCs w:val="20"/>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 and</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46"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0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1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2,320,252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2,601,352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87"/>
              </w:rPr>
              <w:t>2,553,287</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87"/>
              </w:rPr>
              <w:t>3,250,863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3"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6"/>
          <w:szCs w:val="16"/>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8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12"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In determining the estimated fair value of our common stock, our board of directors, with the assistance of management, used the market approach to estimate the enterprise value of our company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 market approach, comprised of the Guideline Publicly Traded Company and the M&amp;A Transaction methodologies, estimates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76"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and June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90"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Estimated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2"/>
              </w:rPr>
              <w:t>per Share of</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Grant Date</w:t>
            </w: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22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1,814,628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1,709,007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5560" w:type="dxa"/>
            <w:vAlign w:val="bottom"/>
            <w:gridSpan w:val="4"/>
          </w:tcPr>
          <w:p>
            <w:pPr>
              <w:ind w:left="360"/>
              <w:spacing w:after="0"/>
              <w:rPr>
                <w:sz w:val="20"/>
                <w:szCs w:val="20"/>
                <w:color w:val="auto"/>
              </w:rPr>
            </w:pPr>
            <w:r>
              <w:rPr>
                <w:rFonts w:ascii="Arial" w:cs="Arial" w:eastAsia="Arial" w:hAnsi="Arial"/>
                <w:sz w:val="17"/>
                <w:szCs w:val="17"/>
                <w:color w:val="auto"/>
                <w:w w:val="97"/>
              </w:rPr>
              <w:t>The intrinsic value of all outstanding options as of June 30, 2013 was $</w:t>
            </w:r>
          </w:p>
        </w:tc>
        <w:tc>
          <w:tcPr>
            <w:tcW w:w="5860" w:type="dxa"/>
            <w:vAlign w:val="bottom"/>
            <w:gridSpan w:val="10"/>
          </w:tcPr>
          <w:p>
            <w:pPr>
              <w:ind w:left="280"/>
              <w:spacing w:after="0"/>
              <w:rPr>
                <w:sz w:val="20"/>
                <w:szCs w:val="20"/>
                <w:color w:val="auto"/>
              </w:rPr>
            </w:pPr>
            <w:r>
              <w:rPr>
                <w:rFonts w:ascii="Arial" w:cs="Arial" w:eastAsia="Arial" w:hAnsi="Arial"/>
                <w:sz w:val="17"/>
                <w:szCs w:val="17"/>
                <w:color w:val="auto"/>
                <w:w w:val="91"/>
              </w:rPr>
              <w:t>million based on the mid-point of the estimated price range set forth on the cover</w:t>
            </w:r>
          </w:p>
        </w:tc>
      </w:tr>
      <w:tr>
        <w:trPr>
          <w:trHeight w:val="216"/>
        </w:trPr>
        <w:tc>
          <w:tcPr>
            <w:tcW w:w="3320" w:type="dxa"/>
            <w:vAlign w:val="bottom"/>
            <w:gridSpan w:val="3"/>
          </w:tcPr>
          <w:p>
            <w:pPr>
              <w:spacing w:after="0"/>
              <w:rPr>
                <w:sz w:val="20"/>
                <w:szCs w:val="20"/>
                <w:color w:val="auto"/>
              </w:rPr>
            </w:pPr>
            <w:r>
              <w:rPr>
                <w:rFonts w:ascii="Arial" w:cs="Arial" w:eastAsia="Arial" w:hAnsi="Arial"/>
                <w:sz w:val="17"/>
                <w:szCs w:val="17"/>
                <w:color w:val="auto"/>
              </w:rPr>
              <w:t>of this prospectus, of which approximately $</w:t>
            </w:r>
          </w:p>
        </w:tc>
        <w:tc>
          <w:tcPr>
            <w:tcW w:w="4200" w:type="dxa"/>
            <w:vAlign w:val="bottom"/>
            <w:gridSpan w:val="3"/>
          </w:tcPr>
          <w:p>
            <w:pPr>
              <w:jc w:val="right"/>
              <w:ind w:right="214"/>
              <w:spacing w:after="0"/>
              <w:rPr>
                <w:sz w:val="20"/>
                <w:szCs w:val="20"/>
                <w:color w:val="auto"/>
              </w:rPr>
            </w:pPr>
            <w:r>
              <w:rPr>
                <w:rFonts w:ascii="Arial" w:cs="Arial" w:eastAsia="Arial" w:hAnsi="Arial"/>
                <w:sz w:val="17"/>
                <w:szCs w:val="17"/>
                <w:color w:val="auto"/>
                <w:w w:val="98"/>
              </w:rPr>
              <w:t>million related to vested options and approximately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million related to unvested options.</w:t>
            </w:r>
          </w:p>
        </w:tc>
      </w:tr>
    </w:tbl>
    <w:p>
      <w:pPr>
        <w:spacing w:after="0" w:line="20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6"/>
          <w:szCs w:val="16"/>
          <w:i w:val="1"/>
          <w:iCs w:val="1"/>
          <w:color w:val="auto"/>
        </w:rPr>
        <w:t xml:space="preserve">March 2012. </w:t>
      </w:r>
      <w:r>
        <w:rPr>
          <w:rFonts w:ascii="Arial" w:cs="Arial" w:eastAsia="Arial" w:hAnsi="Arial"/>
          <w:sz w:val="16"/>
          <w:szCs w:val="16"/>
          <w:color w:val="auto"/>
        </w:rPr>
        <w:t>We granted options to purchase 1,814,628 shares of our common stock on March 10, 2012. Our board of directors set an exercise price of $0.67</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 enterprise value using the PWERM and these three scenarios. This valuation indicated a fair value of $0.67 per share for our common stock as of January 19, 2012. In the judgment of our board of directors, there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were no internal or external developments that would indicate that the fair value of our common stock would have increased from January 19, 2012. Accordingly, the board of directors determined that the estimated fair value of our common stock at March 10, 2012 as $0.67 per share.</w:t>
      </w:r>
    </w:p>
    <w:p>
      <w:pPr>
        <w:spacing w:after="0" w:line="17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924,000, 450,000 and 270,000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$0.67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$0.67 per share.</w:t>
      </w:r>
    </w:p>
    <w:p>
      <w:pPr>
        <w:spacing w:after="0" w:line="175" w:lineRule="exact"/>
        <w:rPr>
          <w:sz w:val="20"/>
          <w:szCs w:val="20"/>
          <w:color w:val="auto"/>
        </w:rPr>
      </w:pPr>
    </w:p>
    <w:p>
      <w:pPr>
        <w:jc w:val="both"/>
        <w:ind w:firstLine="41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269,167 shares of our common stock on December 6, 2012. Our board of directors set an exercise price of</w:t>
      </w:r>
      <w:r>
        <w:rPr>
          <w:rFonts w:ascii="Arial" w:cs="Arial" w:eastAsia="Arial" w:hAnsi="Arial"/>
          <w:sz w:val="15"/>
          <w:szCs w:val="15"/>
          <w:i w:val="1"/>
          <w:iCs w:val="1"/>
          <w:color w:val="auto"/>
        </w:rPr>
        <w:t xml:space="preserve"> </w:t>
      </w:r>
      <w:r>
        <w:rPr>
          <w:rFonts w:ascii="Arial" w:cs="Arial" w:eastAsia="Arial" w:hAnsi="Arial"/>
          <w:sz w:val="15"/>
          <w:szCs w:val="15"/>
          <w:color w:val="auto"/>
        </w:rPr>
        <w:t>$1.00 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$1.00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$1.00 per share.</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December 6, 2012 estimated fair value was based in part on a contemporaneous independent valuation of our common stock as of November 1, 2012. The primary factors that supported the increase in the fair value of our common stock from $0.67 per share on March 10, 2012 to $1.00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85"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1,709,007 shares of our common stock on February 5,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$1.00 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$1.00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352"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$1.51 per share on a non-marketable, minority interest basis as of April 30, 2013.</w:t>
      </w:r>
    </w:p>
    <w:p>
      <w:pPr>
        <w:spacing w:after="0" w:line="123"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801,625 shares of our common stock on June 20, 2013. Our board of directors set an exercise price of $1.51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$1.98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six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$1.98 per share on a non-marketable, minority interest basis as of June 30, 2013.</w:t>
      </w:r>
    </w:p>
    <w:p>
      <w:pPr>
        <w:spacing w:after="0" w:line="170" w:lineRule="exact"/>
        <w:rPr>
          <w:sz w:val="20"/>
          <w:szCs w:val="20"/>
          <w:color w:val="auto"/>
        </w:rPr>
      </w:pPr>
    </w:p>
    <w:p>
      <w:pPr>
        <w:jc w:val="both"/>
        <w:ind w:firstLine="442"/>
        <w:spacing w:after="0" w:line="311" w:lineRule="auto"/>
        <w:rPr>
          <w:sz w:val="20"/>
          <w:szCs w:val="20"/>
          <w:color w:val="auto"/>
        </w:rPr>
      </w:pPr>
      <w:r>
        <w:rPr>
          <w:rFonts w:ascii="Arial" w:cs="Arial" w:eastAsia="Arial" w:hAnsi="Arial"/>
          <w:sz w:val="15"/>
          <w:szCs w:val="15"/>
          <w:color w:val="auto"/>
        </w:rPr>
        <w:t>As noted above, the board granted stock options in June 2013 with an exercise price of $1.51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$1.98 per share and accordingly, for financial reporting purposes, we have recorded stock-based compensation expense based on the reassessed fair value.</w:t>
      </w:r>
    </w:p>
    <w:p>
      <w:pPr>
        <w:spacing w:after="0" w:line="155" w:lineRule="exact"/>
        <w:rPr>
          <w:sz w:val="20"/>
          <w:szCs w:val="20"/>
          <w:color w:val="auto"/>
        </w:rPr>
      </w:pPr>
    </w:p>
    <w:p>
      <w:pPr>
        <w:jc w:val="both"/>
        <w:ind w:firstLine="346"/>
        <w:spacing w:after="0" w:line="263" w:lineRule="auto"/>
        <w:rPr>
          <w:sz w:val="20"/>
          <w:szCs w:val="20"/>
          <w:color w:val="auto"/>
        </w:rPr>
      </w:pPr>
      <w:r>
        <w:rPr>
          <w:rFonts w:ascii="Arial" w:cs="Arial" w:eastAsia="Arial" w:hAnsi="Arial"/>
          <w:sz w:val="17"/>
          <w:szCs w:val="17"/>
          <w:color w:val="auto"/>
        </w:rPr>
        <w:t>The increase in the estimated fair value of our common stock from $1.00 per share as of February 5, 2013 to $1.51 per share as of April 30, 2013 and to $1.98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growth in our business is tied to the number of FNAs we receive. Generally 5%-10% of the FNA samples we receive have insufficient cellular material from which to render a cytopathology diagnosis. We do not bill for these tests. For results that are benign or suspicious/malignant, we bill for the cytopathology portion of the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92"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311"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5"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$0.2 million in personnel expenses for additional sales representatives hired in the six months ended June 30, 2013 and a $0.2 million increase in marketing and promotional materials.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the same number of shares of our common stock following completion of this offering. The warrant will expire on the seventh anniversary of this offering. If we draw down the second term loan under the loan and security agreement, we will issue the lender a second warrant with identical terms.</w:t>
      </w:r>
    </w:p>
    <w:p>
      <w:pPr>
        <w:spacing w:after="0" w:line="185"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Our primary uses of cash are to fund our operations as we continue to grow our business.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68"/>
        <w:spacing w:after="0" w:line="281" w:lineRule="auto"/>
        <w:rPr>
          <w:sz w:val="20"/>
          <w:szCs w:val="20"/>
          <w:color w:val="auto"/>
        </w:rPr>
      </w:pPr>
      <w:r>
        <w:rPr>
          <w:rFonts w:ascii="Arial" w:cs="Arial" w:eastAsia="Arial" w:hAnsi="Arial"/>
          <w:sz w:val="16"/>
          <w:szCs w:val="16"/>
          <w:color w:val="auto"/>
        </w:rPr>
        <w:t>We believe that the estimated net proceeds from this offering, together with our existing cash and cash equivalents as of June 30, 2013,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interest rates during any of the periods presented would not have had a material impact on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predicting outcomes and guiding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Based on our internal analysis and third-party data, we believe molecular diagnostic solutions to address these markets could represent an approximately $4.0 billion opportunity.</w:t>
      </w:r>
    </w:p>
    <w:p>
      <w:pPr>
        <w:spacing w:after="0" w:line="18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300" w:lineRule="auto"/>
        <w:rPr>
          <w:sz w:val="20"/>
          <w:szCs w:val="20"/>
          <w:color w:val="auto"/>
        </w:rPr>
      </w:pPr>
      <w:r>
        <w:rPr>
          <w:rFonts w:ascii="Arial" w:cs="Arial" w:eastAsia="Arial" w:hAnsi="Arial"/>
          <w:sz w:val="15"/>
          <w:szCs w:val="15"/>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Approximately 525,000 thyroid FNAs were performed in the United States in 2011. Typically 15% to 30% of FNAs yield indeterminate results, meaning they cannot be diagnosed as definitively benign or malignant by cytopathology alone. Because the risk of malignancy is approximately 25% for an indeterminate diagnosis, clinical practice guidelines have historically recommended that patients with indeterminate cytopathology results undergo surgery to remove part or all of their thyroid to obtain an accurate pathology diagnosis. However, in 70%-80% of these cases, the thyroid nodule proves to be benign for cancer. We estimate the average cost of surgery to be $15,000, and surgery can result in complications and leave a patient in need of hormone replacement therapy for life.</w:t>
      </w:r>
    </w:p>
    <w:p>
      <w:pPr>
        <w:spacing w:after="0" w:line="163" w:lineRule="exact"/>
        <w:rPr>
          <w:sz w:val="20"/>
          <w:szCs w:val="20"/>
          <w:color w:val="auto"/>
        </w:rPr>
      </w:pPr>
    </w:p>
    <w:p>
      <w:pPr>
        <w:jc w:val="both"/>
        <w:ind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analyzing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had both a cytopathology indeterminate result and a GEC-benign result. The study found that physicians recommended surgery in only 7.6% of these cases, representing a 90% reduction in surgeries when compared to the historical average for patients with cytopathology indeterminate results alone. We believe the GEC is currently the only diagnostic test that meets the criteria of the National Comprehensive Cancer Network, or NCCN, for safely monitoring patients with indeterminate cytopathology results in lieu of surgery.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thyroid nodule diagnosis, inherent ambiguity in evaluation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 patient care would be meaningfully improved with lower costs if that diagnosis could be provided without surgery.</w:t>
      </w:r>
    </w:p>
    <w:p>
      <w:pPr>
        <w:spacing w:after="0" w:line="176"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301" w:lineRule="auto"/>
        <w:rPr>
          <w:sz w:val="20"/>
          <w:szCs w:val="20"/>
          <w:color w:val="auto"/>
        </w:rPr>
      </w:pPr>
      <w:r>
        <w:rPr>
          <w:rFonts w:ascii="Arial" w:cs="Arial" w:eastAsia="Arial" w:hAnsi="Arial"/>
          <w:sz w:val="15"/>
          <w:szCs w:val="15"/>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 partner with key opinion leaders to design and execute clinical studies that specifically validate the key attributes we believe will be required for broad adoption and reimbursement of our products.</w:t>
      </w:r>
    </w:p>
    <w:p>
      <w:pPr>
        <w:spacing w:after="0" w:line="164"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guides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requirements, which informs our strategy across disease selection, clinical study design, marketing and sales.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60"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Large, growing market. </w:t>
      </w:r>
      <w:r>
        <w:rPr>
          <w:rFonts w:ascii="Arial" w:cs="Arial" w:eastAsia="Arial" w:hAnsi="Arial"/>
          <w:sz w:val="17"/>
          <w:szCs w:val="17"/>
          <w:color w:val="auto"/>
        </w:rPr>
        <w:t>Thyroid cancer is the fastest growing cancer in the United States according to the American Cancer Society, and screening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$50 million related to a molecular cytology test for malignant thyroid FNA samples. Our market research indicates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17" w:lineRule="exact"/>
        <w:rPr>
          <w:rFonts w:ascii="Arial" w:cs="Arial" w:eastAsia="Arial" w:hAnsi="Arial"/>
          <w:sz w:val="17"/>
          <w:szCs w:val="17"/>
          <w:color w:val="auto"/>
        </w:rPr>
      </w:pPr>
    </w:p>
    <w:p>
      <w:pPr>
        <w:jc w:val="both"/>
        <w:ind w:left="1060" w:hanging="531"/>
        <w:spacing w:after="0" w:line="306"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 cytopathology alone. This ambiguity results in confusion for doctors and patients. The 2011 NCCN Clinical Practice Guidelines in Oncology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72"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Afirma Thyroid FNA Analysis is our comprehensive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8"/>
        <w:spacing w:after="0" w:line="300"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licensed CLIA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3"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6"/>
          <w:szCs w:val="16"/>
          <w:color w:val="auto"/>
        </w:rPr>
        <w:t>With the GEC, approximately half of the patients with indeterminate cytology results may avoid unnecessary, invasive diagnostic surgery. Patients who obtain an Afirma benign result avoid the potential for surgery-related complications, the effects of life-long hormone replacement therapy and the associated costs. We estimate that approximately 115,000 FNAs performed in the United States in 2011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300" w:lineRule="auto"/>
        <w:rPr>
          <w:sz w:val="20"/>
          <w:szCs w:val="20"/>
          <w:color w:val="auto"/>
        </w:rPr>
      </w:pPr>
      <w:r>
        <w:rPr>
          <w:rFonts w:ascii="Arial" w:cs="Arial" w:eastAsia="Arial" w:hAnsi="Arial"/>
          <w:sz w:val="15"/>
          <w:szCs w:val="15"/>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a third party and commissioned by us and Genzyme, a survey of 229 endocrinologists indicated that 86% of 102 Afirma users reported that they were either extremely satisfied or very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concluded that routine use of the GEC in the United States would prevent tens of thousands of surgeries each year. Based on our estimate of the average cost of surgery of $15,000 as well as clinical utility studies, we believe full adoption of Afirma would result in over $500 million in direct cost savings to the healthcare system over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311" w:lineRule="auto"/>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80" w:lineRule="exact"/>
        <w:rPr>
          <w:rFonts w:ascii="Arial" w:cs="Arial" w:eastAsia="Arial" w:hAnsi="Arial"/>
          <w:sz w:val="15"/>
          <w:szCs w:val="15"/>
          <w:color w:val="auto"/>
        </w:rPr>
      </w:pPr>
    </w:p>
    <w:p>
      <w:pPr>
        <w:jc w:val="both"/>
        <w:ind w:left="1060" w:hanging="531"/>
        <w:spacing w:after="0" w:line="26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0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guide surgical strategy for the treatment of medullary thyroid cancer and other rare and metastatic forms of thyroid cancer.</w:t>
      </w:r>
    </w:p>
    <w:p>
      <w:pPr>
        <w:spacing w:after="0" w:line="200"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 product in 2016 and believe this product will serve as the foundational application to expand our molecular cytology platform within the pulmonology vertical.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8"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We collaborated with clinicians to demonstrate the clinical utility of the GEC, which refers to the effect of the GEC result on treatment decision-making and patient outcomes. The clinical utility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GEC is based on preventing surgery on cytologically indeterminate but benign thyroid nodules that would otherwise be referred for a diagnostic thyroid surgery. Because thyroid nodules with indeterminate FNA cytopathology have an approximately 25% risk of malignancy when resected, approximately 75% of these operations will likely be on nodules determined to be benign post-operatively. Thyroid surgery is associated with potential complications, including temporary and permanent hypocalcemia, recurrent laryngeal 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5"/>
          <w:szCs w:val="15"/>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81"/>
        <w:spacing w:after="0" w:line="270" w:lineRule="auto"/>
        <w:rPr>
          <w:sz w:val="20"/>
          <w:szCs w:val="20"/>
          <w:color w:val="auto"/>
        </w:rPr>
      </w:pPr>
      <w:r>
        <w:rPr>
          <w:rFonts w:ascii="Arial" w:cs="Arial" w:eastAsia="Arial" w:hAnsi="Arial"/>
          <w:sz w:val="17"/>
          <w:szCs w:val="17"/>
          <w:color w:val="auto"/>
        </w:rPr>
        <w:t>In addition, such results were consistent with results from an earlier unpublished study presented at the American Thyroid Association annual scientific meeting in 2011, which reported the results of a web-and mail-based opinion survey of 32 physician practices, with a mean of 89% of physicians reporting that they recommended watchful waiting for patients with cytologically indeterminate FNAs but benign GEC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Cost-effectiveness of a Novel Molecular Test for Cytologically Indeterminate Thyroid Nodules (Journal of Clinical Endocrinology and Metabolism, 2011) ©The Endocrine Society*</w:t>
      </w:r>
    </w:p>
    <w:p>
      <w:pPr>
        <w:spacing w:after="0" w:line="170"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61" w:lineRule="auto"/>
        <w:rPr>
          <w:sz w:val="20"/>
          <w:szCs w:val="20"/>
          <w:color w:val="auto"/>
        </w:rPr>
      </w:pPr>
      <w:r>
        <w:rPr>
          <w:rFonts w:ascii="Arial" w:cs="Arial" w:eastAsia="Arial" w:hAnsi="Arial"/>
          <w:sz w:val="17"/>
          <w:szCs w:val="17"/>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1898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 w:hanging="515"/>
        <w:spacing w:after="0" w:line="282"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co-author of this study is a consultant and member of our clinical advisory board, and owns shares of our common stock. This study was conducted with the support of institutional research grants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69"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 xml:space="preserve">The cost savings estimate in the Johns Hopkins model was based on an estimated 14% rate of surgery on a GEC benign nodule, which rate is almost double the 7.6% subsequently reported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as described above. Based on the rate of surgery on GEC benign nodules reported in </w:t>
      </w:r>
      <w:r>
        <w:rPr>
          <w:rFonts w:ascii="Arial" w:cs="Arial" w:eastAsia="Arial" w:hAnsi="Arial"/>
          <w:sz w:val="17"/>
          <w:szCs w:val="17"/>
          <w:i w:val="1"/>
          <w:iCs w:val="1"/>
          <w:color w:val="auto"/>
        </w:rPr>
        <w:t>Thyroid</w:t>
      </w:r>
      <w:r>
        <w:rPr>
          <w:rFonts w:ascii="Arial" w:cs="Arial" w:eastAsia="Arial" w:hAnsi="Arial"/>
          <w:sz w:val="17"/>
          <w:szCs w:val="17"/>
          <w:color w:val="auto"/>
        </w:rPr>
        <w:t>, we estimate that each GEC test would save approximately $2,600. The graph below sets forth the results of the study: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Preoperative Diagnosis of Benign Thyroid Nodules with Indeterminate Cytology</w:t>
      </w:r>
      <w:r>
        <w:rPr>
          <w:rFonts w:ascii="Arial" w:cs="Arial" w:eastAsia="Arial" w:hAnsi="Arial"/>
          <w:sz w:val="21"/>
          <w:szCs w:val="21"/>
          <w:color w:val="auto"/>
          <w:vertAlign w:val="superscript"/>
        </w:rPr>
        <w:t>(1)(2)</w:t>
      </w: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Molecular Classification of Thyroid Nodules Using High-Dimensionality Genomic Data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line="5"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color w:val="auto"/>
        </w:rPr>
        <w:t>The Impact of Benign Gene Expression Classifier Test Results on the Endocrinologist-Patient Decision to Operate on Patients with Thyroid Nodules with</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Fine-Needle Aspiration Cytopathology</w:t>
      </w:r>
      <w:r>
        <w:rPr>
          <w:rFonts w:ascii="Arial" w:cs="Arial" w:eastAsia="Arial" w:hAnsi="Arial"/>
          <w:sz w:val="17"/>
          <w:szCs w:val="17"/>
          <w:color w:val="auto"/>
          <w:vertAlign w:val="superscript"/>
        </w:rPr>
        <w:t>(1)(2)</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Clinical Practice Impact of a Novel mRNA–based Gene Expression Classifier in Thyroid Nodules with</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 Needle Aspiration Cytopathology</w:t>
      </w:r>
      <w:r>
        <w:rPr>
          <w:rFonts w:ascii="Arial" w:cs="Arial" w:eastAsia="Arial" w:hAnsi="Arial"/>
          <w:sz w:val="17"/>
          <w:szCs w:val="17"/>
          <w:color w:val="auto"/>
          <w:vertAlign w:val="superscript"/>
        </w:rPr>
        <w:t>(1)(2)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 Economics</w:t>
      </w:r>
    </w:p>
    <w:p>
      <w:pPr>
        <w:spacing w:after="0" w:line="5" w:lineRule="exact"/>
        <w:rPr>
          <w:sz w:val="20"/>
          <w:szCs w:val="20"/>
          <w:color w:val="auto"/>
        </w:rPr>
      </w:pPr>
    </w:p>
    <w:p>
      <w:pPr>
        <w:ind w:right="400"/>
        <w:spacing w:after="0" w:line="238" w:lineRule="auto"/>
        <w:rPr>
          <w:sz w:val="20"/>
          <w:szCs w:val="20"/>
          <w:color w:val="auto"/>
        </w:rPr>
      </w:pPr>
      <w:r>
        <w:rPr>
          <w:rFonts w:ascii="Arial" w:cs="Arial" w:eastAsia="Arial" w:hAnsi="Arial"/>
          <w:sz w:val="12"/>
          <w:szCs w:val="12"/>
          <w:color w:val="auto"/>
        </w:rPr>
        <w:t>Cost-Effectiveness of a Novel Molecular Test for Cytologically Indeterminate Thyroid Nodules</w:t>
      </w:r>
      <w:r>
        <w:rPr>
          <w:rFonts w:ascii="Arial" w:cs="Arial" w:eastAsia="Arial" w:hAnsi="Arial"/>
          <w:sz w:val="19"/>
          <w:szCs w:val="19"/>
          <w:color w:val="auto"/>
          <w:vertAlign w:val="superscript"/>
        </w:rPr>
        <w:t>(2)(4)</w:t>
      </w:r>
    </w:p>
    <w:p>
      <w:pPr>
        <w:spacing w:after="0" w:line="232" w:lineRule="auto"/>
        <w:rPr>
          <w:sz w:val="20"/>
          <w:szCs w:val="20"/>
          <w:color w:val="auto"/>
        </w:rPr>
      </w:pPr>
      <w:r>
        <w:rPr>
          <w:rFonts w:ascii="Arial" w:cs="Arial" w:eastAsia="Arial" w:hAnsi="Arial"/>
          <w:sz w:val="13"/>
          <w:szCs w:val="13"/>
          <w:b w:val="1"/>
          <w:bCs w:val="1"/>
          <w:i w:val="1"/>
          <w:iCs w:val="1"/>
          <w:color w:val="auto"/>
        </w:rPr>
        <w:t>Analytical Validity</w:t>
      </w:r>
    </w:p>
    <w:p>
      <w:pPr>
        <w:ind w:right="360"/>
        <w:spacing w:after="0" w:line="244" w:lineRule="auto"/>
        <w:rPr>
          <w:sz w:val="20"/>
          <w:szCs w:val="20"/>
          <w:color w:val="auto"/>
        </w:rPr>
      </w:pPr>
      <w:r>
        <w:rPr>
          <w:rFonts w:ascii="Arial" w:cs="Arial" w:eastAsia="Arial" w:hAnsi="Arial"/>
          <w:sz w:val="12"/>
          <w:szCs w:val="12"/>
          <w:color w:val="auto"/>
        </w:rPr>
        <w:t>Analytical Performance Verification of a Molecular Diagnostic for Cytology-Indeterminate Thyroid</w:t>
      </w:r>
    </w:p>
    <w:p>
      <w:pPr>
        <w:spacing w:after="0" w:line="216" w:lineRule="auto"/>
        <w:rPr>
          <w:sz w:val="20"/>
          <w:szCs w:val="20"/>
          <w:color w:val="auto"/>
        </w:rPr>
      </w:pPr>
      <w:r>
        <w:rPr>
          <w:rFonts w:ascii="Arial" w:cs="Arial" w:eastAsia="Arial" w:hAnsi="Arial"/>
          <w:sz w:val="13"/>
          <w:szCs w:val="13"/>
          <w:color w:val="auto"/>
        </w:rPr>
        <w:t>Nodules</w:t>
      </w:r>
      <w:r>
        <w:rPr>
          <w:rFonts w:ascii="Arial" w:cs="Arial" w:eastAsia="Arial" w:hAnsi="Arial"/>
          <w:sz w:val="21"/>
          <w:szCs w:val="21"/>
          <w:color w:val="auto"/>
          <w:vertAlign w:val="superscript"/>
        </w:rPr>
        <w:t>(5)</w:t>
      </w:r>
    </w:p>
    <w:p>
      <w:pPr>
        <w:spacing w:after="0" w:line="231" w:lineRule="auto"/>
        <w:rPr>
          <w:sz w:val="20"/>
          <w:szCs w:val="20"/>
          <w:color w:val="auto"/>
        </w:rPr>
      </w:pPr>
      <w:r>
        <w:rPr>
          <w:rFonts w:ascii="Arial" w:cs="Arial" w:eastAsia="Arial" w:hAnsi="Arial"/>
          <w:sz w:val="13"/>
          <w:szCs w:val="13"/>
          <w:b w:val="1"/>
          <w:bCs w:val="1"/>
          <w:i w:val="1"/>
          <w:iCs w:val="1"/>
          <w:color w:val="auto"/>
        </w:rPr>
        <w:t>Other Studies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 Large Multicenter Correlation Study of Thyroid Nodule Cytopathology and Histopathology</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200" w:lineRule="exact"/>
        <w:rPr>
          <w:sz w:val="20"/>
          <w:szCs w:val="20"/>
          <w:color w:val="auto"/>
        </w:rPr>
      </w:pPr>
    </w:p>
    <w:p>
      <w:pPr>
        <w:spacing w:after="0" w:line="257"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(October 2012)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American Thyroid Association </w:t>
      </w:r>
      <w:r>
        <w:rPr>
          <w:rFonts w:ascii="Arial" w:cs="Arial" w:eastAsia="Arial" w:hAnsi="Arial"/>
          <w:sz w:val="13"/>
          <w:szCs w:val="13"/>
          <w:color w:val="auto"/>
        </w:rPr>
        <w:t>(</w:t>
      </w:r>
      <w:r>
        <w:rPr>
          <w:rFonts w:ascii="Arial" w:cs="Arial" w:eastAsia="Arial" w:hAnsi="Arial"/>
          <w:sz w:val="13"/>
          <w:szCs w:val="13"/>
          <w:i w:val="1"/>
          <w:iCs w:val="1"/>
          <w:color w:val="auto"/>
        </w:rPr>
        <w:t>Abstract Poster</w:t>
      </w:r>
    </w:p>
    <w:p>
      <w:pPr>
        <w:spacing w:after="0"/>
        <w:rPr>
          <w:sz w:val="20"/>
          <w:szCs w:val="20"/>
          <w:color w:val="auto"/>
        </w:rPr>
      </w:pPr>
      <w:r>
        <w:rPr>
          <w:rFonts w:ascii="Arial" w:cs="Arial" w:eastAsia="Arial" w:hAnsi="Arial"/>
          <w:sz w:val="13"/>
          <w:szCs w:val="13"/>
          <w:i w:val="1"/>
          <w:iCs w:val="1"/>
          <w:color w:val="auto"/>
        </w:rPr>
        <w:t>Presentation</w:t>
      </w:r>
      <w:r>
        <w:rPr>
          <w:rFonts w:ascii="Arial" w:cs="Arial" w:eastAsia="Arial" w:hAnsi="Arial"/>
          <w:sz w:val="13"/>
          <w:szCs w:val="13"/>
          <w:color w:val="auto"/>
        </w:rPr>
        <w:t>)</w:t>
      </w:r>
    </w:p>
    <w:p>
      <w:pPr>
        <w:spacing w:after="0"/>
        <w:rPr>
          <w:sz w:val="20"/>
          <w:szCs w:val="20"/>
          <w:color w:val="auto"/>
        </w:rPr>
      </w:pPr>
      <w:r>
        <w:rPr>
          <w:rFonts w:ascii="Arial" w:cs="Arial" w:eastAsia="Arial" w:hAnsi="Arial"/>
          <w:sz w:val="13"/>
          <w:szCs w:val="13"/>
          <w:color w:val="auto"/>
        </w:rPr>
        <w:t>(October 2011)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(August 2011)</w:t>
      </w:r>
    </w:p>
    <w:p>
      <w:pPr>
        <w:spacing w:after="0" w:line="179"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(October 2012)</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hanging="180"/>
        <w:spacing w:after="0"/>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Pivotal clinical validation study (prospective, multicenter, double-blind)</w:t>
      </w:r>
    </w:p>
    <w:p>
      <w:pPr>
        <w:spacing w:after="0" w:line="241"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A GEC benign result is comparable in accuracy to a benign cytology result</w:t>
      </w:r>
    </w:p>
    <w:p>
      <w:pPr>
        <w:spacing w:after="0" w:line="1"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First prospective, multicenter, double-blind validation study</w:t>
      </w:r>
    </w:p>
    <w:p>
      <w:pPr>
        <w:spacing w:after="0" w:line="242" w:lineRule="exact"/>
        <w:rPr>
          <w:rFonts w:ascii="Arial" w:cs="Arial" w:eastAsia="Arial" w:hAnsi="Arial"/>
          <w:sz w:val="21"/>
          <w:szCs w:val="21"/>
          <w:color w:val="auto"/>
        </w:rPr>
      </w:pPr>
    </w:p>
    <w:p>
      <w:pPr>
        <w:jc w:val="both"/>
        <w:ind w:left="180" w:hanging="180"/>
        <w:spacing w:after="0" w:line="207"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Even in the presence of degraded RNA, bloody samples, or malignant samples diluted up to 80% with aspirate material from benign nodules, the GEC correctly recognizes benign nodules and does not miss malignancy in the majority of FNA samples</w:t>
      </w:r>
    </w:p>
    <w:p>
      <w:pPr>
        <w:spacing w:after="0" w:line="114" w:lineRule="exact"/>
        <w:rPr>
          <w:rFonts w:ascii="Arial" w:cs="Arial" w:eastAsia="Arial" w:hAnsi="Arial"/>
          <w:sz w:val="21"/>
          <w:szCs w:val="21"/>
          <w:color w:val="auto"/>
        </w:rPr>
      </w:pPr>
    </w:p>
    <w:p>
      <w:pPr>
        <w:ind w:left="180" w:hanging="180"/>
        <w:spacing w:after="0"/>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Large multicenter study of endocrinologists' practices</w:t>
      </w:r>
    </w:p>
    <w:p>
      <w:pPr>
        <w:spacing w:after="0" w:line="24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Approximately one surgery was avoided for every two GEC tests run on thyroid FNAs with indeterminate cytology</w:t>
      </w:r>
    </w:p>
    <w:p>
      <w:pPr>
        <w:spacing w:after="0" w:line="41" w:lineRule="exact"/>
        <w:rPr>
          <w:rFonts w:ascii="Arial" w:cs="Arial" w:eastAsia="Arial" w:hAnsi="Arial"/>
          <w:sz w:val="21"/>
          <w:szCs w:val="21"/>
          <w:color w:val="auto"/>
        </w:rPr>
      </w:pPr>
    </w:p>
    <w:p>
      <w:pPr>
        <w:ind w:left="180" w:hanging="180"/>
        <w:spacing w:after="0"/>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Assessed clinical utility by surveying physicians' treatment decisions</w:t>
      </w:r>
      <w:r>
        <w:rPr>
          <w:rFonts w:ascii="Arial" w:cs="Arial" w:eastAsia="Arial" w:hAnsi="Arial"/>
          <w:sz w:val="19"/>
          <w:szCs w:val="19"/>
          <w:color w:val="auto"/>
          <w:vertAlign w:val="superscript"/>
        </w:rPr>
        <w:t>(3)</w:t>
      </w:r>
    </w:p>
    <w:p>
      <w:pPr>
        <w:spacing w:after="0" w:line="218" w:lineRule="exact"/>
        <w:rPr>
          <w:rFonts w:ascii="Arial" w:cs="Arial" w:eastAsia="Arial" w:hAnsi="Arial"/>
          <w:sz w:val="19"/>
          <w:szCs w:val="19"/>
          <w:color w:val="auto"/>
        </w:rPr>
      </w:pPr>
    </w:p>
    <w:p>
      <w:pPr>
        <w:jc w:val="both"/>
        <w:ind w:left="180" w:hanging="180"/>
        <w:spacing w:after="0" w:line="207"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Applying the survey results to 540 patients with indeterminate cytopathology, physicians recommended watchful waiting and sonographic follow up in lieu of surgery in 89% (234 of 263) of patients with a benign GEC result</w:t>
      </w:r>
    </w:p>
    <w:p>
      <w:pPr>
        <w:spacing w:after="0" w:line="19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Use of Afirma can potentially avoid almost three-fourths of currently performed surgeries in patients with benign nodules</w:t>
      </w:r>
    </w:p>
    <w:p>
      <w:pPr>
        <w:spacing w:after="0" w:line="190"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Analytical sensitivity, analytical specificity, robustness, and quality control of the GEC were successfully verified, indicating its suitability for clinical use</w:t>
      </w:r>
    </w:p>
    <w:p>
      <w:pPr>
        <w:spacing w:after="0" w:line="189"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Prospective multicenter study and meta-review of 11 recently published U.S. based pathology series</w:t>
      </w:r>
    </w:p>
    <w:p>
      <w:pPr>
        <w:spacing w:after="0" w:line="237"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Two-thirds of cytologically indeterminate nodules</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were found to be benign post-operatively</w:t>
      </w:r>
    </w:p>
    <w:p>
      <w:pPr>
        <w:spacing w:after="0" w:line="255"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Operated cytology benign nodules were found to have an 11% risk of malignancy in the prospective study and 6% risk of malignancy in the meta-review (range 2%-18%)</w:t>
      </w:r>
    </w:p>
    <w:p>
      <w:pPr>
        <w:spacing w:after="0" w:line="177"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Supported with institutional research grants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37" w:lineRule="exact"/>
        <w:rPr>
          <w:rFonts w:ascii="Arial" w:cs="Arial" w:eastAsia="Arial" w:hAnsi="Arial"/>
          <w:sz w:val="12"/>
          <w:szCs w:val="12"/>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co-author of this study is a consultant and member of our clinical advisory board, and owns shares of our common stock.</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Conducted by Veracyte.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w:t>
      </w:r>
    </w:p>
    <w:p>
      <w:pPr>
        <w:spacing w:after="0" w:line="216" w:lineRule="auto"/>
        <w:rPr>
          <w:sz w:val="20"/>
          <w:szCs w:val="20"/>
          <w:color w:val="auto"/>
        </w:rPr>
      </w:pPr>
      <w:r>
        <w:rPr>
          <w:rFonts w:ascii="Arial" w:cs="Arial" w:eastAsia="Arial" w:hAnsi="Arial"/>
          <w:sz w:val="13"/>
          <w:szCs w:val="13"/>
          <w:color w:val="auto"/>
        </w:rPr>
        <w:t>Cytopathology</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Diagnostic Use of Molecular Markers in the Evaluation of Thyroid Nodules</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Diagnosis and Management of Differentiated Thyroid Cancer using Molecular Biology</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r>
        <w:rPr>
          <w:rFonts w:ascii="Arial" w:cs="Arial" w:eastAsia="Arial" w:hAnsi="Arial"/>
          <w:sz w:val="19"/>
          <w:szCs w:val="19"/>
          <w:color w:val="auto"/>
          <w:vertAlign w:val="superscript"/>
        </w:rPr>
        <w:t>(2)</w:t>
      </w:r>
    </w:p>
    <w:p>
      <w:pPr>
        <w:spacing w:after="0" w:line="284" w:lineRule="exact"/>
        <w:rPr>
          <w:sz w:val="20"/>
          <w:szCs w:val="20"/>
          <w:color w:val="auto"/>
        </w:rPr>
      </w:pPr>
    </w:p>
    <w:p>
      <w:pPr>
        <w:ind w:right="700"/>
        <w:spacing w:after="0" w:line="31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40"/>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80"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Co-authored and sponsored by a research grant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co-author of this study has received research support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Two co-authors are Veracyte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revised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Genzyme</w:t>
      </w:r>
    </w:p>
    <w:p>
      <w:pPr>
        <w:spacing w:after="0" w:line="224"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TCP</w:t>
      </w:r>
    </w:p>
    <w:p>
      <w:pPr>
        <w:spacing w:after="0" w:line="22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8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Dependence on Certain Third-party Payers</w:t>
      </w:r>
    </w:p>
    <w:p>
      <w:pPr>
        <w:spacing w:after="0" w:line="224"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6"/>
          <w:szCs w:val="16"/>
          <w:color w:val="auto"/>
        </w:rPr>
        <w:t>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Bronchoscopy, a minimally invasive procedure often used to diagnose lung cancer, is typically inadequate for definitive diagnosis of ILDs. As a result, tens of thousands of patients undergo expensive and invasive diagnostic surgeries.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70"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7"/>
          <w:szCs w:val="17"/>
          <w:color w:val="auto"/>
        </w:rPr>
        <w:t>Our quality assurance function oversees quality of the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85"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9"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of June 30, 2013, we had six pending United States nonprovisional patent applications and one allowed patent application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Diagnostic kits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74"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both"/>
        <w:ind w:firstLine="345"/>
        <w:spacing w:after="0" w:line="315"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 used effectively for diagnostic examination. A specimen transport and storage container is a Class I device so long as no sterility claims are made. It is subject to MDR requirements, the reporting of corrections and removals, registration and listing. It is exempt from premarket review, and from QSR requirements except for recordkeeping and complaint handling requirements. Our facility is registered with the FDA and the container we provide for collection and transport of FNA samples from a physician to our clinical reference laboratory is listed with the FDA as a Class I medical device and is subject to regulation by the FDA.</w:t>
      </w:r>
    </w:p>
    <w:p>
      <w:pPr>
        <w:spacing w:after="0" w:line="169"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5,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6" w:lineRule="exact"/>
        <w:rPr>
          <w:sz w:val="20"/>
          <w:szCs w:val="20"/>
          <w:color w:val="auto"/>
        </w:rPr>
      </w:pPr>
    </w:p>
    <w:p>
      <w:pPr>
        <w:jc w:val="both"/>
        <w:ind w:firstLine="379"/>
        <w:spacing w:after="0" w:line="283"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 Labeled for Research Use Only or Investigational Use Only." Aspects of this draft guidance, which has not been finalized, are controversial.</w:t>
      </w:r>
    </w:p>
    <w:p>
      <w:pPr>
        <w:spacing w:after="0" w:line="174"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9"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15"/>
          <w:szCs w:val="15"/>
          <w:color w:val="auto"/>
        </w:rPr>
        <w:t>If premarket review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our services, if they are labeled investigational by the FDA, or if labeling claims the FDA allows us to make are limited, order levels may decline and reimbursement may be adversely affected. The regulatory approval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82"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7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80" w:lineRule="auto"/>
        <w:rPr>
          <w:sz w:val="20"/>
          <w:szCs w:val="20"/>
          <w:color w:val="auto"/>
        </w:rPr>
      </w:pPr>
      <w:r>
        <w:rPr>
          <w:rFonts w:ascii="Arial" w:cs="Arial" w:eastAsia="Arial" w:hAnsi="Arial"/>
          <w:sz w:val="16"/>
          <w:szCs w:val="16"/>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5" w:lineRule="exact"/>
        <w:rPr>
          <w:sz w:val="20"/>
          <w:szCs w:val="20"/>
          <w:color w:val="auto"/>
        </w:rPr>
      </w:pPr>
    </w:p>
    <w:p>
      <w:pPr>
        <w:jc w:val="both"/>
        <w:ind w:firstLine="364"/>
        <w:spacing w:after="0" w:line="265"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46"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315"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or not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licenses from states where we believe we are required to be licensed, and believe we are in compliance with applicable licensing laws.</w:t>
      </w:r>
    </w:p>
    <w:p>
      <w:pPr>
        <w:spacing w:after="0" w:line="224"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5"/>
          <w:szCs w:val="15"/>
          <w:color w:val="auto"/>
        </w:rPr>
        <w:t>As of August 31, 2013, we had 99 employees, of which 23 work in laboratory operations, 18 in research and development and clinical development, 15 in selling and marketing, 43 in general and administrative including 20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Suppliers</w:t>
      </w:r>
    </w:p>
    <w:p>
      <w:pPr>
        <w:spacing w:after="0" w:line="228"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August 31,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6"/>
          <w:szCs w:val="16"/>
          <w:i w:val="1"/>
          <w:iCs w:val="1"/>
          <w:color w:val="auto"/>
        </w:rPr>
        <w:t xml:space="preserve">Brian G. Atwood </w:t>
      </w:r>
      <w:r>
        <w:rPr>
          <w:rFonts w:ascii="Arial" w:cs="Arial" w:eastAsia="Arial" w:hAnsi="Arial"/>
          <w:sz w:val="16"/>
          <w:szCs w:val="16"/>
          <w:color w:val="auto"/>
        </w:rPr>
        <w:t>has served as Chairman of our board of directors since February 2008 and as a director since December 2006. Since 1999, Mr. Atwood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Trius Therapeutics, Inc. and a number of privately held companies. Mr. Atwood served as a director of Helicos BioSciences Corporation from 2003 until September 2011 and Pharmion Corporation from January 2000 until its acquisition in March 2008.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79"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i w:val="1"/>
          <w:iCs w:val="1"/>
          <w:color w:val="auto"/>
        </w:rPr>
        <w:t xml:space="preserve">Brook H. Byers </w:t>
      </w:r>
      <w:r>
        <w:rPr>
          <w:rFonts w:ascii="Arial" w:cs="Arial" w:eastAsia="Arial" w:hAnsi="Arial"/>
          <w:sz w:val="16"/>
          <w:szCs w:val="16"/>
          <w:color w:val="auto"/>
        </w:rPr>
        <w:t>has served as a member of our board of directors since January 2007. Mr. Byers is a Managing Partner of Kleiner Perkins Caufield &amp; Byers,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which he joined in 1977. Mr. Byers currently serves as a director of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97" w:lineRule="auto"/>
        <w:rPr>
          <w:sz w:val="20"/>
          <w:szCs w:val="20"/>
          <w:color w:val="auto"/>
        </w:rPr>
      </w:pPr>
      <w:r>
        <w:rPr>
          <w:rFonts w:ascii="Arial" w:cs="Arial" w:eastAsia="Arial" w:hAnsi="Arial"/>
          <w:sz w:val="15"/>
          <w:szCs w:val="15"/>
          <w:i w:val="1"/>
          <w:iCs w:val="1"/>
          <w:color w:val="auto"/>
        </w:rPr>
        <w:t xml:space="preserve">Karin Eastham </w:t>
      </w:r>
      <w:r>
        <w:rPr>
          <w:rFonts w:ascii="Arial" w:cs="Arial" w:eastAsia="Arial" w:hAnsi="Arial"/>
          <w:sz w:val="15"/>
          <w:szCs w:val="15"/>
          <w:color w:val="auto"/>
        </w:rPr>
        <w:t>has served as a member our board of directors since December 2012. Ms. Eastham serves on the boards of directors of several life sciences</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MorphoSys AG, and Trius Therapeutics, Inc. Ms. Eastham served as a director of Amylin Pharmaceuticals, Inc. from September 2005 until its acquisition in August 2012, Genoptix, Inc. from August 2008 until its acquisition in March 2011, and Tercica, Inc. from December 2003 until its acquisition in October 2008.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and Fluidigm Corporation. Mr. Jones received a B.A. in Biotechnology from the University of Colorado and an M.B.A. from The Wharton School at the University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0"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board of directors currently consists of eight members. The restated certificate of incorporation that will become effective upon completion of this offering</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provides that the authorized number of directors on our board will consist of not fewer than and not more than directors, as the board of directors may from time to time determine. Our board of directors will initially consist of eight directors. The authorized number of directors may be changed by resolution of our board of directors. Vacancies on our board of directors can be filled by resolution of our board of directors. Upon the completion of this offering, our board of directors will be divided into three classes, each serving staggered, three-year terms:</w:t>
      </w:r>
    </w:p>
    <w:p>
      <w:pPr>
        <w:spacing w:after="0" w:line="199" w:lineRule="exact"/>
        <w:rPr>
          <w:sz w:val="20"/>
          <w:szCs w:val="20"/>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Class I directors will be Bonnie H. Anderson and Evan Jones and their terms will expire at the first annual meeting of stockholders following the date of this prospectus;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Class II directors will be Brook H. Byers, Fred E. Cohen, M.D., D. Phil. and Samuel D. Colella and their terms will expire at the second annual meeting of stockholders following the date of this prospectus;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Class III directors will be Brian G. Atwood, Karin Eastham and Jesse I. Treu, Ph.D. and their terms will expire at the third annual meeting of stockholders following the date of this prospectus.</w:t>
      </w:r>
    </w:p>
    <w:p>
      <w:pPr>
        <w:spacing w:after="0" w:line="17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completion of this offering, the code of business conduct and ethics and the code of ethics for senior financial officers will each be posted on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left="340"/>
        <w:spacing w:after="0"/>
        <w:tabs>
          <w:tab w:leader="none" w:pos="3980" w:val="left"/>
          <w:tab w:leader="none" w:pos="5280" w:val="left"/>
        </w:tabs>
        <w:rPr>
          <w:sz w:val="20"/>
          <w:szCs w:val="20"/>
          <w:color w:val="auto"/>
        </w:rPr>
      </w:pPr>
      <w:r>
        <w:rPr>
          <w:rFonts w:ascii="Arial" w:cs="Arial" w:eastAsia="Arial" w:hAnsi="Arial"/>
          <w:sz w:val="17"/>
          <w:szCs w:val="17"/>
          <w:color w:val="auto"/>
        </w:rPr>
        <w:t>Our board of directors determined that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are "independent directors" as defined under the rules of The NASDAQ Stock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Mr. Atwood, Dr. Cohen and Ms. Eastham serve on our audit committee. Ms. Eastham is the chairperson of this committee. Our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corporate accounting and financial reporting process and assists our board of directors in oversight of the integrity of our financial statements, our compliance with financial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has determined that is an audit committee financial expert, as defined by the rules promulgated by the SEC, and has the requisite financial sophistication as defined under the applicable rules and regulations of The NASDAQ Stock Market.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Messrs. Byers, Colella and Jones serve on our compensation committee. Mr. Jones is the chairperson of this committee.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Messrs. Atwood and Byers and Dr. Treu serve on our nominating and corporate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Treu is the chairperson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46"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(1)(2)</w:t>
            </w:r>
          </w:p>
        </w:tc>
        <w:tc>
          <w:tcPr>
            <w:tcW w:w="14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25,000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13,334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6,666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191"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Compensation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96,451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46,296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47,068 shares of our common stock granted on February 5, 2013 pursuant to our Executive Bonus Plan.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Bonus Plan</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87" w:lineRule="exact"/>
        <w:rPr>
          <w:sz w:val="20"/>
          <w:szCs w:val="20"/>
          <w:color w:val="auto"/>
        </w:rPr>
      </w:pPr>
    </w:p>
    <w:p>
      <w:pPr>
        <w:jc w:val="both"/>
        <w:ind w:firstLine="460"/>
        <w:spacing w:after="0" w:line="315" w:lineRule="auto"/>
        <w:rPr>
          <w:sz w:val="20"/>
          <w:szCs w:val="20"/>
          <w:color w:val="auto"/>
        </w:rPr>
      </w:pPr>
      <w:r>
        <w:rPr>
          <w:rFonts w:ascii="Arial" w:cs="Arial" w:eastAsia="Arial" w:hAnsi="Arial"/>
          <w:sz w:val="16"/>
          <w:szCs w:val="16"/>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46"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52,613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72,500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131,131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610,000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450,000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44,000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ind w:firstLine="365"/>
        <w:spacing w:after="0" w:line="282" w:lineRule="auto"/>
        <w:rPr>
          <w:sz w:val="20"/>
          <w:szCs w:val="20"/>
          <w:color w:val="auto"/>
        </w:rPr>
      </w:pPr>
      <w:r>
        <w:rPr>
          <w:rFonts w:ascii="Arial" w:cs="Arial" w:eastAsia="Arial" w:hAnsi="Arial"/>
          <w:sz w:val="17"/>
          <w:szCs w:val="17"/>
          <w:color w:val="auto"/>
        </w:rPr>
        <w:t>On February 15, 2008, we entered into an employment agreement with Bonnie H. Anderson, our President and Chief Executive Officer. The agreement provided Ms. Anderson with an initial base salary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 annual rate of $300,000 and provided that Ms. Anderson was eligible to receive an annual bonus targeted at 20% of her base salary. On December 22, 2008 and March 11, 2009, we entered into amendments to the employment agreement which collectively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90"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7"/>
          <w:szCs w:val="17"/>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600,000 shares of our common stock at an exercise price of $1.51 per share. Ms. Guyer is entitled to participate in all employee benefit plans, including group health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care plans and all fringe benefit plans. Ms. Guyer's offer letter provides that she is an at-will employee and her employment may be terminated at any time by her or us.</w:t>
      </w:r>
    </w:p>
    <w:p>
      <w:pPr>
        <w:spacing w:after="0" w:line="170"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450,000 shares of our common stock at an exercise price of $0.20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75"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7"/>
          <w:szCs w:val="17"/>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70"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August 31, 2013, 11,800,873 shares of common stock have been authorized for issuance under the 2008 Stock Plan. As of August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9,409,272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or nonstatutory stock options under our 2008 Stock Plan; provided that incentive stock options are only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7"/>
          <w:szCs w:val="17"/>
          <w:i w:val="1"/>
          <w:iCs w:val="1"/>
          <w:color w:val="auto"/>
        </w:rPr>
        <w:t>e.g.</w:t>
      </w:r>
      <w:r>
        <w:rPr>
          <w:rFonts w:ascii="Arial" w:cs="Arial" w:eastAsia="Arial" w:hAnsi="Arial"/>
          <w:sz w:val="17"/>
          <w:szCs w:val="17"/>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8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7"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If any change is made in our common stock subject to the 2008 Stock Plan including a subdivision, stock dividend, dividend payable in a form</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stock that has a material effect on our 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6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7"/>
          <w:szCs w:val="17"/>
          <w:i w:val="1"/>
          <w:iCs w:val="1"/>
          <w:color w:val="auto"/>
        </w:rPr>
        <w:t>Plan amendments and termination.</w:t>
      </w:r>
      <w:r>
        <w:rPr>
          <w:sz w:val="20"/>
          <w:szCs w:val="20"/>
          <w:color w:val="auto"/>
        </w:rPr>
        <w:tab/>
      </w:r>
      <w:r>
        <w:rPr>
          <w:rFonts w:ascii="Arial" w:cs="Arial" w:eastAsia="Arial" w:hAnsi="Arial"/>
          <w:sz w:val="15"/>
          <w:szCs w:val="15"/>
          <w:color w:val="auto"/>
        </w:rPr>
        <w:t>Our board of directors may at any time amend, suspend or terminate the 2008 Stock Plan. Certain amendments which</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materially alter or impair the rights of existing option holders require an optionee's consent. Our 2008 Stock Plan will automatically terminate on , unless we terminate it sooner.</w:t>
      </w:r>
    </w:p>
    <w:p>
      <w:pPr>
        <w:spacing w:after="0" w:line="17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Upon the completion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Arial" w:cs="Arial" w:eastAsia="Arial" w:hAnsi="Arial"/>
                <w:sz w:val="17"/>
                <w:szCs w:val="17"/>
                <w:i w:val="1"/>
                <w:iCs w:val="1"/>
                <w:color w:val="auto"/>
                <w:w w:val="97"/>
              </w:rPr>
              <w:t xml:space="preserve">General.  </w:t>
            </w:r>
            <w:r>
              <w:rPr>
                <w:rFonts w:ascii="Arial" w:cs="Arial" w:eastAsia="Arial" w:hAnsi="Arial"/>
                <w:sz w:val="17"/>
                <w:szCs w:val="17"/>
                <w:color w:val="auto"/>
                <w:w w:val="97"/>
              </w:rPr>
              <w:t>Our 2013 Stock Incentive Plan was adopted by our board of directors and approved by our stockholders in</w:t>
            </w:r>
          </w:p>
        </w:tc>
        <w:tc>
          <w:tcPr>
            <w:tcW w:w="9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The 2013 Stock Incentive Plan provides for the granting of incentive stock options within the meaning of Section 422 of the Internal Revenue Code to employees and the granting of nonstatutory stock options to employees, non-employee directors, advisors and consultants. The 2013 Stock Incentive Plan also provides for the grants of restricted stock, stock appreciation rights and stock unit awards to employees, non-employee directors, advisors and consultants.</w:t>
      </w:r>
    </w:p>
    <w:p>
      <w:pPr>
        <w:spacing w:after="0" w:line="163"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2013 Stock Incentive Plan, including the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an award, the number of shares subject to each award, whether an option is to be classified as an incentive stock option or nonstatutory option, and the terms and conditions of each award, including the exercise and purchase prices and the vesting or duration of the award.</w:t>
      </w:r>
    </w:p>
    <w:p>
      <w:pPr>
        <w:spacing w:after="0" w:line="179"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solely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Securities Exchange Act of 1934, as amended, or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Under our 2013 Stock Incentive Plan, shares of our common stock have been authorized for issuance. In addition,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have been authorized for issuance under the 2013 Stock Incentive Plan will be automatically increased on the first day of each year beginning in fiscal 2014</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and ending in 2023, in an amount equal to the least of (i) shares, (ii) % of the outstanding shares of our common stock on the last day of the immediately preceding year or (iii)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w:t>
      </w:r>
    </w:p>
    <w:p>
      <w:pPr>
        <w:spacing w:after="0" w:line="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No more than shares may be delivered upon the exercise of incentive stock options granted under the 2013 Stock Incentive Plan plus, to the extent allowable under applicable law, any shares that again become available for issuance under the 2013 Stock Incentive Plan. In addition, shares originally reserved for issuance under our 2008 Stock Plan but which are not issued or subject to outstanding grants on the effective date of the 2013 Stock Incentive Plan, and shares subject to outstanding options under our 2008 Stock Plan on the effective date of the 2013 Stock Incentive Plan that are subsequently forfeited or terminated for any reason before being exercised, and shares subject to vesting restrictions under the 2008 Stock Plan that are subsequently forfeited, up to a number of additional shares not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gridSpan w:val="3"/>
          </w:tcPr>
          <w:p>
            <w:pPr>
              <w:spacing w:after="0"/>
              <w:rPr>
                <w:sz w:val="20"/>
                <w:szCs w:val="20"/>
                <w:color w:val="auto"/>
              </w:rPr>
            </w:pPr>
            <w:r>
              <w:rPr>
                <w:rFonts w:ascii="Arial" w:cs="Arial" w:eastAsia="Arial" w:hAnsi="Arial"/>
                <w:sz w:val="17"/>
                <w:szCs w:val="17"/>
                <w:color w:val="auto"/>
              </w:rPr>
              <w:t>exceed an aggregate of</w:t>
            </w:r>
          </w:p>
        </w:tc>
        <w:tc>
          <w:tcPr>
            <w:tcW w:w="9580" w:type="dxa"/>
            <w:vAlign w:val="bottom"/>
            <w:gridSpan w:val="2"/>
          </w:tcPr>
          <w:p>
            <w:pPr>
              <w:jc w:val="right"/>
              <w:spacing w:after="0"/>
              <w:rPr>
                <w:sz w:val="20"/>
                <w:szCs w:val="20"/>
                <w:color w:val="auto"/>
              </w:rPr>
            </w:pPr>
            <w:r>
              <w:rPr>
                <w:rFonts w:ascii="Arial" w:cs="Arial" w:eastAsia="Arial" w:hAnsi="Arial"/>
                <w:sz w:val="17"/>
                <w:szCs w:val="17"/>
                <w:color w:val="auto"/>
                <w:w w:val="93"/>
              </w:rPr>
              <w:t>shares, will again become available for awards under our 2013 Stock Incentive Plan on the date the 2013 Stock Incentive Plan becomes</w:t>
            </w:r>
          </w:p>
        </w:tc>
      </w:tr>
      <w:tr>
        <w:trPr>
          <w:trHeight w:val="216"/>
        </w:trPr>
        <w:tc>
          <w:tcPr>
            <w:tcW w:w="1200" w:type="dxa"/>
            <w:vAlign w:val="bottom"/>
            <w:gridSpan w:val="2"/>
          </w:tcPr>
          <w:p>
            <w:pPr>
              <w:spacing w:after="0"/>
              <w:rPr>
                <w:sz w:val="20"/>
                <w:szCs w:val="20"/>
                <w:color w:val="auto"/>
              </w:rPr>
            </w:pPr>
            <w:r>
              <w:rPr>
                <w:rFonts w:ascii="Arial" w:cs="Arial" w:eastAsia="Arial" w:hAnsi="Arial"/>
                <w:sz w:val="17"/>
                <w:szCs w:val="17"/>
                <w:color w:val="auto"/>
              </w:rPr>
              <w:t>effective.</w:t>
            </w:r>
          </w:p>
        </w:tc>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413"/>
        </w:trPr>
        <w:tc>
          <w:tcPr>
            <w:tcW w:w="320" w:type="dxa"/>
            <w:vAlign w:val="bottom"/>
          </w:tcPr>
          <w:p>
            <w:pPr>
              <w:spacing w:after="0"/>
              <w:rPr>
                <w:sz w:val="24"/>
                <w:szCs w:val="24"/>
                <w:color w:val="auto"/>
              </w:rPr>
            </w:pPr>
          </w:p>
        </w:tc>
        <w:tc>
          <w:tcPr>
            <w:tcW w:w="11100" w:type="dxa"/>
            <w:vAlign w:val="bottom"/>
            <w:gridSpan w:val="4"/>
          </w:tcPr>
          <w:p>
            <w:pPr>
              <w:jc w:val="right"/>
              <w:spacing w:after="0"/>
              <w:rPr>
                <w:sz w:val="20"/>
                <w:szCs w:val="20"/>
                <w:color w:val="auto"/>
              </w:rPr>
            </w:pPr>
            <w:r>
              <w:rPr>
                <w:rFonts w:ascii="Arial" w:cs="Arial" w:eastAsia="Arial" w:hAnsi="Arial"/>
                <w:sz w:val="17"/>
                <w:szCs w:val="17"/>
                <w:color w:val="auto"/>
                <w:w w:val="96"/>
              </w:rPr>
              <w:t>No participant in the 2013 Stock Incentive Plan can receive option grants, restricted shares, stock appreciation rights or stock units totaling more than an</w:t>
            </w:r>
          </w:p>
        </w:tc>
      </w:tr>
      <w:tr>
        <w:trPr>
          <w:trHeight w:val="210"/>
        </w:trPr>
        <w:tc>
          <w:tcPr>
            <w:tcW w:w="1200" w:type="dxa"/>
            <w:vAlign w:val="bottom"/>
            <w:gridSpan w:val="2"/>
          </w:tcPr>
          <w:p>
            <w:pPr>
              <w:spacing w:after="0"/>
              <w:rPr>
                <w:sz w:val="20"/>
                <w:szCs w:val="20"/>
                <w:color w:val="auto"/>
              </w:rPr>
            </w:pPr>
            <w:r>
              <w:rPr>
                <w:rFonts w:ascii="Arial" w:cs="Arial" w:eastAsia="Arial" w:hAnsi="Arial"/>
                <w:sz w:val="17"/>
                <w:szCs w:val="17"/>
                <w:color w:val="auto"/>
              </w:rPr>
              <w:t>aggregate of</w:t>
            </w:r>
          </w:p>
        </w:tc>
        <w:tc>
          <w:tcPr>
            <w:tcW w:w="10220" w:type="dxa"/>
            <w:vAlign w:val="bottom"/>
            <w:gridSpan w:val="3"/>
          </w:tcPr>
          <w:p>
            <w:pPr>
              <w:jc w:val="right"/>
              <w:spacing w:after="0"/>
              <w:rPr>
                <w:sz w:val="20"/>
                <w:szCs w:val="20"/>
                <w:color w:val="auto"/>
              </w:rPr>
            </w:pPr>
            <w:r>
              <w:rPr>
                <w:rFonts w:ascii="Arial" w:cs="Arial" w:eastAsia="Arial" w:hAnsi="Arial"/>
                <w:sz w:val="17"/>
                <w:szCs w:val="17"/>
                <w:color w:val="auto"/>
                <w:w w:val="96"/>
              </w:rPr>
              <w:t>shares in any calendar year, except in the participant's first year of employment in which the participant may receive equity awards totaling up</w:t>
            </w:r>
          </w:p>
        </w:tc>
      </w:tr>
      <w:tr>
        <w:trPr>
          <w:trHeight w:val="210"/>
        </w:trPr>
        <w:tc>
          <w:tcPr>
            <w:tcW w:w="320" w:type="dxa"/>
            <w:vAlign w:val="bottom"/>
          </w:tcPr>
          <w:p>
            <w:pPr>
              <w:spacing w:after="0"/>
              <w:rPr>
                <w:sz w:val="20"/>
                <w:szCs w:val="20"/>
                <w:color w:val="auto"/>
              </w:rPr>
            </w:pPr>
            <w:r>
              <w:rPr>
                <w:rFonts w:ascii="Arial" w:cs="Arial" w:eastAsia="Arial" w:hAnsi="Arial"/>
                <w:sz w:val="17"/>
                <w:szCs w:val="17"/>
                <w:color w:val="auto"/>
              </w:rPr>
              <w:t>to</w:t>
            </w:r>
          </w:p>
        </w:tc>
        <w:tc>
          <w:tcPr>
            <w:tcW w:w="7080" w:type="dxa"/>
            <w:vAlign w:val="bottom"/>
            <w:gridSpan w:val="3"/>
          </w:tcPr>
          <w:p>
            <w:pPr>
              <w:jc w:val="right"/>
              <w:ind w:right="175"/>
              <w:spacing w:after="0"/>
              <w:rPr>
                <w:sz w:val="20"/>
                <w:szCs w:val="20"/>
                <w:color w:val="auto"/>
              </w:rPr>
            </w:pPr>
            <w:r>
              <w:rPr>
                <w:rFonts w:ascii="Arial" w:cs="Arial" w:eastAsia="Arial" w:hAnsi="Arial"/>
                <w:sz w:val="17"/>
                <w:szCs w:val="17"/>
                <w:color w:val="auto"/>
                <w:w w:val="95"/>
              </w:rPr>
              <w:t>shares. No participant in the 2013 Stock Incentive Plan may be paid more than an aggregate of</w:t>
            </w:r>
          </w:p>
        </w:tc>
        <w:tc>
          <w:tcPr>
            <w:tcW w:w="4020" w:type="dxa"/>
            <w:vAlign w:val="bottom"/>
          </w:tcPr>
          <w:p>
            <w:pPr>
              <w:jc w:val="right"/>
              <w:spacing w:after="0"/>
              <w:rPr>
                <w:sz w:val="20"/>
                <w:szCs w:val="20"/>
                <w:color w:val="auto"/>
              </w:rPr>
            </w:pPr>
            <w:r>
              <w:rPr>
                <w:rFonts w:ascii="Arial" w:cs="Arial" w:eastAsia="Arial" w:hAnsi="Arial"/>
                <w:sz w:val="17"/>
                <w:szCs w:val="17"/>
                <w:color w:val="auto"/>
                <w:w w:val="97"/>
              </w:rPr>
              <w:t>in cash during any calendar year with respect to equity</w:t>
            </w:r>
          </w:p>
        </w:tc>
      </w:tr>
      <w:tr>
        <w:trPr>
          <w:trHeight w:val="216"/>
        </w:trPr>
        <w:tc>
          <w:tcPr>
            <w:tcW w:w="7400" w:type="dxa"/>
            <w:vAlign w:val="bottom"/>
            <w:gridSpan w:val="4"/>
          </w:tcPr>
          <w:p>
            <w:pPr>
              <w:spacing w:after="0"/>
              <w:rPr>
                <w:sz w:val="20"/>
                <w:szCs w:val="20"/>
                <w:color w:val="auto"/>
              </w:rPr>
            </w:pPr>
            <w:r>
              <w:rPr>
                <w:rFonts w:ascii="Arial" w:cs="Arial" w:eastAsia="Arial" w:hAnsi="Arial"/>
                <w:sz w:val="17"/>
                <w:szCs w:val="17"/>
                <w:color w:val="auto"/>
              </w:rPr>
              <w:t>awards that are payable in cash.</w:t>
            </w:r>
          </w:p>
        </w:tc>
        <w:tc>
          <w:tcPr>
            <w:tcW w:w="4020" w:type="dxa"/>
            <w:vAlign w:val="bottom"/>
          </w:tcPr>
          <w:p>
            <w:pPr>
              <w:spacing w:after="0"/>
              <w:rPr>
                <w:sz w:val="18"/>
                <w:szCs w:val="18"/>
                <w:color w:val="auto"/>
              </w:rPr>
            </w:pPr>
          </w:p>
        </w:tc>
      </w:tr>
      <w:tr>
        <w:trPr>
          <w:trHeight w:val="419"/>
        </w:trPr>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60" w:type="dxa"/>
            <w:vAlign w:val="bottom"/>
          </w:tcPr>
          <w:p>
            <w:pPr>
              <w:jc w:val="right"/>
              <w:ind w:right="1475"/>
              <w:spacing w:after="0"/>
              <w:rPr>
                <w:sz w:val="20"/>
                <w:szCs w:val="20"/>
                <w:color w:val="auto"/>
              </w:rPr>
            </w:pPr>
            <w:r>
              <w:rPr>
                <w:rFonts w:ascii="Arial" w:cs="Arial" w:eastAsia="Arial" w:hAnsi="Arial"/>
                <w:sz w:val="17"/>
                <w:szCs w:val="17"/>
                <w:color w:val="auto"/>
              </w:rPr>
              <w:t>101</w:t>
            </w:r>
          </w:p>
        </w:tc>
        <w:tc>
          <w:tcPr>
            <w:tcW w:w="4020" w:type="dxa"/>
            <w:vAlign w:val="bottom"/>
          </w:tcPr>
          <w:p>
            <w:pPr>
              <w:spacing w:after="0"/>
              <w:rPr>
                <w:sz w:val="24"/>
                <w:szCs w:val="24"/>
                <w:color w:val="auto"/>
              </w:rPr>
            </w:pPr>
          </w:p>
        </w:tc>
      </w:tr>
      <w:tr>
        <w:trPr>
          <w:trHeight w:val="222"/>
        </w:trPr>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76"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 stock option is the right to purchase a certain number of shares of stock, at a certain exercise price, in the future. Under our 2013</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No incentive stock option can be granted to an employee if as a result of the grant, the employee would have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that 1/4th of the total number of shares subject to the options will vest and become exercisable 12 months after the vesting commencement date for options granted, and the remaining options will vest and become exercisable at a rate of 1/48th of the total number of shares subject to the options each month thereafter. Each stock option agreement sets forth the term of the options, which is prohibited from exceeding ten years (five years in the case of an incentive stock option granted to any holder of more than 10% of our voting shares), and the extent to which the optionee will have the right to exercise the option following termination of the optionee's service with the company. Payment of the exercise price may be made in cash or cash equivalents or, if provided for in the stock option agreement evidencing the award, (i)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04" w:lineRule="exact"/>
        <w:rPr>
          <w:rFonts w:ascii="Arial" w:cs="Arial" w:eastAsia="Arial" w:hAnsi="Arial"/>
          <w:sz w:val="16"/>
          <w:szCs w:val="16"/>
          <w:color w:val="auto"/>
        </w:rPr>
      </w:pPr>
    </w:p>
    <w:p>
      <w:pPr>
        <w:jc w:val="both"/>
        <w:ind w:left="1060" w:hanging="531"/>
        <w:spacing w:after="0" w:line="301" w:lineRule="auto"/>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 share award that may be subject to vesting conditioned upon continued service, the achievement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objectives or the satisfaction of any other condition as specified in a restricted stock agreement. Participants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 without payment by the recipient.</w:t>
      </w:r>
    </w:p>
    <w:p>
      <w:pPr>
        <w:spacing w:after="0" w:line="176" w:lineRule="exact"/>
        <w:rPr>
          <w:rFonts w:ascii="Arial" w:cs="Arial" w:eastAsia="Arial" w:hAnsi="Arial"/>
          <w:sz w:val="15"/>
          <w:szCs w:val="15"/>
          <w:color w:val="auto"/>
        </w:rPr>
      </w:pPr>
    </w:p>
    <w:p>
      <w:pPr>
        <w:jc w:val="both"/>
        <w:ind w:left="1060" w:hanging="531"/>
        <w:spacing w:after="0" w:line="26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at a future date upon the satisfaction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03"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typically will provide for payments to the recipient based upon increases in the price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over the exercise price of the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352" w:lineRule="auto"/>
        <w:tabs>
          <w:tab w:leader="none" w:pos="10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w:t>
      </w:r>
    </w:p>
    <w:p>
      <w:pPr>
        <w:spacing w:after="0" w:line="149" w:lineRule="exact"/>
        <w:rPr>
          <w:rFonts w:ascii="Arial" w:cs="Arial" w:eastAsia="Arial" w:hAnsi="Arial"/>
          <w:sz w:val="15"/>
          <w:szCs w:val="15"/>
          <w:color w:val="auto"/>
        </w:rPr>
      </w:pPr>
    </w:p>
    <w:p>
      <w:pPr>
        <w:jc w:val="both"/>
        <w:ind w:left="1060" w:hanging="531"/>
        <w:spacing w:after="0" w:line="296" w:lineRule="auto"/>
        <w:tabs>
          <w:tab w:leader="none" w:pos="10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Nondiscretionary, automatic grants of nonstatutory stock options will be made to outside directors. Any outside director who first joins our board of directors on or after the effective date, will be automatically granted an initial nonstatutory option to purchase shares of our common stock that have a</w:t>
      </w:r>
    </w:p>
    <w:p>
      <w:pPr>
        <w:jc w:val="both"/>
        <w:ind w:left="1060"/>
        <w:spacing w:after="0" w:line="291" w:lineRule="auto"/>
        <w:rPr>
          <w:rFonts w:ascii="Arial" w:cs="Arial" w:eastAsia="Arial" w:hAnsi="Arial"/>
          <w:sz w:val="15"/>
          <w:szCs w:val="15"/>
          <w:color w:val="auto"/>
        </w:rPr>
      </w:pPr>
      <w:r>
        <w:rPr>
          <w:rFonts w:ascii="Arial" w:cs="Arial" w:eastAsia="Arial" w:hAnsi="Arial"/>
          <w:sz w:val="15"/>
          <w:szCs w:val="15"/>
          <w:color w:val="auto"/>
        </w:rPr>
        <w:t>value of $ , calculated using the fair market value of our common stock on the date of grant, upon first becoming a member of our board of directors. The initial option will vest and become exercisable over four years in equal monthly installments. On the first business day after each of our regularly scheduled annual meetings of stockholders, each outside director will be automatically granted an option to purchase shares of our common</w:t>
      </w:r>
    </w:p>
    <w:p>
      <w:pPr>
        <w:spacing w:after="0" w:line="1" w:lineRule="exact"/>
        <w:rPr>
          <w:rFonts w:ascii="Arial" w:cs="Arial" w:eastAsia="Arial" w:hAnsi="Arial"/>
          <w:sz w:val="15"/>
          <w:szCs w:val="15"/>
          <w:color w:val="auto"/>
        </w:rPr>
      </w:pPr>
    </w:p>
    <w:p>
      <w:pPr>
        <w:jc w:val="both"/>
        <w:ind w:left="1060"/>
        <w:spacing w:after="0" w:line="260" w:lineRule="auto"/>
        <w:rPr>
          <w:rFonts w:ascii="Arial" w:cs="Arial" w:eastAsia="Arial" w:hAnsi="Arial"/>
          <w:sz w:val="15"/>
          <w:szCs w:val="15"/>
          <w:color w:val="auto"/>
        </w:rPr>
      </w:pPr>
      <w:r>
        <w:rPr>
          <w:rFonts w:ascii="Arial" w:cs="Arial" w:eastAsia="Arial" w:hAnsi="Arial"/>
          <w:sz w:val="17"/>
          <w:szCs w:val="17"/>
          <w:color w:val="auto"/>
        </w:rPr>
        <w:t>stock that have a value of $ , calculated using the fair market value of our common stock on the date of grant,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w:t>
      </w:r>
    </w:p>
    <w:p>
      <w:pPr>
        <w:spacing w:after="0" w:line="202" w:lineRule="exact"/>
        <w:rPr>
          <w:rFonts w:ascii="Arial" w:cs="Arial" w:eastAsia="Arial" w:hAnsi="Arial"/>
          <w:sz w:val="15"/>
          <w:szCs w:val="15"/>
          <w:color w:val="auto"/>
        </w:rPr>
      </w:pPr>
    </w:p>
    <w:p>
      <w:pPr>
        <w:jc w:val="both"/>
        <w:ind w:left="1060" w:hanging="531"/>
        <w:spacing w:after="0" w:line="263"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2008 Stock Plan, including the share number in the formula for automatic annual increases, the limitation regarding the total number of shares underlying awards given to an individual participant in any calendar year, the number of shares that can be issued as incentive stock options and other adjustments in order to preserve the benefits of outstanding awards under the 2013 Stock Incentive Plan.</w:t>
      </w:r>
    </w:p>
    <w:p>
      <w:pPr>
        <w:spacing w:after="0" w:line="200"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Generally, if we merge with or into another corporation, we will provide for full exercisability or vesting and accelerated expiration of outstanding awards or settlement of the intrinsic value of the outstanding awards in cash or cash equivalents followed by cancellation of such awards unless the awards are continued if we are the surviving entity, or assumed or substituted for by any surviving entity or a parent or subsidiary of the surviving entity.</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we are involved in an asset acquisition, stock acquisition, merger or similar transaction with another entity, our compensation committee may make awards under the 2013 Stock Incentive Plan by the assumption, substitution or replacement of awards granted by another entity. The terms of such assumed, substituted or replaced awards will be determined by our compensation committee in its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63"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Awards under our 2013 Stock Incentive Plan may be made subject to the attainment of performance criteria including cash flows, earnings per share, earnings before interest, taxes and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regulatory body approval for commercialization of a product or implementation or completion of critical projects.</w:t>
      </w:r>
    </w:p>
    <w:p>
      <w:pPr>
        <w:spacing w:after="0" w:line="213"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2013 Stock Incentive Plan terminates ten years after its initial adoption, unless terminated earlier by our board of directors. Our board of directors may amend or terminate the plan at any time, subject to stockholder approval where required by applicable law. Any amendment or termination may not materially impair the rights of holders of outstanding awards without their consent.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convertible into one share of our common stock upon the completion of this offering. As of August 31, 2013, all of our outstanding convertible preferred stock will convert into 59,989,268 shares of our common stock assuming the conversion immediately upon the closing of this offering.</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82"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See "Description of Capital Stock–Investor Rights Agreement"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We intend to adopt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our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such policy.</w:t>
      </w:r>
    </w:p>
    <w:p>
      <w:pPr>
        <w:spacing w:after="0" w:line="192" w:lineRule="exact"/>
        <w:rPr>
          <w:sz w:val="20"/>
          <w:szCs w:val="20"/>
          <w:color w:val="auto"/>
        </w:rPr>
      </w:pPr>
    </w:p>
    <w:p>
      <w:pPr>
        <w:jc w:val="both"/>
        <w:ind w:firstLine="337"/>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0"/>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August 31,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Applicable percentage ownership is based on 63,936,716 shares of common stock outstanding at August 31, 2013 and assumes the conversion of all outstanding</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shares of our convertible preferred stock into 59,989,268 shares of our common stock. For purposes of the table below, we have assumed that shares of common stock will be outstanding upon completion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August 31, 2013. We did not deem these shares outstanding, however, for the purpose of computing the percentage ownership of any other person.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2720" w:type="dxa"/>
            <w:vAlign w:val="bottom"/>
            <w:gridSpan w:val="5"/>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19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22.22%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3,224,036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77,910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2,195,629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933,776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48,048,056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71.16%</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Arial" w:cs="Arial" w:eastAsia="Arial" w:hAnsi="Arial"/>
                <w:sz w:val="17"/>
                <w:szCs w:val="17"/>
                <w:color w:val="auto"/>
              </w:rPr>
              <w:t>107</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August 31, 2013. Unless otherwise indicated, shares are owned of record and beneficially by the named person.</w:t>
      </w:r>
    </w:p>
    <w:p>
      <w:pPr>
        <w:spacing w:after="0" w:line="205" w:lineRule="exact"/>
        <w:rPr>
          <w:rFonts w:ascii="Arial" w:cs="Arial" w:eastAsia="Arial" w:hAnsi="Arial"/>
          <w:sz w:val="17"/>
          <w:szCs w:val="17"/>
          <w:color w:val="auto"/>
        </w:rPr>
      </w:pPr>
    </w:p>
    <w:p>
      <w:pPr>
        <w:jc w:val="both"/>
        <w:ind w:left="1680" w:hanging="533"/>
        <w:spacing w:after="0" w:line="261"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12,253,179 shares held by Domain Partners VIII, L.P. and 90,922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03" w:lineRule="exact"/>
        <w:rPr>
          <w:rFonts w:ascii="Arial" w:cs="Arial" w:eastAsia="Arial" w:hAnsi="Arial"/>
          <w:sz w:val="17"/>
          <w:szCs w:val="17"/>
          <w:color w:val="auto"/>
        </w:rPr>
      </w:pPr>
    </w:p>
    <w:p>
      <w:pPr>
        <w:jc w:val="both"/>
        <w:ind w:left="1680" w:hanging="533"/>
        <w:spacing w:after="0" w:line="299" w:lineRule="auto"/>
        <w:tabs>
          <w:tab w:leader="none" w:pos="1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Includes 12,697,935 shares of common stock beneficially owned by Kleiner Perkins Caufield &amp; Byers XII, LLC, or KPCB XII; 182,782 shares of common stock beneficially owned by KPCB XII Founders Fund, LLC, or KPCB XII FF; 245,741 shares of common stock beneficially owned by Brook H. Byers, a member of our board of directors; and 1,081,260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76" w:lineRule="exact"/>
        <w:rPr>
          <w:rFonts w:ascii="Arial" w:cs="Arial" w:eastAsia="Arial" w:hAnsi="Arial"/>
          <w:sz w:val="15"/>
          <w:szCs w:val="15"/>
          <w:color w:val="auto"/>
        </w:rPr>
      </w:pPr>
    </w:p>
    <w:p>
      <w:pPr>
        <w:jc w:val="both"/>
        <w:ind w:left="1680" w:hanging="533"/>
        <w:spacing w:after="0" w:line="299" w:lineRule="auto"/>
        <w:tabs>
          <w:tab w:leader="none" w:pos="1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Consists of 14,207,718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directors,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89" w:lineRule="exact"/>
        <w:rPr>
          <w:rFonts w:ascii="Arial" w:cs="Arial" w:eastAsia="Arial" w:hAnsi="Arial"/>
          <w:sz w:val="15"/>
          <w:szCs w:val="15"/>
          <w:color w:val="auto"/>
        </w:rPr>
      </w:pPr>
    </w:p>
    <w:p>
      <w:pPr>
        <w:jc w:val="both"/>
        <w:ind w:left="1680" w:hanging="533"/>
        <w:spacing w:after="0" w:line="301" w:lineRule="auto"/>
        <w:tabs>
          <w:tab w:leader="none" w:pos="1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Consists of 14,379,957 shares held by Versant Venture Capital III, L.P. and 84,929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options to purchase 1,827,695 shares of our common stock which are immediately exercisable, 985,514 of which are subject to the company's right of repurchase on or prior to 60 days after August 31, 2013 and 50,000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65"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Does not include 14,207,718 shares held by TPG Biotechnology Partners II, LP. Dr. Cohen is a partner at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8"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options to purchase 25,000 shares of our common stock which are immediately exercisable, 4,167 of which are subject to the company's right of repurchase on or prior to 60 days after August 31, 2013, which right lapses over time. Also includes 52,910 shares held by Karin Eastham Defined Benefit Plan.</w:t>
      </w:r>
    </w:p>
    <w:p>
      <w:pPr>
        <w:spacing w:after="0" w:line="19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options to purchase 200,000 shares of our common stock which are immediately exercisable. Also includes 1,995,629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options to purchase 600,000 shares of our common stock which are immediately exercisable, all of which are subject to the company's right of repurchase on or prior to 60 days after August 31,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options to purchase 933,776 shares of our common stock which are immediately exercisable, 273,959 of which are subject to the company's right of repurchase on or prior to 60 days after August 31,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options to purchase 3,586,471 shares of our common stock which are immediately exercisable, 1,863,640 of which are subject to the company's right of repurchase on or prior to 60 days after August 31, 2013, which right lapses over time and 50,000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completion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completion of this offering, our authorized capital stock will consist of shares, with a par value of $0.001 per share, of which:</w:t>
      </w:r>
    </w:p>
    <w:p>
      <w:pPr>
        <w:spacing w:after="0" w:line="249"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shares will be designated as preferred stock.</w:t>
      </w:r>
    </w:p>
    <w:p>
      <w:pPr>
        <w:spacing w:after="0" w:line="224"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As of August 31, 2013, we had outstanding 63,936,716 shares of common stock held of record by 51 stockholders, assuming the automatic conversion of all outstanding shares of preferred stock into common stock immediately prior to the closing of this offering. Upon completion of this offering, no shares of preferred stock will be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53"/>
        <w:spacing w:after="0" w:line="280" w:lineRule="auto"/>
        <w:rPr>
          <w:sz w:val="20"/>
          <w:szCs w:val="20"/>
          <w:color w:val="auto"/>
        </w:rPr>
      </w:pPr>
      <w:r>
        <w:rPr>
          <w:rFonts w:ascii="Arial" w:cs="Arial" w:eastAsia="Arial" w:hAnsi="Arial"/>
          <w:sz w:val="16"/>
          <w:szCs w:val="16"/>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 million, each share of each series of preferred stock shall automatically be converted into shares of common stock at the then-effective conversion price for such series. Accordingly, as of August 31, 2013, upon the closing of this offering, each outstanding share of our Series A preferred stock will be converted into one share of common stock, or an aggregate of 22,399,999 shares of common stock, each outstanding share of Series B preferred stock will be converted into one share of common stock or an aggregate of 22,748,000 shares of common stock, and each outstanding share of Series C preferred stock will be converted into one share of common stock, or an aggregate of 14,841,269 shares of common stock.</w:t>
      </w:r>
    </w:p>
    <w:p>
      <w:pPr>
        <w:spacing w:after="0" w:line="175" w:lineRule="exact"/>
        <w:rPr>
          <w:sz w:val="20"/>
          <w:szCs w:val="20"/>
          <w:color w:val="auto"/>
        </w:rPr>
      </w:pPr>
    </w:p>
    <w:p>
      <w:pPr>
        <w:jc w:val="both"/>
        <w:ind w:firstLine="347"/>
        <w:spacing w:after="0" w:line="296" w:lineRule="auto"/>
        <w:rPr>
          <w:sz w:val="20"/>
          <w:szCs w:val="20"/>
          <w:color w:val="auto"/>
        </w:rPr>
      </w:pPr>
      <w:r>
        <w:rPr>
          <w:rFonts w:ascii="Arial" w:cs="Arial" w:eastAsia="Arial" w:hAnsi="Arial"/>
          <w:sz w:val="15"/>
          <w:szCs w:val="15"/>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w:t>
      </w:r>
    </w:p>
    <w:p>
      <w:pPr>
        <w:jc w:val="both"/>
        <w:spacing w:after="0" w:line="266" w:lineRule="auto"/>
        <w:rPr>
          <w:sz w:val="20"/>
          <w:szCs w:val="20"/>
          <w:color w:val="auto"/>
        </w:rPr>
      </w:pPr>
      <w:r>
        <w:rPr>
          <w:rFonts w:ascii="Arial" w:cs="Arial" w:eastAsia="Arial" w:hAnsi="Arial"/>
          <w:sz w:val="17"/>
          <w:szCs w:val="17"/>
          <w:color w:val="auto"/>
        </w:rPr>
        <w:t>time up to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any series, but not below the number of shares of that series then outstanding, without any further vote or action by the stockholders.</w:t>
      </w:r>
    </w:p>
    <w:p>
      <w:pPr>
        <w:spacing w:after="0" w:line="236"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jc w:val="both"/>
        <w:ind w:firstLine="346"/>
        <w:spacing w:after="0" w:line="262" w:lineRule="auto"/>
        <w:rPr>
          <w:sz w:val="20"/>
          <w:szCs w:val="20"/>
          <w:color w:val="auto"/>
        </w:rPr>
      </w:pPr>
      <w:r>
        <w:rPr>
          <w:rFonts w:ascii="Arial" w:cs="Arial" w:eastAsia="Arial" w:hAnsi="Arial"/>
          <w:sz w:val="17"/>
          <w:szCs w:val="17"/>
          <w:color w:val="auto"/>
        </w:rPr>
        <w:t>As of August 31, 2013, we had a warrant outstanding to purchase 99,206 shares of our Series C preferred stock at an exercise price of $1.89 per share, which will become exercisable for the same number of shares of our common stock upon completion of this offering.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After this offering, the holders of 59,989,268 shares of our common stock issued upon the conversion of our preferred stock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exceptions, be entitled to include their shares in our registration statement. These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07"/>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completion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completion of this offering include provisions that:</w:t>
      </w:r>
    </w:p>
    <w:p>
      <w:pPr>
        <w:spacing w:after="0" w:line="236"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7"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tabs>
          <w:tab w:leader="none" w:pos="5200" w:val="left"/>
          <w:tab w:leader="none" w:pos="834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7"/>
          <w:szCs w:val="17"/>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394"/>
        <w:spacing w:after="0" w:line="276" w:lineRule="auto"/>
        <w:rPr>
          <w:sz w:val="20"/>
          <w:szCs w:val="20"/>
          <w:color w:val="auto"/>
        </w:rPr>
      </w:pPr>
      <w:r>
        <w:rPr>
          <w:rFonts w:ascii="Arial" w:cs="Arial" w:eastAsia="Arial" w:hAnsi="Arial"/>
          <w:sz w:val="16"/>
          <w:szCs w:val="16"/>
          <w:color w:val="auto"/>
        </w:rPr>
        <w:t>Based on the number of shares outstanding as of , 2013, upon the completion of this offering a total of shares of common stock will be outstanding, assuming that there are no exercises of options or warrants after , 2013 and no exercise of the underwriters' over-allotment option. Of these shares, all shares of common stock sold in this offering, and any shares sold upon exercise of the underwriters' over-allotment option, will be freely tradable 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public market without restriction or further registration under the Securities Act of 1933, unless these shares are held by "affiliates," as that term is defined in Rule 144 under the Securities Act.</w:t>
      </w:r>
    </w:p>
    <w:p>
      <w:pPr>
        <w:spacing w:after="0" w:line="175"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400" w:type="dxa"/>
            <w:vAlign w:val="bottom"/>
          </w:tcPr>
          <w:p>
            <w:pPr>
              <w:spacing w:after="0"/>
              <w:rPr>
                <w:sz w:val="18"/>
                <w:szCs w:val="18"/>
                <w:color w:val="auto"/>
              </w:rPr>
            </w:pPr>
          </w:p>
        </w:tc>
        <w:tc>
          <w:tcPr>
            <w:tcW w:w="12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1"/>
        </w:trPr>
        <w:tc>
          <w:tcPr>
            <w:tcW w:w="1880" w:type="dxa"/>
            <w:vAlign w:val="bottom"/>
            <w:gridSpan w:val="3"/>
          </w:tcPr>
          <w:p>
            <w:pPr>
              <w:ind w:left="360"/>
              <w:spacing w:after="0"/>
              <w:rPr>
                <w:sz w:val="20"/>
                <w:szCs w:val="20"/>
                <w:color w:val="auto"/>
              </w:rPr>
            </w:pPr>
            <w:r>
              <w:rPr>
                <w:rFonts w:ascii="Arial" w:cs="Arial" w:eastAsia="Arial" w:hAnsi="Arial"/>
                <w:sz w:val="17"/>
                <w:szCs w:val="17"/>
                <w:color w:val="auto"/>
              </w:rPr>
              <w:t>In addition, of the</w:t>
            </w:r>
          </w:p>
        </w:tc>
        <w:tc>
          <w:tcPr>
            <w:tcW w:w="5620" w:type="dxa"/>
            <w:vAlign w:val="bottom"/>
          </w:tcPr>
          <w:p>
            <w:pPr>
              <w:ind w:left="260"/>
              <w:spacing w:after="0"/>
              <w:rPr>
                <w:sz w:val="20"/>
                <w:szCs w:val="20"/>
                <w:color w:val="auto"/>
              </w:rPr>
            </w:pPr>
            <w:r>
              <w:rPr>
                <w:rFonts w:ascii="Arial" w:cs="Arial" w:eastAsia="Arial" w:hAnsi="Arial"/>
                <w:sz w:val="17"/>
                <w:szCs w:val="17"/>
                <w:color w:val="auto"/>
                <w:w w:val="95"/>
              </w:rPr>
              <w:t>shares of our common stock that were subject to options outstanding as of</w:t>
            </w:r>
          </w:p>
        </w:tc>
        <w:tc>
          <w:tcPr>
            <w:tcW w:w="2640" w:type="dxa"/>
            <w:vAlign w:val="bottom"/>
            <w:gridSpan w:val="3"/>
          </w:tcPr>
          <w:p>
            <w:pPr>
              <w:ind w:left="260"/>
              <w:spacing w:after="0"/>
              <w:rPr>
                <w:sz w:val="20"/>
                <w:szCs w:val="20"/>
                <w:color w:val="auto"/>
              </w:rPr>
            </w:pPr>
            <w:r>
              <w:rPr>
                <w:rFonts w:ascii="Arial" w:cs="Arial" w:eastAsia="Arial" w:hAnsi="Arial"/>
                <w:sz w:val="17"/>
                <w:szCs w:val="17"/>
                <w:color w:val="auto"/>
              </w:rPr>
              <w:t>, 2013, options to purchase</w:t>
            </w:r>
          </w:p>
        </w:tc>
        <w:tc>
          <w:tcPr>
            <w:tcW w:w="1280" w:type="dxa"/>
            <w:vAlign w:val="bottom"/>
            <w:gridSpan w:val="2"/>
          </w:tcPr>
          <w:p>
            <w:pPr>
              <w:ind w:left="20"/>
              <w:spacing w:after="0"/>
              <w:rPr>
                <w:sz w:val="20"/>
                <w:szCs w:val="20"/>
                <w:color w:val="auto"/>
              </w:rPr>
            </w:pPr>
            <w:r>
              <w:rPr>
                <w:rFonts w:ascii="Arial" w:cs="Arial" w:eastAsia="Arial" w:hAnsi="Arial"/>
                <w:sz w:val="17"/>
                <w:szCs w:val="17"/>
                <w:color w:val="auto"/>
                <w:w w:val="88"/>
              </w:rPr>
              <w:t>shares of common</w:t>
            </w:r>
          </w:p>
        </w:tc>
      </w:tr>
      <w:tr>
        <w:trPr>
          <w:trHeight w:val="216"/>
        </w:trPr>
        <w:tc>
          <w:tcPr>
            <w:tcW w:w="1880" w:type="dxa"/>
            <w:vAlign w:val="bottom"/>
            <w:gridSpan w:val="3"/>
          </w:tcPr>
          <w:p>
            <w:pPr>
              <w:spacing w:after="0"/>
              <w:rPr>
                <w:sz w:val="20"/>
                <w:szCs w:val="20"/>
                <w:color w:val="auto"/>
              </w:rPr>
            </w:pPr>
            <w:r>
              <w:rPr>
                <w:rFonts w:ascii="Arial" w:cs="Arial" w:eastAsia="Arial" w:hAnsi="Arial"/>
                <w:sz w:val="17"/>
                <w:szCs w:val="17"/>
                <w:color w:val="auto"/>
              </w:rPr>
              <w:t>stock were vested as of</w:t>
            </w:r>
          </w:p>
        </w:tc>
        <w:tc>
          <w:tcPr>
            <w:tcW w:w="9540" w:type="dxa"/>
            <w:vAlign w:val="bottom"/>
            <w:gridSpan w:val="6"/>
          </w:tcPr>
          <w:p>
            <w:pPr>
              <w:ind w:left="720"/>
              <w:spacing w:after="0"/>
              <w:rPr>
                <w:sz w:val="20"/>
                <w:szCs w:val="20"/>
                <w:color w:val="auto"/>
              </w:rPr>
            </w:pPr>
            <w:r>
              <w:rPr>
                <w:rFonts w:ascii="Arial" w:cs="Arial" w:eastAsia="Arial" w:hAnsi="Arial"/>
                <w:sz w:val="17"/>
                <w:szCs w:val="17"/>
                <w:color w:val="auto"/>
                <w:w w:val="94"/>
              </w:rPr>
              <w:t>, 2013 and will be eligible for sale at various times beginning more than 180 days following the effective date of this offering.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79" w:lineRule="exact"/>
        <w:rPr>
          <w:sz w:val="20"/>
          <w:szCs w:val="20"/>
          <w:color w:val="auto"/>
        </w:rPr>
      </w:pPr>
    </w:p>
    <w:p>
      <w:pPr>
        <w:ind w:left="520"/>
        <w:spacing w:after="0"/>
        <w:tabs>
          <w:tab w:leader="none" w:pos="1040" w:val="left"/>
          <w:tab w:leader="none" w:pos="8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After this offering, the holders of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p>
      <w:pPr>
        <w:ind w:left="1160"/>
        <w:spacing w:after="0"/>
        <w:tabs>
          <w:tab w:leader="none" w:pos="918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u w:val="single" w:color="auto"/>
          <w:color w:val="auto"/>
        </w:rPr>
        <w:t>Number of Shares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793740" cy="133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27305</wp:posOffset>
            </wp:positionV>
            <wp:extent cx="715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31115</wp:posOffset>
            </wp:positionV>
            <wp:extent cx="715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47625</wp:posOffset>
            </wp:positionV>
            <wp:extent cx="715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5"/>
          </w:tcPr>
          <w:p>
            <w:pPr>
              <w:jc w:val="right"/>
              <w:ind w:right="180"/>
              <w:spacing w:after="0"/>
              <w:rPr>
                <w:sz w:val="20"/>
                <w:szCs w:val="20"/>
                <w:color w:val="auto"/>
              </w:rPr>
            </w:pPr>
            <w:r>
              <w:rPr>
                <w:rFonts w:ascii="Arial" w:cs="Arial" w:eastAsia="Arial" w:hAnsi="Arial"/>
                <w:sz w:val="17"/>
                <w:szCs w:val="17"/>
                <w:color w:val="auto"/>
                <w:w w:val="90"/>
              </w:rPr>
              <w:t>amounts are shown assuming both no exercise and full exercise of the underwriters' option to purchase up to an additional</w:t>
            </w:r>
          </w:p>
        </w:tc>
        <w:tc>
          <w:tcPr>
            <w:tcW w:w="1940" w:type="dxa"/>
            <w:vAlign w:val="bottom"/>
            <w:gridSpan w:val="6"/>
          </w:tcPr>
          <w:p>
            <w:pPr>
              <w:ind w:left="260"/>
              <w:spacing w:after="0"/>
              <w:rPr>
                <w:sz w:val="20"/>
                <w:szCs w:val="20"/>
                <w:color w:val="auto"/>
              </w:rPr>
            </w:pPr>
            <w:r>
              <w:rPr>
                <w:rFonts w:ascii="Arial" w:cs="Arial" w:eastAsia="Arial" w:hAnsi="Arial"/>
                <w:sz w:val="17"/>
                <w:szCs w:val="17"/>
                <w:color w:val="auto"/>
                <w:w w:val="87"/>
              </w:rPr>
              <w:t>shares of common stock.</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1"/>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tcPr>
          <w:p>
            <w:pPr>
              <w:spacing w:after="0"/>
              <w:rPr>
                <w:sz w:val="18"/>
                <w:szCs w:val="18"/>
                <w:color w:val="auto"/>
              </w:rPr>
            </w:pP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jc w:val="right"/>
              <w:ind w:right="275"/>
              <w:spacing w:after="0"/>
              <w:rPr>
                <w:sz w:val="20"/>
                <w:szCs w:val="20"/>
                <w:color w:val="auto"/>
              </w:rPr>
            </w:pPr>
            <w:r>
              <w:rPr>
                <w:rFonts w:ascii="Arial" w:cs="Arial" w:eastAsia="Arial" w:hAnsi="Arial"/>
                <w:sz w:val="17"/>
                <w:szCs w:val="17"/>
                <w:color w:val="auto"/>
                <w:w w:val="97"/>
              </w:rPr>
              <w:t>The estimated offering expenses payable by us, exclusive of the underwriting discounts and commissions, are approximately $</w:t>
            </w:r>
          </w:p>
        </w:tc>
        <w:tc>
          <w:tcPr>
            <w:tcW w:w="1740" w:type="dxa"/>
            <w:vAlign w:val="bottom"/>
          </w:tcPr>
          <w:p>
            <w:pPr>
              <w:ind w:left="340"/>
              <w:spacing w:after="0"/>
              <w:rPr>
                <w:sz w:val="20"/>
                <w:szCs w:val="20"/>
                <w:color w:val="auto"/>
              </w:rPr>
            </w:pPr>
            <w:r>
              <w:rPr>
                <w:rFonts w:ascii="Arial" w:cs="Arial" w:eastAsia="Arial" w:hAnsi="Arial"/>
                <w:sz w:val="17"/>
                <w:szCs w:val="17"/>
                <w:color w:val="auto"/>
                <w:w w:val="90"/>
              </w:rPr>
              <w:t>. We have agreed to</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w w:val="95"/>
              </w:rPr>
              <w:t>reimburse the underwriters for certain expenses in an amount up to $</w:t>
            </w:r>
          </w:p>
        </w:tc>
        <w:tc>
          <w:tcPr>
            <w:tcW w:w="4720" w:type="dxa"/>
            <w:vAlign w:val="bottom"/>
          </w:tcPr>
          <w:p>
            <w:pPr>
              <w:jc w:val="right"/>
              <w:ind w:right="4355"/>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419"/>
        </w:trPr>
        <w:tc>
          <w:tcPr>
            <w:tcW w:w="4960" w:type="dxa"/>
            <w:vAlign w:val="bottom"/>
          </w:tcPr>
          <w:p>
            <w:pPr>
              <w:spacing w:after="0"/>
              <w:rPr>
                <w:sz w:val="24"/>
                <w:szCs w:val="24"/>
                <w:color w:val="auto"/>
              </w:rPr>
            </w:pPr>
          </w:p>
        </w:tc>
        <w:tc>
          <w:tcPr>
            <w:tcW w:w="4720" w:type="dxa"/>
            <w:vAlign w:val="bottom"/>
          </w:tcPr>
          <w:p>
            <w:pPr>
              <w:jc w:val="right"/>
              <w:ind w:right="3755"/>
              <w:spacing w:after="0"/>
              <w:rPr>
                <w:sz w:val="20"/>
                <w:szCs w:val="20"/>
                <w:color w:val="auto"/>
              </w:rPr>
            </w:pPr>
            <w:r>
              <w:rPr>
                <w:rFonts w:ascii="Arial" w:cs="Arial" w:eastAsia="Arial" w:hAnsi="Arial"/>
                <w:sz w:val="17"/>
                <w:szCs w:val="17"/>
                <w:color w:val="auto"/>
              </w:rPr>
              <w:t>120</w:t>
            </w:r>
          </w:p>
        </w:tc>
        <w:tc>
          <w:tcPr>
            <w:tcW w:w="1740" w:type="dxa"/>
            <w:vAlign w:val="bottom"/>
          </w:tcPr>
          <w:p>
            <w:pPr>
              <w:spacing w:after="0"/>
              <w:rPr>
                <w:sz w:val="24"/>
                <w:szCs w:val="24"/>
                <w:color w:val="auto"/>
              </w:rPr>
            </w:pPr>
          </w:p>
        </w:tc>
      </w:tr>
      <w:tr>
        <w:trPr>
          <w:trHeight w:val="222"/>
        </w:trPr>
        <w:tc>
          <w:tcPr>
            <w:tcW w:w="4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are subject to certain customary exceptions.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31">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8"/>
              </w:rPr>
              <w:t>Common stock, $0.001 par value; 60,000,000 and 77,000,000 shares authorized, 2,379,782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2,670,767 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2,601,352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48,961,439</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60" w:type="dxa"/>
            <w:vAlign w:val="bottom"/>
          </w:tcPr>
          <w:p>
            <w:pPr>
              <w:spacing w:after="0"/>
              <w:rPr>
                <w:sz w:val="7"/>
                <w:szCs w:val="7"/>
                <w:color w:val="auto"/>
              </w:rPr>
            </w:pPr>
          </w:p>
        </w:tc>
        <w:tc>
          <w:tcPr>
            <w:tcW w:w="18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30,249,334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$ 30,674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2,227,387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7,449,335</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7,449,330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152,395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6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2,379,782</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per share, net of issuance costs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7,936,508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290,985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53,084,507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$ 63,372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2,670,767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59" w:lineRule="exact"/>
        <w:rPr>
          <w:sz w:val="20"/>
          <w:szCs w:val="20"/>
          <w:color w:val="auto"/>
        </w:rPr>
      </w:pPr>
    </w:p>
    <w:p>
      <w:pPr>
        <w:ind w:left="520" w:right="8040" w:hanging="515"/>
        <w:spacing w:after="0" w:line="517" w:lineRule="auto"/>
        <w:tabs>
          <w:tab w:leader="none" w:pos="166"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24" w:lineRule="exact"/>
        <w:rPr>
          <w:sz w:val="20"/>
          <w:szCs w:val="20"/>
          <w:color w:val="auto"/>
        </w:rPr>
      </w:pPr>
    </w:p>
    <w:p>
      <w:pPr>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cards and a letter of credit totaling $118,000 which is related to security for the lease of the Company's office space.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70"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software is included in property and equipment, and had a net book value of $58,000 and $184,000 and as of December 31, 2011 and 2012,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recognition and measurement of tax benefits requires significant judgment. Judgments concerning the recognition and measurement of a tax benefit may change as new information becomes available.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46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50,866,951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61,995,213</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2,601,352</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46,360,087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48,961,439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22,748,000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22,748,000</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7,936,508</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5,291,005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1,899,834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52,766,785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68,675,713</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2,824,999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4,946,182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0.31</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7"/>
                <w:szCs w:val="17"/>
                <w:color w:val="auto"/>
              </w:rPr>
              <w:t>(1,474,500)</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1,474,500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549,335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(549,335)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1,899,834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5,718,952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2,972,400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(3,727,795)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3,727,795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245,056</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(245,056)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(290,985)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0.52</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8,910,706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88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4,166,004</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8,472,770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0.51</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0"/>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Options Outstanding</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(Years)</w:t>
            </w: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1,176,312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$0.20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973,557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778,711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1,313,971</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$0.60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934,375</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428,382</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3,458,628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438,628</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$1.00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269,167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30,000</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8,910,706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8.17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4,166,004</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$0.42 and $0.49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$0.25 and $0.35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$0.16 and $0.22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$0.60 and $1.00 per share, respectively.</w:t>
      </w:r>
    </w:p>
    <w:p>
      <w:pPr>
        <w:spacing w:after="0" w:line="163"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1,396,341 shares of restricted common stock at $0.005 per share, of which 62,060 shares were unvested as of January 1, 2011. These shares had a grant date fair value of $0.015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438,628 fully vested stock options at a fair value of $0.44 resulting in $193,000 in expense in the year ended December 31, 2011. The option fair value was determined using the Black-Scholes option-pricing valuation model. The option exercise price was $0.67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402,007 fully vested stock options at a fair value of $0.65 resulting in $259,000 in expense in the year ended December 31, 2012. The fair value of the options was determined using the Black-Scholes option-pricing valuation model with the following assumptions: fair market value of common stock of $1.00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50,000 shares of its common stock with an exercise price of $1.00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61">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61">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w w:val="99"/>
              </w:rPr>
              <w:t>Long-term debt, net of discount</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Commitments and Contingencies</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9"/>
              </w:rPr>
              <w:t>Common stock, $0.001 par value; 77,000,000 shares authorized; 2,670,767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2"/>
              </w:rPr>
              <w:t>3,714,902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(unaudited), respectively;</w:t>
            </w:r>
          </w:p>
        </w:tc>
        <w:tc>
          <w:tcPr>
            <w:tcW w:w="3620" w:type="dxa"/>
            <w:vAlign w:val="bottom"/>
          </w:tcPr>
          <w:p>
            <w:pPr>
              <w:ind w:left="40"/>
              <w:spacing w:after="0"/>
              <w:rPr>
                <w:sz w:val="20"/>
                <w:szCs w:val="20"/>
                <w:color w:val="auto"/>
              </w:rPr>
            </w:pPr>
            <w:r>
              <w:rPr>
                <w:rFonts w:ascii="Arial" w:cs="Arial" w:eastAsia="Arial" w:hAnsi="Arial"/>
                <w:sz w:val="17"/>
                <w:szCs w:val="17"/>
                <w:color w:val="auto"/>
                <w:w w:val="96"/>
              </w:rPr>
              <w:t>shares authorized and 63,704,170 shares issued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81,803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Total 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9"/>
          </w:tcPr>
          <w:p>
            <w:pPr>
              <w:jc w:val="center"/>
              <w:ind w:left="995"/>
              <w:spacing w:after="0"/>
              <w:rPr>
                <w:sz w:val="20"/>
                <w:szCs w:val="20"/>
                <w:color w:val="auto"/>
              </w:rPr>
            </w:pPr>
            <w:r>
              <w:rPr>
                <w:rFonts w:ascii="Arial" w:cs="Arial" w:eastAsia="Arial" w:hAnsi="Arial"/>
                <w:sz w:val="17"/>
                <w:szCs w:val="17"/>
                <w:color w:val="auto"/>
                <w:w w:val="89"/>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center"/>
              <w:ind w:left="695"/>
              <w:spacing w:after="0"/>
              <w:rPr>
                <w:sz w:val="20"/>
                <w:szCs w:val="20"/>
                <w:color w:val="auto"/>
              </w:rPr>
            </w:pPr>
            <w:r>
              <w:rPr>
                <w:rFonts w:ascii="Arial" w:cs="Arial" w:eastAsia="Arial" w:hAnsi="Arial"/>
                <w:sz w:val="17"/>
                <w:szCs w:val="17"/>
                <w:color w:val="auto"/>
                <w:w w:val="91"/>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3,250,863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56,781,744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5"/>
          <w:szCs w:val="15"/>
          <w:color w:val="auto"/>
        </w:rPr>
        <w:t>The pro forma stockholders' equity as of June 30, 2013 presents the Company's stockholders' equity as though all of the Company's convertible preferred stock outstanding had automatically converted into 59,989,268 shares of common stock upon the completion of a qualifying initial public offering ("IPO") of the Company's common stock. In addition, the pro forma stockholders' equity assumes the reclassification of the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timely basis, it could suffer delays in being able to deliver Afirma, a possible loss of revenue, or incur higher costs, any of which could adversely affect its operating results.</w:t>
      </w:r>
    </w:p>
    <w:p>
      <w:pPr>
        <w:spacing w:after="0" w:line="170"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88"/>
        <w:spacing w:after="0" w:line="265" w:lineRule="auto"/>
        <w:rPr>
          <w:sz w:val="20"/>
          <w:szCs w:val="20"/>
          <w:color w:val="auto"/>
        </w:rPr>
      </w:pPr>
      <w:r>
        <w:rPr>
          <w:rFonts w:ascii="Arial" w:cs="Arial" w:eastAsia="Arial" w:hAnsi="Arial"/>
          <w:sz w:val="17"/>
          <w:szCs w:val="17"/>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There were no write-offs and $21,000 in write-offs for doubtful accounts against the allowance during the six months ended June 30, 2012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liabilities</w:t>
            </w:r>
          </w:p>
        </w:tc>
        <w:tc>
          <w:tcPr>
            <w:tcW w:w="23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80" w:type="dxa"/>
            <w:vAlign w:val="bottom"/>
            <w:gridSpan w:val="2"/>
          </w:tcPr>
          <w:p>
            <w:pPr>
              <w:jc w:val="right"/>
              <w:ind w:right="1335"/>
              <w:spacing w:after="0"/>
              <w:rPr>
                <w:sz w:val="20"/>
                <w:szCs w:val="20"/>
                <w:color w:val="auto"/>
              </w:rPr>
            </w:pPr>
            <w:r>
              <w:rPr>
                <w:rFonts w:ascii="Arial" w:cs="Arial" w:eastAsia="Arial" w:hAnsi="Arial"/>
                <w:sz w:val="17"/>
                <w:szCs w:val="17"/>
                <w:color w:val="auto"/>
              </w:rPr>
              <w:t>F-36</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1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Warrants</w:t>
      </w:r>
    </w:p>
    <w:p>
      <w:pPr>
        <w:spacing w:after="0" w:line="22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the same number of shares of common stock.</w:t>
      </w:r>
    </w:p>
    <w:p>
      <w:pPr>
        <w:spacing w:after="0" w:line="177"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1,389,495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8,910,706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(2,510,632)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2,510,632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(1,044,135)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695,958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(695,958)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574,821</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4,704,914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9,124,394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$1.98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$0.02</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$0.20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784,778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674,881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1,327,307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$0.60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895,000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509,216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2,750,506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1,060,133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$1.00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1,904,211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409,877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$1.51</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$0.02-1.51</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4,704,914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granted was $0.47 and $0.78 per share in the six months ended June 30, 2012 and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$0.35 and $0.52 per share in the six months ended June 30, 2012 and 2013, respectively.</w:t>
      </w:r>
    </w:p>
    <w:p>
      <w:pPr>
        <w:spacing w:after="0" w:line="236" w:lineRule="exact"/>
        <w:rPr>
          <w:sz w:val="20"/>
          <w:szCs w:val="20"/>
          <w:color w:val="auto"/>
        </w:rPr>
      </w:pPr>
    </w:p>
    <w:p>
      <w:pPr>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$0.24 and $0.21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82" w:lineRule="auto"/>
        <w:rPr>
          <w:sz w:val="20"/>
          <w:szCs w:val="20"/>
          <w:color w:val="auto"/>
        </w:rPr>
      </w:pPr>
      <w:r>
        <w:rPr>
          <w:rFonts w:ascii="Arial" w:cs="Arial" w:eastAsia="Arial" w:hAnsi="Arial"/>
          <w:sz w:val="17"/>
          <w:szCs w:val="17"/>
          <w:color w:val="auto"/>
        </w:rPr>
        <w:t>In February 2013, the Company's Board of Directors authorized the grant of 402,007 fully vested stock options at a fair value of approximately $0.65 resulting in $259,000 in expense in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2012. The fair value of the stock options was determined using the Black-Scholes option-pricing valuation model. The grant date fair market value was $1.00 as determined by the Company's Board of Directors, the risk free rate was 0.88%, the expected life was 5.0 years, the volatility was determined to be 81.41% and there was no dividend yield.</w:t>
      </w:r>
    </w:p>
    <w:p>
      <w:pPr>
        <w:spacing w:after="0" w:line="17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50,000 shares of common stock with an exercise price of $1.00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5"/>
          <w:szCs w:val="15"/>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60" w:type="dxa"/>
            <w:vAlign w:val="bottom"/>
            <w:gridSpan w:val="6"/>
          </w:tcPr>
          <w:p>
            <w:pPr>
              <w:ind w:lef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3,250,863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59,989,268</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8,489,352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9,681,245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99,206</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53,637,351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69,769,719</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3,250,863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53,530,881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56,781,744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7569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17087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410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27305</wp:posOffset>
            </wp:positionV>
            <wp:extent cx="3829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28" w:lineRule="exact"/>
        <w:rPr>
          <w:sz w:val="20"/>
          <w:szCs w:val="20"/>
          <w:color w:val="auto"/>
        </w:rPr>
      </w:pPr>
    </w:p>
    <w:p>
      <w:pPr>
        <w:ind w:left="440" w:hanging="435"/>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31115</wp:posOffset>
            </wp:positionV>
            <wp:extent cx="382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290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47625</wp:posOffset>
            </wp:positionV>
            <wp:extent cx="382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040" w:space="720"/>
            <w:col w:w="1660"/>
          </w:cols>
          <w:pgMar w:left="240" w:top="131" w:right="239" w:bottom="1440" w:gutter="0" w:footer="0" w:header="0"/>
          <w:type w:val="continuous"/>
        </w:sectPr>
      </w:pP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August 31,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Registrant has granted to its directors, officers and employees options to purchase 10,748,984 shares of common stock under the Registrant's 2008 Stock Plan, as amended, with per share exercise prices ranging from $0.20 to $1.51, and issued 1,777,353 shares of common stock upon exercise of such options for aggregate consideration of $577,053, at exercise prices ranging from $0.02 to $1.00.</w:t>
      </w:r>
      <w:r>
        <w:rPr>
          <w:rFonts w:ascii="Arial" w:cs="Arial" w:eastAsia="Arial" w:hAnsi="Arial"/>
          <w:sz w:val="28"/>
          <w:szCs w:val="28"/>
          <w:color w:val="auto"/>
          <w:vertAlign w:val="superscript"/>
        </w:rPr>
        <w:t>(2)</w:t>
      </w:r>
    </w:p>
    <w:p>
      <w:pPr>
        <w:spacing w:after="0" w:line="58"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gridSpan w:val="3"/>
          </w:tcPr>
          <w:p>
            <w:pPr>
              <w:jc w:val="center"/>
              <w:ind w:right="3360"/>
              <w:spacing w:after="0"/>
              <w:rPr>
                <w:sz w:val="20"/>
                <w:szCs w:val="20"/>
                <w:color w:val="auto"/>
              </w:rPr>
            </w:pPr>
            <w:r>
              <w:rPr>
                <w:rFonts w:ascii="Arial" w:cs="Arial" w:eastAsia="Arial" w:hAnsi="Arial"/>
                <w:sz w:val="13"/>
                <w:szCs w:val="13"/>
                <w:b w:val="1"/>
                <w:bCs w:val="1"/>
                <w:color w:val="auto"/>
                <w:w w:val="92"/>
              </w:rPr>
              <w:t>Exhibit</w:t>
            </w:r>
          </w:p>
        </w:tc>
        <w:tc>
          <w:tcPr>
            <w:tcW w:w="512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320" w:type="dxa"/>
            <w:vAlign w:val="bottom"/>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Description</w:t>
            </w:r>
          </w:p>
        </w:tc>
      </w:tr>
      <w:tr>
        <w:trPr>
          <w:trHeight w:val="208"/>
        </w:trPr>
        <w:tc>
          <w:tcPr>
            <w:tcW w:w="4000" w:type="dxa"/>
            <w:vAlign w:val="bottom"/>
            <w:gridSpan w:val="3"/>
          </w:tcPr>
          <w:p>
            <w:pPr>
              <w:ind w:left="420"/>
              <w:spacing w:after="0"/>
              <w:rPr>
                <w:sz w:val="20"/>
                <w:szCs w:val="20"/>
                <w:color w:val="auto"/>
              </w:rPr>
            </w:pPr>
            <w:r>
              <w:rPr>
                <w:rFonts w:ascii="Arial" w:cs="Arial" w:eastAsia="Arial" w:hAnsi="Arial"/>
                <w:sz w:val="17"/>
                <w:szCs w:val="17"/>
                <w:color w:val="auto"/>
              </w:rPr>
              <w:t>1.1*   Form of Underwriting Agreement.</w:t>
            </w:r>
          </w:p>
        </w:tc>
        <w:tc>
          <w:tcPr>
            <w:tcW w:w="5120" w:type="dxa"/>
            <w:vAlign w:val="bottom"/>
          </w:tcPr>
          <w:p>
            <w:pPr>
              <w:spacing w:after="0"/>
              <w:rPr>
                <w:sz w:val="18"/>
                <w:szCs w:val="18"/>
                <w:color w:val="auto"/>
              </w:rPr>
            </w:pPr>
          </w:p>
        </w:tc>
      </w:tr>
    </w:tbl>
    <w:p>
      <w:pPr>
        <w:ind w:left="1560"/>
        <w:spacing w:after="0"/>
        <w:rPr>
          <w:sz w:val="20"/>
          <w:szCs w:val="20"/>
          <w:color w:val="auto"/>
        </w:rPr>
      </w:pPr>
      <w:r>
        <w:rPr>
          <w:rFonts w:ascii="Arial" w:cs="Arial" w:eastAsia="Arial" w:hAnsi="Arial"/>
          <w:sz w:val="17"/>
          <w:szCs w:val="17"/>
          <w:color w:val="auto"/>
        </w:rPr>
        <w:t>3.1(a)+ Fourth Amended and Restated Certificate of Incorporation of the Registrant, as amended.</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3.1(b)* Form of Restated Certificate of Incorporation of the Registrant, to be in effect upon the completion of this offering.</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3.2(a)+ Bylaws of the Registrant.</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3.2(b)* Form of Amended and Restated Bylaws of the Registrant, to be in effect upon the completion of this offering.</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Common Stock Certificate.</w:t>
      </w:r>
    </w:p>
    <w:p>
      <w:pPr>
        <w:spacing w:after="0" w:line="14" w:lineRule="exact"/>
        <w:rPr>
          <w:sz w:val="20"/>
          <w:szCs w:val="20"/>
          <w:color w:val="auto"/>
        </w:rPr>
      </w:pPr>
    </w:p>
    <w:p>
      <w:pPr>
        <w:ind w:left="2080" w:right="1560" w:hanging="527"/>
        <w:spacing w:after="0" w:line="257" w:lineRule="auto"/>
        <w:tabs>
          <w:tab w:leader="none" w:pos="2060" w:val="left"/>
        </w:tabs>
        <w:rPr>
          <w:sz w:val="20"/>
          <w:szCs w:val="20"/>
          <w:color w:val="auto"/>
        </w:rPr>
      </w:pPr>
      <w:r>
        <w:rPr>
          <w:rFonts w:ascii="Arial" w:cs="Arial" w:eastAsia="Arial" w:hAnsi="Arial"/>
          <w:sz w:val="17"/>
          <w:szCs w:val="17"/>
          <w:color w:val="auto"/>
        </w:rPr>
        <w:t>4.2+</w:t>
        <w:tab/>
        <w:t>Second Amended and Restated Investors Rights Agreement, dated November 6, 2012, between the Registrant and certain investors.</w:t>
      </w:r>
    </w:p>
    <w:p>
      <w:pPr>
        <w:spacing w:after="0" w:line="1" w:lineRule="exact"/>
        <w:rPr>
          <w:sz w:val="20"/>
          <w:szCs w:val="20"/>
          <w:color w:val="auto"/>
        </w:rPr>
      </w:pPr>
    </w:p>
    <w:p>
      <w:pPr>
        <w:ind w:left="2080" w:right="1840" w:hanging="527"/>
        <w:spacing w:after="0" w:line="257" w:lineRule="auto"/>
        <w:tabs>
          <w:tab w:leader="none" w:pos="2060" w:val="left"/>
        </w:tabs>
        <w:rPr>
          <w:sz w:val="20"/>
          <w:szCs w:val="20"/>
          <w:color w:val="auto"/>
        </w:rPr>
      </w:pPr>
      <w:r>
        <w:rPr>
          <w:rFonts w:ascii="Arial" w:cs="Arial" w:eastAsia="Arial" w:hAnsi="Arial"/>
          <w:sz w:val="17"/>
          <w:szCs w:val="17"/>
          <w:color w:val="auto"/>
        </w:rPr>
        <w:t>4.3+</w:t>
        <w:tab/>
        <w:t>Amendment to Second Amended and Restated Investors Rights Agreement, dated June 14, 2013, between the Registrant and certain investors.</w:t>
      </w:r>
    </w:p>
    <w:p>
      <w:pPr>
        <w:spacing w:after="0" w:line="1"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Warrant to Purchase Series C Preferred Stock dated June 26, 2013.</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Opinion of Pillsbury Winthrop Shaw Pittman LLP.</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and its officers and directors.</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2008 Stock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2013 Stock Incentive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Lease Agreement dated as of February 10, 2010 between ARE-San Francisco No 17, LLC and the Registrant.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19685</wp:posOffset>
            </wp:positionV>
            <wp:extent cx="52025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140" w:space="720"/>
            <w:col w:w="5560"/>
          </w:cols>
          <w:pgMar w:left="240" w:top="131" w:right="239" w:bottom="1440" w:gutter="0" w:footer="0" w:header="0"/>
          <w:type w:val="continuous"/>
        </w:sectPr>
      </w:pPr>
    </w:p>
    <w:p>
      <w:pPr>
        <w:ind w:left="2080" w:right="1380" w:hanging="612"/>
        <w:spacing w:after="0" w:line="256" w:lineRule="auto"/>
        <w:tabs>
          <w:tab w:leader="none" w:pos="2060" w:val="left"/>
        </w:tabs>
        <w:rPr>
          <w:sz w:val="20"/>
          <w:szCs w:val="20"/>
          <w:color w:val="auto"/>
        </w:rPr>
      </w:pPr>
      <w:r>
        <w:rPr>
          <w:rFonts w:ascii="Arial" w:cs="Arial" w:eastAsia="Arial" w:hAnsi="Arial"/>
          <w:sz w:val="17"/>
          <w:szCs w:val="17"/>
          <w:color w:val="auto"/>
        </w:rPr>
        <w:t>10.5+</w:t>
        <w:tab/>
        <w:t>First Amendment to Lease Agreement entered into as of July 11, 2012 between ARE-San Francisco No 17, LLC and the Registrant.</w:t>
      </w:r>
    </w:p>
    <w:p>
      <w:pPr>
        <w:spacing w:after="0" w:line="1"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Lease Agreement between Riata Holdings, L.P., as landlord, and the Registrant, as tenant, dated November 28, 2012.</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Co-Promotion Agreement dated as of January 18, 2012 between Genzyme Corporation and the Registrant.</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Amendment to Co-Promotion Agreement, effective April 9, 2013, between Genzyme Corporation and the Registrant.</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Loan and Security Agreement dated as of June 26, 2013 between Silicon Valley Bank and the Registrant.</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5"/>
          <w:szCs w:val="15"/>
          <w:color w:val="auto"/>
        </w:rPr>
        <w:t>Employment Agreement, dated as of February 15, 2008, between Bonnie Anderson and the Registrant.</w:t>
      </w:r>
    </w:p>
    <w:p>
      <w:pPr>
        <w:spacing w:after="0" w:line="14" w:lineRule="exact"/>
        <w:rPr>
          <w:sz w:val="20"/>
          <w:szCs w:val="20"/>
          <w:color w:val="auto"/>
        </w:rPr>
      </w:pPr>
    </w:p>
    <w:p>
      <w:pPr>
        <w:ind w:left="2080" w:right="1260" w:hanging="691"/>
        <w:spacing w:after="0" w:line="257" w:lineRule="auto"/>
        <w:tabs>
          <w:tab w:leader="none" w:pos="2060" w:val="left"/>
        </w:tabs>
        <w:rPr>
          <w:sz w:val="20"/>
          <w:szCs w:val="20"/>
          <w:color w:val="auto"/>
        </w:rPr>
      </w:pPr>
      <w:r>
        <w:rPr>
          <w:rFonts w:ascii="Arial" w:cs="Arial" w:eastAsia="Arial" w:hAnsi="Arial"/>
          <w:sz w:val="17"/>
          <w:szCs w:val="17"/>
          <w:color w:val="auto"/>
        </w:rPr>
        <w:t>10.11#+</w:t>
        <w:tab/>
        <w:t>Amendment to Bonnie Anderson Employment Agreement, dated as of December 22, 2008, between Bonnie Anderson and the Registrant</w:t>
      </w:r>
    </w:p>
    <w:p>
      <w:pPr>
        <w:spacing w:after="0" w:line="1" w:lineRule="exact"/>
        <w:rPr>
          <w:sz w:val="20"/>
          <w:szCs w:val="20"/>
          <w:color w:val="auto"/>
        </w:rPr>
      </w:pPr>
    </w:p>
    <w:p>
      <w:pPr>
        <w:ind w:left="2080" w:right="1580" w:hanging="697"/>
        <w:spacing w:after="0" w:line="257" w:lineRule="auto"/>
        <w:tabs>
          <w:tab w:leader="none" w:pos="2060" w:val="left"/>
        </w:tabs>
        <w:rPr>
          <w:sz w:val="20"/>
          <w:szCs w:val="20"/>
          <w:color w:val="auto"/>
        </w:rPr>
      </w:pPr>
      <w:r>
        <w:rPr>
          <w:rFonts w:ascii="Arial" w:cs="Arial" w:eastAsia="Arial" w:hAnsi="Arial"/>
          <w:sz w:val="17"/>
          <w:szCs w:val="17"/>
          <w:color w:val="auto"/>
        </w:rPr>
        <w:t>10.12#+</w:t>
        <w:tab/>
        <w:t>Amendment No. 2 to Bonnie Anderson Employment Agreement, effective as of March 11, 2009, between Bonnie Anderson and the Registrant.</w:t>
      </w:r>
    </w:p>
    <w:p>
      <w:pPr>
        <w:spacing w:after="0" w:line="1" w:lineRule="exact"/>
        <w:rPr>
          <w:sz w:val="20"/>
          <w:szCs w:val="20"/>
          <w:color w:val="auto"/>
        </w:rPr>
      </w:pPr>
    </w:p>
    <w:p>
      <w:pPr>
        <w:ind w:left="2080" w:right="1580" w:hanging="697"/>
        <w:spacing w:after="0" w:line="257" w:lineRule="auto"/>
        <w:tabs>
          <w:tab w:leader="none" w:pos="2060" w:val="left"/>
        </w:tabs>
        <w:rPr>
          <w:sz w:val="20"/>
          <w:szCs w:val="20"/>
          <w:color w:val="auto"/>
        </w:rPr>
      </w:pPr>
      <w:r>
        <w:rPr>
          <w:rFonts w:ascii="Arial" w:cs="Arial" w:eastAsia="Arial" w:hAnsi="Arial"/>
          <w:sz w:val="17"/>
          <w:szCs w:val="17"/>
          <w:color w:val="auto"/>
        </w:rPr>
        <w:t>10.13#+</w:t>
        <w:tab/>
        <w:t>Change of Control and Severance Agreement, effective as of August 24, 2012, between Bonnie Anderson and the Registrant.</w:t>
      </w:r>
    </w:p>
    <w:p>
      <w:pPr>
        <w:spacing w:after="0" w:line="1" w:lineRule="exact"/>
        <w:rPr>
          <w:sz w:val="20"/>
          <w:szCs w:val="20"/>
          <w:color w:val="auto"/>
        </w:rPr>
      </w:pPr>
    </w:p>
    <w:p>
      <w:pPr>
        <w:ind w:left="2080" w:right="1640" w:hanging="697"/>
        <w:spacing w:after="0" w:line="257" w:lineRule="auto"/>
        <w:tabs>
          <w:tab w:leader="none" w:pos="2060" w:val="left"/>
        </w:tabs>
        <w:rPr>
          <w:sz w:val="20"/>
          <w:szCs w:val="20"/>
          <w:color w:val="auto"/>
        </w:rPr>
      </w:pPr>
      <w:r>
        <w:rPr>
          <w:rFonts w:ascii="Arial" w:cs="Arial" w:eastAsia="Arial" w:hAnsi="Arial"/>
          <w:sz w:val="17"/>
          <w:szCs w:val="17"/>
          <w:color w:val="auto"/>
        </w:rPr>
        <w:t>10.14#+</w:t>
        <w:tab/>
        <w:t>Change of Control and Severance Agreement, effective as of August 24, 2012, between Christopher Hall and the Registrant.</w:t>
      </w:r>
    </w:p>
    <w:p>
      <w:pPr>
        <w:spacing w:after="0" w:line="1"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Change of Control and Severance Agreement, effective as of April 8, 2013, between Shelly Guyer and the Registrant.</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5"/>
          <w:szCs w:val="15"/>
          <w:color w:val="auto"/>
        </w:rPr>
        <w:t>Executive Bonus Plan</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5"/>
          <w:szCs w:val="15"/>
          <w:color w:val="auto"/>
        </w:rPr>
        <w:t>Offer Letter dated as of April 8, 2013 with Shelly D. Guyer.</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5"/>
          <w:szCs w:val="15"/>
          <w:color w:val="auto"/>
        </w:rPr>
        <w:t>Offer Letter dated as of January 28, 2010 with Christopher M. Hall.</w:t>
      </w:r>
    </w:p>
    <w:p>
      <w:pPr>
        <w:spacing w:after="0" w:line="14" w:lineRule="exact"/>
        <w:rPr>
          <w:sz w:val="20"/>
          <w:szCs w:val="20"/>
          <w:color w:val="auto"/>
        </w:rPr>
      </w:pPr>
    </w:p>
    <w:p>
      <w:pPr>
        <w:ind w:left="2080" w:right="1240" w:hanging="697"/>
        <w:spacing w:after="0" w:line="257" w:lineRule="auto"/>
        <w:tabs>
          <w:tab w:leader="none" w:pos="2060" w:val="left"/>
        </w:tabs>
        <w:rPr>
          <w:sz w:val="20"/>
          <w:szCs w:val="20"/>
          <w:color w:val="auto"/>
        </w:rPr>
      </w:pPr>
      <w:r>
        <w:rPr>
          <w:rFonts w:ascii="Arial" w:cs="Arial" w:eastAsia="Arial" w:hAnsi="Arial"/>
          <w:sz w:val="17"/>
          <w:szCs w:val="17"/>
          <w:color w:val="auto"/>
        </w:rPr>
        <w:t>10.19†</w:t>
        <w:tab/>
        <w:t>Pathology Services Agreement dated as of November 12, 2010 between Brazos Valley Pathology, P.A. D/B/A Reitpath and the Registrant.</w:t>
      </w:r>
    </w:p>
    <w:p>
      <w:pPr>
        <w:spacing w:after="0" w:line="1" w:lineRule="exact"/>
        <w:rPr>
          <w:sz w:val="20"/>
          <w:szCs w:val="20"/>
          <w:color w:val="auto"/>
        </w:rPr>
      </w:pPr>
    </w:p>
    <w:p>
      <w:pPr>
        <w:ind w:left="2080" w:right="1400" w:hanging="697"/>
        <w:spacing w:after="0" w:line="257" w:lineRule="auto"/>
        <w:tabs>
          <w:tab w:leader="none" w:pos="206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Approval of the Registrant to the Assignment of the Pathology Services Agreement with Brazos Valley Pathology to Thyroid Cytopathology Partners, P.A. as of May 18, 2011.</w:t>
      </w:r>
    </w:p>
    <w:p>
      <w:pPr>
        <w:spacing w:after="0" w:line="1" w:lineRule="exact"/>
        <w:rPr>
          <w:sz w:val="20"/>
          <w:szCs w:val="20"/>
          <w:color w:val="auto"/>
        </w:rPr>
      </w:pPr>
    </w:p>
    <w:p>
      <w:pPr>
        <w:ind w:left="2080" w:right="1760" w:hanging="697"/>
        <w:spacing w:after="0" w:line="257" w:lineRule="auto"/>
        <w:tabs>
          <w:tab w:leader="none" w:pos="2060" w:val="left"/>
        </w:tabs>
        <w:rPr>
          <w:sz w:val="20"/>
          <w:szCs w:val="20"/>
          <w:color w:val="auto"/>
        </w:rPr>
      </w:pPr>
      <w:r>
        <w:rPr>
          <w:rFonts w:ascii="Arial" w:cs="Arial" w:eastAsia="Arial" w:hAnsi="Arial"/>
          <w:sz w:val="17"/>
          <w:szCs w:val="17"/>
          <w:color w:val="auto"/>
        </w:rPr>
        <w:t>10.21†</w:t>
        <w:tab/>
        <w:t>First Amendment to Pathology Services Agreement dated as of December 19, 2012 between Thyroid Cytology Partners, P.A. and the Registrant.</w:t>
      </w:r>
    </w:p>
    <w:p>
      <w:pPr>
        <w:spacing w:after="0" w:line="1"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5"/>
          <w:szCs w:val="15"/>
          <w:color w:val="auto"/>
        </w:rPr>
        <w:t>Consent of Pillsbury Winthrop Shaw Pittman LLP (included in Exhibit 5.1)</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 of Attorney (see page II-5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410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29"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376"/>
        <w:spacing w:after="0" w:line="315"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2"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color w:val="auto"/>
        </w:rPr>
        <w:t>undersigned, thereunto duly authorized in the City of South San Francisco, State of California, on the</w:t>
      </w:r>
      <w:r>
        <w:rPr>
          <w:sz w:val="20"/>
          <w:szCs w:val="20"/>
          <w:color w:val="auto"/>
        </w:rPr>
        <w:tab/>
      </w:r>
      <w:r>
        <w:rPr>
          <w:rFonts w:ascii="Arial" w:cs="Arial" w:eastAsia="Arial" w:hAnsi="Arial"/>
          <w:sz w:val="15"/>
          <w:szCs w:val="15"/>
          <w:color w:val="auto"/>
        </w:rPr>
        <w:t>day of September, 2013.</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17"/>
          <w:szCs w:val="17"/>
          <w:color w:val="auto"/>
        </w:rPr>
        <w:t>KNOW ALL PERSONS BY THESE PRESENTS that each person whose signatures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7"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218" w:lineRule="exact"/>
        <w:rPr>
          <w:sz w:val="20"/>
          <w:szCs w:val="20"/>
          <w:color w:val="auto"/>
        </w:rPr>
      </w:pPr>
    </w:p>
    <w:tbl>
      <w:tblPr>
        <w:tblLayout w:type="fixed"/>
        <w:tblInd w:w="1220" w:type="dxa"/>
        <w:tblCellMar>
          <w:top w:w="0" w:type="dxa"/>
          <w:left w:w="0" w:type="dxa"/>
          <w:bottom w:w="0" w:type="dxa"/>
          <w:right w:w="0" w:type="dxa"/>
        </w:tblCellMar>
      </w:tblPr>
      <w:tr>
        <w:trPr>
          <w:trHeight w:val="157"/>
        </w:trPr>
        <w:tc>
          <w:tcPr>
            <w:tcW w:w="152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Title</w:t>
            </w: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0" w:type="dxa"/>
            <w:vAlign w:val="bottom"/>
            <w:gridSpan w:val="2"/>
          </w:tcPr>
          <w:p>
            <w:pPr>
              <w:ind w:left="180"/>
              <w:spacing w:after="0" w:line="194" w:lineRule="exact"/>
              <w:rPr>
                <w:sz w:val="20"/>
                <w:szCs w:val="20"/>
                <w:color w:val="auto"/>
              </w:rPr>
            </w:pPr>
            <w:r>
              <w:rPr>
                <w:rFonts w:ascii="Arial" w:cs="Arial" w:eastAsia="Arial" w:hAnsi="Arial"/>
                <w:sz w:val="17"/>
                <w:szCs w:val="17"/>
                <w:color w:val="auto"/>
                <w:w w:val="90"/>
              </w:rPr>
              <w:t>President, Chief Executive</w:t>
            </w:r>
          </w:p>
        </w:tc>
        <w:tc>
          <w:tcPr>
            <w:tcW w:w="1720" w:type="dxa"/>
            <w:vAlign w:val="bottom"/>
          </w:tcPr>
          <w:p>
            <w:pPr>
              <w:ind w:left="40"/>
              <w:spacing w:after="0" w:line="194" w:lineRule="exact"/>
              <w:rPr>
                <w:sz w:val="20"/>
                <w:szCs w:val="20"/>
                <w:color w:val="auto"/>
              </w:rPr>
            </w:pPr>
            <w:r>
              <w:rPr>
                <w:rFonts w:ascii="Arial" w:cs="Arial" w:eastAsia="Arial" w:hAnsi="Arial"/>
                <w:sz w:val="17"/>
                <w:szCs w:val="17"/>
                <w:color w:val="auto"/>
              </w:rPr>
              <w:t>Officer (Principal</w:t>
            </w:r>
          </w:p>
        </w:tc>
        <w:tc>
          <w:tcPr>
            <w:tcW w:w="1120" w:type="dxa"/>
            <w:vAlign w:val="bottom"/>
            <w:gridSpan w:val="2"/>
          </w:tcPr>
          <w:p>
            <w:pPr>
              <w:ind w:left="300"/>
              <w:spacing w:after="0" w:line="194" w:lineRule="exact"/>
              <w:rPr>
                <w:sz w:val="20"/>
                <w:szCs w:val="20"/>
                <w:color w:val="auto"/>
              </w:rPr>
            </w:pPr>
            <w:r>
              <w:rPr>
                <w:rFonts w:ascii="Arial" w:cs="Arial" w:eastAsia="Arial" w:hAnsi="Arial"/>
                <w:sz w:val="17"/>
                <w:szCs w:val="17"/>
                <w:color w:val="auto"/>
                <w:w w:val="96"/>
              </w:rPr>
              <w:t>September</w:t>
            </w: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100"/>
        </w:trPr>
        <w:tc>
          <w:tcPr>
            <w:tcW w:w="1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Executive Officer) and Director</w:t>
            </w: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4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Bonnie H. Anderson</w:t>
            </w:r>
          </w:p>
        </w:tc>
        <w:tc>
          <w:tcPr>
            <w:tcW w:w="372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400" w:type="dxa"/>
            <w:vAlign w:val="bottom"/>
            <w:gridSpan w:val="3"/>
            <w:vMerge w:val="continue"/>
          </w:tcPr>
          <w:p>
            <w:pPr>
              <w:spacing w:after="0"/>
              <w:rPr>
                <w:sz w:val="15"/>
                <w:szCs w:val="15"/>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Chief Financial Officer (Principal Financial and</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04"/>
        </w:trPr>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2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Accounting Officer)</w:t>
            </w: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4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Shelly D. Guyer</w:t>
            </w:r>
          </w:p>
        </w:tc>
        <w:tc>
          <w:tcPr>
            <w:tcW w:w="372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400" w:type="dxa"/>
            <w:vAlign w:val="bottom"/>
            <w:gridSpan w:val="3"/>
            <w:vMerge w:val="continue"/>
          </w:tcPr>
          <w:p>
            <w:pPr>
              <w:spacing w:after="0"/>
              <w:rPr>
                <w:sz w:val="15"/>
                <w:szCs w:val="15"/>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Chairman of Board of Directors</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Brian G. Atwood</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4"/>
              </w:rPr>
              <w:t>Brook H. Byers</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2"/>
              </w:rPr>
              <w:t>Fred E. Cohen, M.D., D.Phil.</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Samuel D. Colella</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Karin Eastham</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00" w:type="dxa"/>
            <w:vAlign w:val="bottom"/>
            <w:gridSpan w:val="3"/>
          </w:tcPr>
          <w:p>
            <w:pPr>
              <w:jc w:val="center"/>
              <w:ind w:right="20"/>
              <w:spacing w:after="0"/>
              <w:rPr>
                <w:sz w:val="20"/>
                <w:szCs w:val="20"/>
                <w:color w:val="auto"/>
              </w:rPr>
            </w:pPr>
            <w:r>
              <w:rPr>
                <w:rFonts w:ascii="Arial" w:cs="Arial" w:eastAsia="Arial" w:hAnsi="Arial"/>
                <w:sz w:val="17"/>
                <w:szCs w:val="17"/>
                <w:color w:val="auto"/>
                <w:w w:val="87"/>
              </w:rPr>
              <w:t>Evan Jones</w:t>
            </w: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120" w:type="dxa"/>
            <w:vAlign w:val="bottom"/>
            <w:gridSpan w:val="2"/>
            <w:vMerge w:val="restart"/>
          </w:tcPr>
          <w:p>
            <w:pPr>
              <w:ind w:left="300"/>
              <w:spacing w:after="0"/>
              <w:rPr>
                <w:sz w:val="20"/>
                <w:szCs w:val="20"/>
                <w:color w:val="auto"/>
              </w:rPr>
            </w:pPr>
            <w:r>
              <w:rPr>
                <w:rFonts w:ascii="Arial" w:cs="Arial" w:eastAsia="Arial" w:hAnsi="Arial"/>
                <w:sz w:val="17"/>
                <w:szCs w:val="17"/>
                <w:color w:val="auto"/>
                <w:w w:val="96"/>
              </w:rPr>
              <w:t>September</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 2013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59690</wp:posOffset>
            </wp:positionV>
            <wp:extent cx="21558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5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Jesse I. Treu, Ph.D.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tcPr>
          <w:p>
            <w:pPr>
              <w:ind w:left="396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24"/>
                <w:szCs w:val="2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34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5"/>
              </w:rPr>
              <w:t>Amendment to Second Amended and Restated Investors Rights Agreement, dated June 14, 2013,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10.5+</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10.6</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10.7†+</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10.8+</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10.9+</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10.10#+</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9"/>
              </w:rPr>
              <w:t>Amendment to Bonnie Anderson Employment Agreement, dated as of December 22,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10.14#+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160" w:type="dxa"/>
            <w:vAlign w:val="bottom"/>
          </w:tcPr>
          <w:p>
            <w:pPr>
              <w:spacing w:after="0"/>
              <w:rPr>
                <w:sz w:val="16"/>
                <w:szCs w:val="16"/>
                <w:color w:val="auto"/>
              </w:rPr>
            </w:pPr>
          </w:p>
        </w:tc>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10.16#+</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Executive Bonus Plan</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10.17#</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10.18#</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10.19†</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9"/>
              </w:rPr>
              <w:t>Pathology Services Agreement dated as of November 12, 2010 between Brazos Valley Pathology, P.A. D/B/A Reitpath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10.20</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 to Thyroid Cytopathology Partners,</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P.A. as of May 18, 2011.</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 Partners, P.A.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23.2*</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24.1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4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Multi-Tenant Laboratory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7000 Shoreline/Veracyte</w:t>
      </w:r>
    </w:p>
    <w:p>
      <w:pPr>
        <w:spacing w:after="0" w:line="211" w:lineRule="exact"/>
        <w:rPr>
          <w:sz w:val="20"/>
          <w:szCs w:val="20"/>
          <w:color w:val="auto"/>
        </w:rPr>
      </w:pPr>
    </w:p>
    <w:p>
      <w:pPr>
        <w:sectPr>
          <w:pgSz w:w="11900" w:h="16870" w:orient="portrait"/>
          <w:cols w:equalWidth="0" w:num="2">
            <w:col w:w="8900" w:space="720"/>
            <w:col w:w="1800"/>
          </w:cols>
          <w:pgMar w:left="240" w:top="357" w:right="239" w:bottom="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LEASE AGREEMENT</w:t>
      </w:r>
    </w:p>
    <w:p>
      <w:pPr>
        <w:sectPr>
          <w:pgSz w:w="11900" w:h="16870" w:orient="portrait"/>
          <w:cols w:equalWidth="0" w:num="1">
            <w:col w:w="11420"/>
          </w:cols>
          <w:pgMar w:left="240" w:top="357" w:right="239" w:bottom="0" w:gutter="0" w:footer="0" w:header="0"/>
          <w:type w:val="continuous"/>
        </w:sectPr>
      </w:pP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is made as of this 10 day of February, 2010 (the “</w:t>
      </w:r>
      <w:r>
        <w:rPr>
          <w:rFonts w:ascii="Arial" w:cs="Arial" w:eastAsia="Arial" w:hAnsi="Arial"/>
          <w:sz w:val="17"/>
          <w:szCs w:val="17"/>
          <w:b w:val="1"/>
          <w:bCs w:val="1"/>
          <w:color w:val="auto"/>
        </w:rPr>
        <w:t>Lease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 FRANCISCO NO. 17,</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180" w:firstLine="5"/>
        <w:spacing w:after="0" w:line="277" w:lineRule="auto"/>
        <w:tabs>
          <w:tab w:leader="none" w:pos="642"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of the Lease Date, Nodality, Inc., a Delaware corporation (“</w:t>
      </w:r>
      <w:r>
        <w:rPr>
          <w:rFonts w:ascii="Arial" w:cs="Arial" w:eastAsia="Arial" w:hAnsi="Arial"/>
          <w:sz w:val="17"/>
          <w:szCs w:val="17"/>
          <w:b w:val="1"/>
          <w:bCs w:val="1"/>
          <w:color w:val="auto"/>
        </w:rPr>
        <w:t>Nodality</w:t>
      </w:r>
      <w:r>
        <w:rPr>
          <w:rFonts w:ascii="Arial" w:cs="Arial" w:eastAsia="Arial" w:hAnsi="Arial"/>
          <w:sz w:val="17"/>
          <w:szCs w:val="17"/>
          <w:color w:val="auto"/>
        </w:rPr>
        <w:t>”), and Landlord are parties to that certain Lease Agreement dated as of March 2,2007 (as the same may be amended from time to time, the “</w:t>
      </w:r>
      <w:r>
        <w:rPr>
          <w:rFonts w:ascii="Arial" w:cs="Arial" w:eastAsia="Arial" w:hAnsi="Arial"/>
          <w:sz w:val="17"/>
          <w:szCs w:val="17"/>
          <w:b w:val="1"/>
          <w:bCs w:val="1"/>
          <w:color w:val="auto"/>
        </w:rPr>
        <w:t>Nodality Lease</w:t>
      </w:r>
      <w:r>
        <w:rPr>
          <w:rFonts w:ascii="Arial" w:cs="Arial" w:eastAsia="Arial" w:hAnsi="Arial"/>
          <w:sz w:val="17"/>
          <w:szCs w:val="17"/>
          <w:color w:val="auto"/>
        </w:rPr>
        <w:t>”) whereby Landlord leases to Nodality the Current Premises (as hereinafter defined).</w:t>
      </w:r>
    </w:p>
    <w:p>
      <w:pPr>
        <w:spacing w:after="0" w:line="168" w:lineRule="exact"/>
        <w:rPr>
          <w:rFonts w:ascii="Arial" w:cs="Arial" w:eastAsia="Arial" w:hAnsi="Arial"/>
          <w:sz w:val="17"/>
          <w:szCs w:val="17"/>
          <w:color w:val="auto"/>
        </w:rPr>
      </w:pPr>
    </w:p>
    <w:p>
      <w:pPr>
        <w:ind w:left="640" w:hanging="635"/>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of the Lease Date, Tenant subleases the Current Premises from Nodality pursuant to that certain Sublease Agreement dated April 21, 2008 (the</w:t>
      </w:r>
    </w:p>
    <w:p>
      <w:pPr>
        <w:spacing w:after="0" w:line="38"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Nodality Sublease</w:t>
      </w:r>
      <w:r>
        <w:rPr>
          <w:rFonts w:ascii="Arial" w:cs="Arial" w:eastAsia="Arial" w:hAnsi="Arial"/>
          <w:sz w:val="17"/>
          <w:szCs w:val="17"/>
          <w:color w:val="auto"/>
        </w:rPr>
        <w:t>”). Landlord, Tenant and Nodality entered into that certain Consent to Sublease dated June 6, 2008 whereby Landlord consented to the Nodality Sublease (the “</w:t>
      </w:r>
      <w:r>
        <w:rPr>
          <w:rFonts w:ascii="Arial" w:cs="Arial" w:eastAsia="Arial" w:hAnsi="Arial"/>
          <w:sz w:val="17"/>
          <w:szCs w:val="17"/>
          <w:b w:val="1"/>
          <w:bCs w:val="1"/>
          <w:color w:val="auto"/>
        </w:rPr>
        <w:t>Current Premises Consent Agreement</w:t>
      </w:r>
      <w:r>
        <w:rPr>
          <w:rFonts w:ascii="Arial" w:cs="Arial" w:eastAsia="Arial" w:hAnsi="Arial"/>
          <w:sz w:val="17"/>
          <w:szCs w:val="17"/>
          <w:color w:val="auto"/>
        </w:rPr>
        <w:t>”).</w:t>
      </w:r>
    </w:p>
    <w:p>
      <w:pPr>
        <w:spacing w:after="0" w:line="169" w:lineRule="exact"/>
        <w:rPr>
          <w:sz w:val="20"/>
          <w:szCs w:val="20"/>
          <w:color w:val="auto"/>
        </w:rPr>
      </w:pPr>
    </w:p>
    <w:p>
      <w:pPr>
        <w:ind w:left="640" w:hanging="635"/>
        <w:spacing w:after="0"/>
        <w:tabs>
          <w:tab w:leader="none" w:pos="6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Upon the expiration or earlier termination of the Nodality Lease, Tenant desires to lease the Current Premises under a direct lease between Landlord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Tenant.</w:t>
      </w:r>
    </w:p>
    <w:p>
      <w:pPr>
        <w:spacing w:after="0" w:line="206" w:lineRule="exact"/>
        <w:rPr>
          <w:rFonts w:ascii="Arial" w:cs="Arial" w:eastAsia="Arial" w:hAnsi="Arial"/>
          <w:sz w:val="15"/>
          <w:szCs w:val="15"/>
          <w:color w:val="auto"/>
        </w:rPr>
      </w:pPr>
    </w:p>
    <w:p>
      <w:pPr>
        <w:ind w:right="120" w:firstLine="5"/>
        <w:spacing w:after="0" w:line="277" w:lineRule="auto"/>
        <w:tabs>
          <w:tab w:leader="none" w:pos="642"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of the Lease Date, Poniard Pharmaceuticals, Inc., a Washington corporation (“</w:t>
      </w:r>
      <w:r>
        <w:rPr>
          <w:rFonts w:ascii="Arial" w:cs="Arial" w:eastAsia="Arial" w:hAnsi="Arial"/>
          <w:sz w:val="17"/>
          <w:szCs w:val="17"/>
          <w:b w:val="1"/>
          <w:bCs w:val="1"/>
          <w:color w:val="auto"/>
        </w:rPr>
        <w:t>Poniard</w:t>
      </w:r>
      <w:r>
        <w:rPr>
          <w:rFonts w:ascii="Arial" w:cs="Arial" w:eastAsia="Arial" w:hAnsi="Arial"/>
          <w:sz w:val="17"/>
          <w:szCs w:val="17"/>
          <w:color w:val="auto"/>
        </w:rPr>
        <w:t>”), and Landlord are parties to that certain Lease dated as of July 10, 2006 (as the same may be amended from time to time, the “</w:t>
      </w:r>
      <w:r>
        <w:rPr>
          <w:rFonts w:ascii="Arial" w:cs="Arial" w:eastAsia="Arial" w:hAnsi="Arial"/>
          <w:sz w:val="17"/>
          <w:szCs w:val="17"/>
          <w:b w:val="1"/>
          <w:bCs w:val="1"/>
          <w:color w:val="auto"/>
        </w:rPr>
        <w:t>Poniard Lease</w:t>
      </w:r>
      <w:r>
        <w:rPr>
          <w:rFonts w:ascii="Arial" w:cs="Arial" w:eastAsia="Arial" w:hAnsi="Arial"/>
          <w:sz w:val="17"/>
          <w:szCs w:val="17"/>
          <w:color w:val="auto"/>
        </w:rPr>
        <w:t>”) whereby Landlord leases to Poniard the Expansion Premises (as hereinafter defined).</w:t>
      </w:r>
    </w:p>
    <w:p>
      <w:pPr>
        <w:spacing w:after="0" w:line="162" w:lineRule="exact"/>
        <w:rPr>
          <w:rFonts w:ascii="Arial" w:cs="Arial" w:eastAsia="Arial" w:hAnsi="Arial"/>
          <w:sz w:val="17"/>
          <w:szCs w:val="17"/>
          <w:color w:val="auto"/>
        </w:rPr>
      </w:pPr>
    </w:p>
    <w:p>
      <w:pPr>
        <w:ind w:right="140" w:firstLine="5"/>
        <w:spacing w:after="0" w:line="277" w:lineRule="auto"/>
        <w:tabs>
          <w:tab w:leader="none" w:pos="635"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of the Lease Date, Tenant subleases the Expansion Premises from Poniard pursuant to that certain Sublease dated as of the Lease Date (the “</w:t>
      </w:r>
      <w:r>
        <w:rPr>
          <w:rFonts w:ascii="Arial" w:cs="Arial" w:eastAsia="Arial" w:hAnsi="Arial"/>
          <w:sz w:val="17"/>
          <w:szCs w:val="17"/>
          <w:b w:val="1"/>
          <w:bCs w:val="1"/>
          <w:color w:val="auto"/>
        </w:rPr>
        <w:t>Poniard</w:t>
      </w:r>
      <w:r>
        <w:rPr>
          <w:rFonts w:ascii="Arial" w:cs="Arial" w:eastAsia="Arial" w:hAnsi="Arial"/>
          <w:sz w:val="17"/>
          <w:szCs w:val="17"/>
          <w:color w:val="auto"/>
        </w:rPr>
        <w:t xml:space="preserve"> </w:t>
      </w:r>
      <w:r>
        <w:rPr>
          <w:rFonts w:ascii="Arial" w:cs="Arial" w:eastAsia="Arial" w:hAnsi="Arial"/>
          <w:sz w:val="17"/>
          <w:szCs w:val="17"/>
          <w:b w:val="1"/>
          <w:bCs w:val="1"/>
          <w:color w:val="auto"/>
        </w:rPr>
        <w:t>Sublease</w:t>
      </w:r>
      <w:r>
        <w:rPr>
          <w:rFonts w:ascii="Arial" w:cs="Arial" w:eastAsia="Arial" w:hAnsi="Arial"/>
          <w:sz w:val="17"/>
          <w:szCs w:val="17"/>
          <w:color w:val="auto"/>
        </w:rPr>
        <w:t>”). Landlord, Tenant and Poniard entered into that certain Consent to Sublease dated as of the Lease Date whereby Landlord consented to the Poniard</w:t>
      </w:r>
      <w:r>
        <w:rPr>
          <w:rFonts w:ascii="Arial" w:cs="Arial" w:eastAsia="Arial" w:hAnsi="Arial"/>
          <w:sz w:val="17"/>
          <w:szCs w:val="17"/>
          <w:b w:val="1"/>
          <w:bCs w:val="1"/>
          <w:color w:val="auto"/>
        </w:rPr>
        <w:t xml:space="preserve"> </w:t>
      </w:r>
      <w:r>
        <w:rPr>
          <w:rFonts w:ascii="Arial" w:cs="Arial" w:eastAsia="Arial" w:hAnsi="Arial"/>
          <w:sz w:val="17"/>
          <w:szCs w:val="17"/>
          <w:color w:val="auto"/>
        </w:rPr>
        <w:t>Sublease (the “</w:t>
      </w:r>
      <w:r>
        <w:rPr>
          <w:rFonts w:ascii="Arial" w:cs="Arial" w:eastAsia="Arial" w:hAnsi="Arial"/>
          <w:sz w:val="17"/>
          <w:szCs w:val="17"/>
          <w:b w:val="1"/>
          <w:bCs w:val="1"/>
          <w:color w:val="auto"/>
        </w:rPr>
        <w:t>Expansion Premises Consent Agreement</w:t>
      </w:r>
      <w:r>
        <w:rPr>
          <w:rFonts w:ascii="Arial" w:cs="Arial" w:eastAsia="Arial" w:hAnsi="Arial"/>
          <w:sz w:val="17"/>
          <w:szCs w:val="17"/>
          <w:color w:val="auto"/>
        </w:rPr>
        <w:t>”).</w:t>
      </w:r>
    </w:p>
    <w:p>
      <w:pPr>
        <w:spacing w:after="0" w:line="168" w:lineRule="exact"/>
        <w:rPr>
          <w:sz w:val="20"/>
          <w:szCs w:val="20"/>
          <w:color w:val="auto"/>
        </w:rPr>
      </w:pPr>
    </w:p>
    <w:p>
      <w:pPr>
        <w:ind w:right="280" w:firstLine="5"/>
        <w:spacing w:after="0" w:line="289" w:lineRule="auto"/>
        <w:tabs>
          <w:tab w:leader="none" w:pos="642"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the expiration or earlier termination of the Poniard Lease, Tenant desires to lease the Expansion Premises under a direct lease between Landlord and Tenant.</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BASIC LEASE PROVISIONS</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7000 Shoreline Court, South San Francisco, California</w:t>
      </w:r>
    </w:p>
    <w:p>
      <w:pPr>
        <w:spacing w:after="0" w:line="224" w:lineRule="exact"/>
        <w:rPr>
          <w:sz w:val="20"/>
          <w:szCs w:val="20"/>
          <w:color w:val="auto"/>
        </w:rPr>
      </w:pPr>
    </w:p>
    <w:p>
      <w:pPr>
        <w:ind w:left="940" w:right="340" w:hanging="943"/>
        <w:spacing w:after="0" w:line="277" w:lineRule="auto"/>
        <w:tabs>
          <w:tab w:leader="none" w:pos="92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That portion of the Project, containing approximately 24,039 rentable square feet (“</w:t>
      </w:r>
      <w:r>
        <w:rPr>
          <w:rFonts w:ascii="Arial" w:cs="Arial" w:eastAsia="Arial" w:hAnsi="Arial"/>
          <w:sz w:val="17"/>
          <w:szCs w:val="17"/>
          <w:b w:val="1"/>
          <w:bCs w:val="1"/>
          <w:color w:val="auto"/>
        </w:rPr>
        <w:t>RSF</w:t>
      </w:r>
      <w:r>
        <w:rPr>
          <w:rFonts w:ascii="Arial" w:cs="Arial" w:eastAsia="Arial" w:hAnsi="Arial"/>
          <w:sz w:val="17"/>
          <w:szCs w:val="17"/>
          <w:color w:val="auto"/>
        </w:rPr>
        <w:t xml:space="preserve">”), consisting of (a) a portion of the Project containing approximately 6,994 RSF, as shown on </w:t>
      </w:r>
      <w:r>
        <w:rPr>
          <w:rFonts w:ascii="Arial" w:cs="Arial" w:eastAsia="Arial" w:hAnsi="Arial"/>
          <w:sz w:val="17"/>
          <w:szCs w:val="17"/>
          <w:b w:val="1"/>
          <w:bCs w:val="1"/>
          <w:u w:val="single" w:color="auto"/>
          <w:color w:val="auto"/>
        </w:rPr>
        <w:t>Exhibit A-1</w:t>
      </w:r>
      <w:r>
        <w:rPr>
          <w:rFonts w:ascii="Arial" w:cs="Arial" w:eastAsia="Arial" w:hAnsi="Arial"/>
          <w:sz w:val="17"/>
          <w:szCs w:val="17"/>
          <w:color w:val="auto"/>
        </w:rPr>
        <w:t xml:space="preserve"> (the “</w:t>
      </w:r>
      <w:r>
        <w:rPr>
          <w:rFonts w:ascii="Arial" w:cs="Arial" w:eastAsia="Arial" w:hAnsi="Arial"/>
          <w:sz w:val="17"/>
          <w:szCs w:val="17"/>
          <w:b w:val="1"/>
          <w:bCs w:val="1"/>
          <w:color w:val="auto"/>
        </w:rPr>
        <w:t>Current Premises</w:t>
      </w:r>
      <w:r>
        <w:rPr>
          <w:rFonts w:ascii="Arial" w:cs="Arial" w:eastAsia="Arial" w:hAnsi="Arial"/>
          <w:sz w:val="17"/>
          <w:szCs w:val="17"/>
          <w:color w:val="auto"/>
        </w:rPr>
        <w:t xml:space="preserve">”), and (b) a portion of the Project containing approximately 17,045 RSF, as determined by Landlord, as shown on </w:t>
      </w:r>
      <w:r>
        <w:rPr>
          <w:rFonts w:ascii="Arial" w:cs="Arial" w:eastAsia="Arial" w:hAnsi="Arial"/>
          <w:sz w:val="17"/>
          <w:szCs w:val="17"/>
          <w:b w:val="1"/>
          <w:bCs w:val="1"/>
          <w:u w:val="single" w:color="auto"/>
          <w:color w:val="auto"/>
        </w:rPr>
        <w:t>Exhibit A-2</w:t>
      </w:r>
      <w:r>
        <w:rPr>
          <w:rFonts w:ascii="Arial" w:cs="Arial" w:eastAsia="Arial" w:hAnsi="Arial"/>
          <w:sz w:val="17"/>
          <w:szCs w:val="17"/>
          <w:color w:val="auto"/>
        </w:rPr>
        <w:t xml:space="preserve">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2" w:lineRule="exact"/>
        <w:rPr>
          <w:sz w:val="20"/>
          <w:szCs w:val="20"/>
          <w:color w:val="auto"/>
        </w:rPr>
      </w:pPr>
    </w:p>
    <w:p>
      <w:pPr>
        <w:ind w:left="940" w:right="940" w:hanging="943"/>
        <w:spacing w:after="0" w:line="297" w:lineRule="auto"/>
        <w:tabs>
          <w:tab w:leader="none" w:pos="920" w:val="left"/>
        </w:tabs>
        <w:rPr>
          <w:sz w:val="20"/>
          <w:szCs w:val="20"/>
          <w:color w:val="auto"/>
        </w:rPr>
      </w:pPr>
      <w:r>
        <w:rPr>
          <w:rFonts w:ascii="Arial" w:cs="Arial" w:eastAsia="Arial" w:hAnsi="Arial"/>
          <w:sz w:val="17"/>
          <w:szCs w:val="17"/>
          <w:b w:val="1"/>
          <w:bCs w:val="1"/>
          <w:color w:val="auto"/>
        </w:rPr>
        <w:t>Project:</w:t>
      </w:r>
      <w:r>
        <w:rPr>
          <w:sz w:val="20"/>
          <w:szCs w:val="20"/>
          <w:color w:val="auto"/>
        </w:rPr>
        <w:tab/>
      </w:r>
      <w:r>
        <w:rPr>
          <w:rFonts w:ascii="Arial" w:cs="Arial" w:eastAsia="Arial" w:hAnsi="Arial"/>
          <w:sz w:val="17"/>
          <w:szCs w:val="17"/>
          <w:color w:val="auto"/>
        </w:rPr>
        <w:t>The real property on which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in which the Premises are located, together with all improvements thereon and appurtenances thereto as described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Rent: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Base Rent per</w:t>
            </w:r>
          </w:p>
        </w:tc>
        <w:tc>
          <w:tcPr>
            <w:tcW w:w="300" w:type="dxa"/>
            <w:vAlign w:val="bottom"/>
          </w:tcPr>
          <w:p>
            <w:pPr>
              <w:spacing w:after="0"/>
              <w:rPr>
                <w:sz w:val="14"/>
                <w:szCs w:val="14"/>
                <w:color w:val="auto"/>
              </w:rPr>
            </w:pPr>
          </w:p>
        </w:tc>
        <w:tc>
          <w:tcPr>
            <w:tcW w:w="2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Base Rent per RSF per Month</w:t>
            </w:r>
          </w:p>
        </w:tc>
        <w:tc>
          <w:tcPr>
            <w:tcW w:w="0" w:type="dxa"/>
            <w:vAlign w:val="bottom"/>
          </w:tcPr>
          <w:p>
            <w:pPr>
              <w:spacing w:after="0"/>
              <w:rPr>
                <w:sz w:val="1"/>
                <w:szCs w:val="1"/>
                <w:color w:val="auto"/>
              </w:rPr>
            </w:pPr>
          </w:p>
        </w:tc>
      </w:tr>
      <w:tr>
        <w:trPr>
          <w:trHeight w:val="167"/>
        </w:trPr>
        <w:tc>
          <w:tcPr>
            <w:tcW w:w="5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Month</w:t>
            </w:r>
          </w:p>
        </w:tc>
        <w:tc>
          <w:tcPr>
            <w:tcW w:w="3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April 1,2010 – April 30, 2010</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jc w:val="center"/>
              <w:spacing w:after="0"/>
              <w:rPr>
                <w:sz w:val="20"/>
                <w:szCs w:val="20"/>
                <w:color w:val="auto"/>
              </w:rPr>
            </w:pPr>
            <w:r>
              <w:rPr>
                <w:rFonts w:ascii="Arial" w:cs="Arial" w:eastAsia="Arial" w:hAnsi="Arial"/>
                <w:sz w:val="17"/>
                <w:szCs w:val="17"/>
                <w:color w:val="auto"/>
                <w:w w:val="93"/>
              </w:rPr>
              <w:t>May 1,2010 – July 11, 2011</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17,205.24</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July 12,2011- April 30, 2012</w:t>
            </w:r>
          </w:p>
        </w:tc>
        <w:tc>
          <w:tcPr>
            <w:tcW w:w="840" w:type="dxa"/>
            <w:vAlign w:val="bottom"/>
            <w:gridSpan w:val="2"/>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63,943.74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2"/>
        </w:trPr>
        <w:tc>
          <w:tcPr>
            <w:tcW w:w="5040" w:type="dxa"/>
            <w:vAlign w:val="bottom"/>
          </w:tcPr>
          <w:p>
            <w:pPr>
              <w:jc w:val="center"/>
              <w:spacing w:after="0"/>
              <w:rPr>
                <w:sz w:val="20"/>
                <w:szCs w:val="20"/>
                <w:color w:val="auto"/>
              </w:rPr>
            </w:pPr>
            <w:r>
              <w:rPr>
                <w:rFonts w:ascii="Arial" w:cs="Arial" w:eastAsia="Arial" w:hAnsi="Arial"/>
                <w:sz w:val="17"/>
                <w:szCs w:val="17"/>
                <w:color w:val="auto"/>
                <w:w w:val="94"/>
              </w:rPr>
              <w:t>May 1, 2012 – Expiration of the Base Term</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68,751.54</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Premises: </w:t>
      </w:r>
      <w:r>
        <w:rPr>
          <w:rFonts w:ascii="Arial" w:cs="Arial" w:eastAsia="Arial" w:hAnsi="Arial"/>
          <w:sz w:val="17"/>
          <w:szCs w:val="17"/>
          <w:color w:val="auto"/>
        </w:rPr>
        <w:t>24,039 RSF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Project: </w:t>
      </w:r>
      <w:r>
        <w:rPr>
          <w:rFonts w:ascii="Arial" w:cs="Arial" w:eastAsia="Arial" w:hAnsi="Arial"/>
          <w:sz w:val="17"/>
          <w:szCs w:val="17"/>
          <w:color w:val="auto"/>
        </w:rPr>
        <w:t>136,691 RSF</w:t>
      </w:r>
    </w:p>
    <w:p>
      <w:pPr>
        <w:spacing w:after="0" w:line="224" w:lineRule="exact"/>
        <w:rPr>
          <w:sz w:val="20"/>
          <w:szCs w:val="20"/>
          <w:color w:val="auto"/>
        </w:rPr>
      </w:pPr>
    </w:p>
    <w:p>
      <w:pPr>
        <w:spacing w:after="0"/>
        <w:tabs>
          <w:tab w:leader="none" w:pos="3160" w:val="left"/>
        </w:tabs>
        <w:rPr>
          <w:sz w:val="20"/>
          <w:szCs w:val="20"/>
          <w:color w:val="auto"/>
        </w:rPr>
      </w:pPr>
      <w:r>
        <w:rPr>
          <w:rFonts w:ascii="Arial" w:cs="Arial" w:eastAsia="Arial" w:hAnsi="Arial"/>
          <w:sz w:val="17"/>
          <w:szCs w:val="17"/>
          <w:b w:val="1"/>
          <w:bCs w:val="1"/>
          <w:color w:val="auto"/>
        </w:rPr>
        <w:t>Tenant’s Share of Operating Expenses:</w:t>
      </w:r>
      <w:r>
        <w:rPr>
          <w:sz w:val="20"/>
          <w:szCs w:val="20"/>
          <w:color w:val="auto"/>
        </w:rPr>
        <w:tab/>
      </w:r>
      <w:r>
        <w:rPr>
          <w:rFonts w:ascii="Arial" w:cs="Arial" w:eastAsia="Arial" w:hAnsi="Arial"/>
          <w:sz w:val="15"/>
          <w:szCs w:val="15"/>
          <w:color w:val="auto"/>
        </w:rPr>
        <w:t>5.12% as to the Current Premises and 12.47% as to the Expansion Premises, collectively 17.59%</w:t>
      </w:r>
    </w:p>
    <w:p>
      <w:pPr>
        <w:spacing w:after="0" w:line="224"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Security Deposit:</w:t>
      </w:r>
      <w:r>
        <w:rPr>
          <w:sz w:val="20"/>
          <w:szCs w:val="20"/>
          <w:color w:val="auto"/>
        </w:rPr>
        <w:tab/>
      </w:r>
      <w:r>
        <w:rPr>
          <w:rFonts w:ascii="Arial" w:cs="Arial" w:eastAsia="Arial" w:hAnsi="Arial"/>
          <w:sz w:val="15"/>
          <w:szCs w:val="15"/>
          <w:color w:val="auto"/>
        </w:rPr>
        <w:t>$34,270.60, until January 1, 2011, at which time, the amount shall increase to $117,791.10 (the “</w:t>
      </w:r>
      <w:r>
        <w:rPr>
          <w:rFonts w:ascii="Arial" w:cs="Arial" w:eastAsia="Arial" w:hAnsi="Arial"/>
          <w:sz w:val="15"/>
          <w:szCs w:val="15"/>
          <w:b w:val="1"/>
          <w:bCs w:val="1"/>
          <w:color w:val="auto"/>
        </w:rPr>
        <w:t>Increased Security Deposit Amount</w:t>
      </w:r>
      <w:r>
        <w:rPr>
          <w:rFonts w:ascii="Arial" w:cs="Arial" w:eastAsia="Arial" w:hAnsi="Arial"/>
          <w:sz w:val="15"/>
          <w:szCs w:val="15"/>
          <w:color w:val="auto"/>
        </w:rPr>
        <w:t>”)</w:t>
      </w:r>
    </w:p>
    <w:p>
      <w:pPr>
        <w:spacing w:after="0" w:line="224" w:lineRule="exact"/>
        <w:rPr>
          <w:sz w:val="20"/>
          <w:szCs w:val="20"/>
          <w:color w:val="auto"/>
        </w:rPr>
      </w:pPr>
    </w:p>
    <w:p>
      <w:pPr>
        <w:ind w:left="1120" w:right="260" w:hanging="1132"/>
        <w:spacing w:after="0" w:line="360" w:lineRule="auto"/>
        <w:tabs>
          <w:tab w:leader="none" w:pos="1100" w:val="left"/>
        </w:tabs>
        <w:rPr>
          <w:sz w:val="20"/>
          <w:szCs w:val="20"/>
          <w:color w:val="auto"/>
        </w:rPr>
      </w:pPr>
      <w:r>
        <w:rPr>
          <w:rFonts w:ascii="Arial" w:cs="Arial" w:eastAsia="Arial" w:hAnsi="Arial"/>
          <w:sz w:val="17"/>
          <w:szCs w:val="17"/>
          <w:b w:val="1"/>
          <w:bCs w:val="1"/>
          <w:color w:val="auto"/>
        </w:rPr>
        <w:t>Base Term:</w:t>
      </w:r>
      <w:r>
        <w:rPr>
          <w:sz w:val="20"/>
          <w:szCs w:val="20"/>
          <w:color w:val="auto"/>
        </w:rPr>
        <w:tab/>
      </w:r>
      <w:r>
        <w:rPr>
          <w:rFonts w:ascii="Arial" w:cs="Arial" w:eastAsia="Arial" w:hAnsi="Arial"/>
          <w:sz w:val="15"/>
          <w:szCs w:val="15"/>
          <w:color w:val="auto"/>
        </w:rPr>
        <w:t xml:space="preserve">A term beginning on the first to occur of the Current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or the Expansion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and ending March 31, 2013 (as may be adjusted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below).</w:t>
      </w:r>
    </w:p>
    <w:p>
      <w:pPr>
        <w:spacing w:after="0" w:line="112" w:lineRule="exact"/>
        <w:rPr>
          <w:sz w:val="20"/>
          <w:szCs w:val="20"/>
          <w:color w:val="auto"/>
        </w:rPr>
      </w:pPr>
    </w:p>
    <w:p>
      <w:pPr>
        <w:ind w:left="1200" w:right="760" w:hanging="1194"/>
        <w:spacing w:after="0" w:line="297" w:lineRule="auto"/>
        <w:rPr>
          <w:sz w:val="20"/>
          <w:szCs w:val="20"/>
          <w:color w:val="auto"/>
        </w:rPr>
      </w:pPr>
      <w:r>
        <w:rPr>
          <w:rFonts w:ascii="Arial" w:cs="Arial" w:eastAsia="Arial" w:hAnsi="Arial"/>
          <w:sz w:val="17"/>
          <w:szCs w:val="17"/>
          <w:b w:val="1"/>
          <w:bCs w:val="1"/>
          <w:color w:val="auto"/>
        </w:rPr>
        <w:t xml:space="preserve">Permitted Use: </w:t>
      </w:r>
      <w:r>
        <w:rPr>
          <w:rFonts w:ascii="Arial" w:cs="Arial" w:eastAsia="Arial" w:hAnsi="Arial"/>
          <w:sz w:val="17"/>
          <w:szCs w:val="17"/>
          <w:color w:val="auto"/>
        </w:rPr>
        <w:t>Research and development laboratory, related office and other related uses consistent with the character of the Project and otherwise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compliance with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ectPr>
          <w:pgSz w:w="11900" w:h="16870" w:orient="portrait"/>
          <w:cols w:equalWidth="0" w:num="1">
            <w:col w:w="11420"/>
          </w:cols>
          <w:pgMar w:left="240" w:top="357" w:right="239" w:bottom="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Rent Payment: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P.O. Box 51783</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Los Angeles, CA 90051-6083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Landlord’s Notice Address: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385 E. Colorado Boulevard, Suite 299</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Pasadena, CA 91101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ectPr>
          <w:pgSz w:w="11900" w:h="16870" w:orient="portrait"/>
          <w:cols w:equalWidth="0" w:num="2">
            <w:col w:w="3880" w:space="720"/>
            <w:col w:w="6820"/>
          </w:cols>
          <w:pgMar w:left="240" w:top="357" w:right="23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Tenant’s Notice Address: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w:t>
      </w:r>
    </w:p>
    <w:p>
      <w:pPr>
        <w:sectPr>
          <w:pgSz w:w="11900" w:h="16870" w:orient="portrait"/>
          <w:cols w:equalWidth="0" w:num="1">
            <w:col w:w="11420"/>
          </w:cols>
          <w:pgMar w:left="240" w:top="357" w:right="239" w:bottom="0" w:gutter="0" w:footer="0" w:header="0"/>
          <w:type w:val="continuous"/>
        </w:sectPr>
      </w:pPr>
    </w:p>
    <w:bookmarkStart w:id="184" w:name="page185"/>
    <w:bookmarkEnd w:id="184"/>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and Addenda are attached hereto and incorporated herein by this reference:</w:t>
      </w:r>
    </w:p>
    <w:p>
      <w:pPr>
        <w:spacing w:after="0" w:line="218" w:lineRule="exact"/>
        <w:rPr>
          <w:sz w:val="20"/>
          <w:szCs w:val="20"/>
          <w:color w:val="auto"/>
        </w:rPr>
      </w:pPr>
    </w:p>
    <w:p>
      <w:pPr>
        <w:ind w:left="460" w:hanging="455"/>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EXHIBIT A-1 –</w:t>
      </w:r>
      <w:r>
        <w:rPr>
          <w:rFonts w:ascii="Arial" w:cs="Arial" w:eastAsia="Arial" w:hAnsi="Arial"/>
          <w:sz w:val="16"/>
          <w:szCs w:val="16"/>
          <w:color w:val="auto"/>
        </w:rPr>
        <w:t>CURRENT PREMISES DESCRIPTION</w:t>
      </w:r>
    </w:p>
    <w:p>
      <w:pPr>
        <w:spacing w:after="0" w:line="32" w:lineRule="exact"/>
        <w:rPr>
          <w:rFonts w:ascii="Arial" w:cs="Arial" w:eastAsia="Arial" w:hAnsi="Arial"/>
          <w:sz w:val="17"/>
          <w:szCs w:val="17"/>
          <w:color w:val="auto"/>
        </w:rPr>
      </w:pPr>
    </w:p>
    <w:p>
      <w:pPr>
        <w:ind w:left="460" w:hanging="455"/>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EXHIBIT A-2 –</w:t>
      </w:r>
      <w:r>
        <w:rPr>
          <w:rFonts w:ascii="Arial" w:cs="Arial" w:eastAsia="Arial" w:hAnsi="Arial"/>
          <w:sz w:val="16"/>
          <w:szCs w:val="16"/>
          <w:color w:val="auto"/>
        </w:rPr>
        <w:t>EXPANSION PREMISES DESCRIPTION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EXHIBIT B –</w:t>
      </w:r>
      <w:r>
        <w:rPr>
          <w:rFonts w:ascii="Arial" w:cs="Arial" w:eastAsia="Arial" w:hAnsi="Arial"/>
          <w:sz w:val="16"/>
          <w:szCs w:val="16"/>
          <w:color w:val="auto"/>
        </w:rPr>
        <w:t>DESCRIPTION OF PROJECT</w:t>
      </w:r>
    </w:p>
    <w:p>
      <w:pPr>
        <w:spacing w:after="0" w:line="14" w:lineRule="exact"/>
        <w:rPr>
          <w:sz w:val="20"/>
          <w:szCs w:val="20"/>
          <w:color w:val="auto"/>
        </w:rPr>
      </w:pPr>
    </w:p>
    <w:p>
      <w:pPr>
        <w:spacing w:after="0"/>
        <w:tabs>
          <w:tab w:leader="none" w:pos="440" w:val="left"/>
          <w:tab w:leader="none" w:pos="206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b w:val="1"/>
          <w:bCs w:val="1"/>
          <w:color w:val="auto"/>
        </w:rPr>
        <w:t>EXHIBIT C –</w:t>
      </w:r>
      <w:r>
        <w:rPr>
          <w:sz w:val="20"/>
          <w:szCs w:val="20"/>
          <w:color w:val="auto"/>
        </w:rPr>
        <w:tab/>
      </w:r>
      <w:r>
        <w:rPr>
          <w:rFonts w:ascii="Arial" w:cs="Arial" w:eastAsia="Arial" w:hAnsi="Arial"/>
          <w:sz w:val="16"/>
          <w:szCs w:val="16"/>
          <w:color w:val="auto"/>
        </w:rPr>
        <w:t>WORK LETTER</w:t>
      </w:r>
    </w:p>
    <w:p>
      <w:pPr>
        <w:spacing w:after="0" w:line="14" w:lineRule="exact"/>
        <w:rPr>
          <w:sz w:val="20"/>
          <w:szCs w:val="20"/>
          <w:color w:val="auto"/>
        </w:rPr>
      </w:pPr>
    </w:p>
    <w:p>
      <w:pPr>
        <w:ind w:left="460" w:hanging="455"/>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EXHIBIT D –</w:t>
      </w:r>
      <w:r>
        <w:rPr>
          <w:rFonts w:ascii="Arial" w:cs="Arial" w:eastAsia="Arial" w:hAnsi="Arial"/>
          <w:sz w:val="17"/>
          <w:szCs w:val="17"/>
          <w:color w:val="auto"/>
        </w:rPr>
        <w:t>ACKNOWLEDGEMENT OF COMMENCEMENT DATE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EXHIBIT E –</w:t>
      </w:r>
      <w:r>
        <w:rPr>
          <w:rFonts w:ascii="Arial" w:cs="Arial" w:eastAsia="Arial" w:hAnsi="Arial"/>
          <w:sz w:val="16"/>
          <w:szCs w:val="16"/>
          <w:color w:val="auto"/>
        </w:rPr>
        <w:t>RULES AND REGULATIONS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EXHIBIT F –</w:t>
      </w:r>
      <w:r>
        <w:rPr>
          <w:rFonts w:ascii="Arial" w:cs="Arial" w:eastAsia="Arial" w:hAnsi="Arial"/>
          <w:sz w:val="16"/>
          <w:szCs w:val="16"/>
          <w:color w:val="auto"/>
        </w:rPr>
        <w:t>TENANT’S PERSONAL PROPERTY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EXHIBIT G –</w:t>
      </w:r>
      <w:r>
        <w:rPr>
          <w:rFonts w:ascii="Arial" w:cs="Arial" w:eastAsia="Arial" w:hAnsi="Arial"/>
          <w:sz w:val="16"/>
          <w:szCs w:val="16"/>
          <w:color w:val="auto"/>
        </w:rPr>
        <w:t>LANDLORD’S PROPERTY</w:t>
      </w:r>
    </w:p>
    <w:p>
      <w:pPr>
        <w:spacing w:after="0" w:line="206" w:lineRule="exact"/>
        <w:rPr>
          <w:rFonts w:ascii="Arial" w:cs="Arial" w:eastAsia="Arial" w:hAnsi="Arial"/>
          <w:sz w:val="17"/>
          <w:szCs w:val="17"/>
          <w:color w:val="auto"/>
        </w:rPr>
      </w:pPr>
    </w:p>
    <w:p>
      <w:pPr>
        <w:ind w:right="20" w:firstLine="760"/>
        <w:spacing w:after="0" w:line="277" w:lineRule="auto"/>
        <w:tabs>
          <w:tab w:leader="none" w:pos="1253"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leases the Premises from Landlord. The portions of the Project which are for the non-exclusive use of tenants of the Project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Landlord reserves the right to modify Common Areas,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provided that such modifications do not materially adversely affect Tenant’s use of the Premises for the Permitted Use and provided that such modifications do not materially increase the obligations or materially decrease the rights of Tenant under this Lease.</w:t>
      </w:r>
    </w:p>
    <w:p>
      <w:pPr>
        <w:spacing w:after="0" w:line="152" w:lineRule="exact"/>
        <w:rPr>
          <w:sz w:val="20"/>
          <w:szCs w:val="20"/>
          <w:color w:val="auto"/>
        </w:rPr>
      </w:pPr>
    </w:p>
    <w:p>
      <w:pPr>
        <w:ind w:left="1260" w:hanging="626"/>
        <w:spacing w:after="0"/>
        <w:tabs>
          <w:tab w:leader="none" w:pos="12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Prior Lease; Commencement Date; Term; Acceptance of Premises</w:t>
      </w:r>
      <w:r>
        <w:rPr>
          <w:rFonts w:ascii="Arial" w:cs="Arial" w:eastAsia="Arial" w:hAnsi="Arial"/>
          <w:sz w:val="17"/>
          <w:szCs w:val="17"/>
          <w:color w:val="auto"/>
        </w:rPr>
        <w:t>.</w:t>
      </w:r>
    </w:p>
    <w:p>
      <w:pPr>
        <w:spacing w:after="0" w:line="224" w:lineRule="exact"/>
        <w:rPr>
          <w:sz w:val="20"/>
          <w:szCs w:val="20"/>
          <w:color w:val="auto"/>
        </w:rPr>
      </w:pPr>
    </w:p>
    <w:p>
      <w:pPr>
        <w:ind w:left="1260" w:hanging="626"/>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Prior Lease; Term</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firstLine="560"/>
        <w:spacing w:after="0" w:line="268" w:lineRule="auto"/>
        <w:tabs>
          <w:tab w:leader="none" w:pos="1922" w:val="left"/>
        </w:tabs>
        <w:numPr>
          <w:ilvl w:val="1"/>
          <w:numId w:val="99"/>
        </w:numPr>
        <w:rPr>
          <w:rFonts w:ascii="Arial" w:cs="Arial" w:eastAsia="Arial" w:hAnsi="Arial"/>
          <w:sz w:val="17"/>
          <w:szCs w:val="17"/>
          <w:color w:val="auto"/>
        </w:rPr>
      </w:pPr>
      <w:r>
        <w:rPr>
          <w:rFonts w:ascii="Arial" w:cs="Arial" w:eastAsia="Arial" w:hAnsi="Arial"/>
          <w:sz w:val="17"/>
          <w:szCs w:val="17"/>
          <w:color w:val="auto"/>
        </w:rPr>
        <w:t>Landlord and Tenant hereby acknowledge and agree that, as of the Lease Date (A) the Current Premises Consent Agreement contains the complete agreement between Landlord and Tenant with respect to the Current Premises, (B) the Expansion Premises Consent Agreement contains the complete agreement between Landlord and Tenant with respect to the Expansion Premises, and (C) both the Current Premises Consent Agreement and the Expansion Premises Consent Agreement are in full force and effect.</w:t>
      </w:r>
    </w:p>
    <w:p>
      <w:pPr>
        <w:spacing w:after="0" w:line="175" w:lineRule="exact"/>
        <w:rPr>
          <w:rFonts w:ascii="Arial" w:cs="Arial" w:eastAsia="Arial" w:hAnsi="Arial"/>
          <w:sz w:val="17"/>
          <w:szCs w:val="17"/>
          <w:color w:val="auto"/>
        </w:rPr>
      </w:pPr>
    </w:p>
    <w:p>
      <w:pPr>
        <w:ind w:left="640" w:right="120" w:firstLine="560"/>
        <w:spacing w:after="0" w:line="285" w:lineRule="auto"/>
        <w:tabs>
          <w:tab w:leader="none" w:pos="1931" w:val="left"/>
        </w:tabs>
        <w:numPr>
          <w:ilvl w:val="1"/>
          <w:numId w:val="99"/>
        </w:numPr>
        <w:rPr>
          <w:rFonts w:ascii="Arial" w:cs="Arial" w:eastAsia="Arial" w:hAnsi="Arial"/>
          <w:sz w:val="16"/>
          <w:szCs w:val="16"/>
          <w:color w:val="auto"/>
        </w:rPr>
      </w:pPr>
      <w:r>
        <w:rPr>
          <w:rFonts w:ascii="Arial" w:cs="Arial" w:eastAsia="Arial" w:hAnsi="Arial"/>
          <w:sz w:val="16"/>
          <w:szCs w:val="16"/>
          <w:color w:val="auto"/>
        </w:rPr>
        <w:t>Tenant hereby certifies to Landlord (and its successors and assigns) that, as of the Lease Date except as granted herein, (A) Tenant has no right, title, or interest in or to the Premises or the Project other than as a sublessee of the Current Premises under the Nodality Sublease and as a sublessee of the Expansion Premises under the Poniard Sublease, (B) Tenant has no option, right of first refusal, right of first offer, or other right to acquire or purchase all or any portion of, or interest in, the Premises or the Project and (C) Tenant is not currently subletting any portion of the Premises to any sublessee nor has it assigned any portion of the Nodality Sublease or the Poniard Sublease to any assignee.</w:t>
      </w:r>
    </w:p>
    <w:p>
      <w:pPr>
        <w:spacing w:after="0" w:line="160" w:lineRule="exact"/>
        <w:rPr>
          <w:rFonts w:ascii="Arial" w:cs="Arial" w:eastAsia="Arial" w:hAnsi="Arial"/>
          <w:sz w:val="16"/>
          <w:szCs w:val="16"/>
          <w:color w:val="auto"/>
        </w:rPr>
      </w:pPr>
    </w:p>
    <w:p>
      <w:pPr>
        <w:ind w:left="640" w:right="40" w:firstLine="560"/>
        <w:spacing w:after="0" w:line="277" w:lineRule="auto"/>
        <w:tabs>
          <w:tab w:leader="none" w:pos="19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Current Premises Commencement Date</w:t>
      </w:r>
      <w:r>
        <w:rPr>
          <w:rFonts w:ascii="Arial" w:cs="Arial" w:eastAsia="Arial" w:hAnsi="Arial"/>
          <w:sz w:val="16"/>
          <w:szCs w:val="16"/>
          <w:color w:val="auto"/>
        </w:rPr>
        <w:t>” shall be the earlier to occur of (i) April 1, 2010 and (ii) the termination of the Nodality Lease.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xml:space="preserve">” shall be the earlier to occur of (x) July 12, 2011 and (y) the termination of the Poniard Lease. From time to time, upon request of Landlord, Tenant shall execute and deliver a written acknowledgment of the Current Premises Commencement Date, the Expansion Premises Commencement Date and the expiration date of the Term, or whichever of such dates have then been established, when such are established in the form of the “Acknowledgement of Commencement Date” attached to this Lease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in the Basic Lease Provisions and any Extension Term which Tenant may elect pursuant to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hereof. Notwithstanding anything to the contrary herein, (a) until the Current Premises Commencement Date, the “Premises” shall not include the Current Premises and Tenant’s Share of Operating Expenses shall not include the share allocated to the Current Premises and (b) until the Expansion Premises Commencement Date, the “Premises” shall not include the Expansion Premises and Tenant’s Share of Operating Expenses shall not include the share allocable to the Expansion Premises. Notwithstanding anything to the contrary in this Lease, if the Current Premises Commencement Date occurs before April 1, 2010 or the Expansion Premises Commencement Date occurs before July 12, 2011, Tenant shall not be required to pay rent under this Lease with respect to the Current Premises or the Expansion Premises, as applicable, for any period for which Tenant paid rent for the same under the Poniard Sublease or the Nodality Sublease, as applicable.</w:t>
      </w:r>
    </w:p>
    <w:p>
      <w:pPr>
        <w:spacing w:after="0" w:line="179" w:lineRule="exact"/>
        <w:rPr>
          <w:rFonts w:ascii="Arial" w:cs="Arial" w:eastAsia="Arial" w:hAnsi="Arial"/>
          <w:sz w:val="16"/>
          <w:szCs w:val="16"/>
          <w:color w:val="auto"/>
        </w:rPr>
      </w:pPr>
    </w:p>
    <w:p>
      <w:pPr>
        <w:ind w:left="640" w:right="40" w:firstLine="560"/>
        <w:spacing w:after="0" w:line="265" w:lineRule="auto"/>
        <w:tabs>
          <w:tab w:leader="none" w:pos="1917" w:val="left"/>
        </w:tabs>
        <w:numPr>
          <w:ilvl w:val="1"/>
          <w:numId w:val="99"/>
        </w:numPr>
        <w:rPr>
          <w:rFonts w:ascii="Arial" w:cs="Arial" w:eastAsia="Arial" w:hAnsi="Arial"/>
          <w:sz w:val="17"/>
          <w:szCs w:val="17"/>
          <w:color w:val="auto"/>
        </w:rPr>
      </w:pPr>
      <w:r>
        <w:rPr>
          <w:rFonts w:ascii="Arial" w:cs="Arial" w:eastAsia="Arial" w:hAnsi="Arial"/>
          <w:sz w:val="17"/>
          <w:szCs w:val="17"/>
          <w:color w:val="auto"/>
        </w:rPr>
        <w:t>As of the Current Premises Commencement Date, the Nodality Sublease and the Current Premises Consent Agreement shall expire and be of no further force or effect. As of the Expansion Premises Commencement Date, the Poniard Sublease and the Expansion Premises Consent Agreement shall expire and be of no further force or effect. Landlord may terminate the Nodality Lease prior to the natural expiration thereof, on terms and conditions acceptable to Landlord in its sole and absolute discretion. Landlord may terminate the Poniard Lease prior to the natural expiration thereof, on terms and conditions acceptable to Landlord in its sole and absolute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firstLine="566"/>
        <w:spacing w:after="0" w:line="262" w:lineRule="auto"/>
        <w:rPr>
          <w:sz w:val="20"/>
          <w:szCs w:val="20"/>
          <w:color w:val="auto"/>
        </w:rPr>
      </w:pPr>
      <w:r>
        <w:rPr>
          <w:rFonts w:ascii="Arial" w:cs="Arial" w:eastAsia="Arial" w:hAnsi="Arial"/>
          <w:sz w:val="17"/>
          <w:szCs w:val="17"/>
          <w:color w:val="auto"/>
        </w:rPr>
        <w:t>Upon the expiration or earlier termination of the Nodality Lease, Tenant shall have no other right, title, or interest, of any kind, direct or indirect, in any portion of the Current Premises, except as expressly provided in this Lease. All obligations of the parties under the Current Premises Consent Agreement which are by their terms intended to survive the termination of the Nodality Lease, the Nodality Sublease and the Current Premises Consent Agreement (including, without limitation, indemnity obligations and obligations concerning the condition and repair of the Current Premises and/or the Project) (the “</w:t>
      </w:r>
      <w:r>
        <w:rPr>
          <w:rFonts w:ascii="Arial" w:cs="Arial" w:eastAsia="Arial" w:hAnsi="Arial"/>
          <w:sz w:val="17"/>
          <w:szCs w:val="17"/>
          <w:b w:val="1"/>
          <w:bCs w:val="1"/>
          <w:color w:val="auto"/>
        </w:rPr>
        <w:t>Nodality Prior Lease Obligations</w:t>
      </w:r>
      <w:r>
        <w:rPr>
          <w:rFonts w:ascii="Arial" w:cs="Arial" w:eastAsia="Arial" w:hAnsi="Arial"/>
          <w:sz w:val="17"/>
          <w:szCs w:val="17"/>
          <w:color w:val="auto"/>
        </w:rPr>
        <w:t>”) shall survive such termination of the Nodality Lease, the Nodality Sublease and the Current Premises Consent Agreement for the benefit of Landlord (and its successors and assigns) and Tenant. Landlord hereby reserves all rights and claims that Landlord may have against Tenant for any such Nodality Prior Lease Obligations.</w:t>
      </w:r>
    </w:p>
    <w:p>
      <w:pPr>
        <w:spacing w:after="0" w:line="184" w:lineRule="exact"/>
        <w:rPr>
          <w:sz w:val="20"/>
          <w:szCs w:val="20"/>
          <w:color w:val="auto"/>
        </w:rPr>
      </w:pPr>
    </w:p>
    <w:p>
      <w:pPr>
        <w:ind w:left="640" w:firstLine="566"/>
        <w:spacing w:after="0" w:line="308" w:lineRule="auto"/>
        <w:rPr>
          <w:sz w:val="20"/>
          <w:szCs w:val="20"/>
          <w:color w:val="auto"/>
        </w:rPr>
      </w:pPr>
      <w:r>
        <w:rPr>
          <w:rFonts w:ascii="Arial" w:cs="Arial" w:eastAsia="Arial" w:hAnsi="Arial"/>
          <w:sz w:val="15"/>
          <w:szCs w:val="15"/>
          <w:color w:val="auto"/>
        </w:rPr>
        <w:t>Upon the expiration or earlier termination of the Poniard Lease, Tenant shall have no other right, title, or interest, of any kind, direct or indirect, in any portion of the Expansion Premises, except as expressly provided in this Lease. All obligations of the parties under the Expansion Premises Consent Agreement which are by their terms intended to survive the termination of the Poniard Lease, the Poniard Sublease and the Expansion Premises Consent Agreement (including, without limitation, indemnity obligations and obligations concerning the condition and repair of the Expansion Premises and/or the Project) (the “</w:t>
      </w:r>
      <w:r>
        <w:rPr>
          <w:rFonts w:ascii="Arial" w:cs="Arial" w:eastAsia="Arial" w:hAnsi="Arial"/>
          <w:sz w:val="15"/>
          <w:szCs w:val="15"/>
          <w:b w:val="1"/>
          <w:bCs w:val="1"/>
          <w:color w:val="auto"/>
        </w:rPr>
        <w:t>Poniard Prior Lease Obligations</w:t>
      </w:r>
      <w:r>
        <w:rPr>
          <w:rFonts w:ascii="Arial" w:cs="Arial" w:eastAsia="Arial" w:hAnsi="Arial"/>
          <w:sz w:val="15"/>
          <w:szCs w:val="15"/>
          <w:color w:val="auto"/>
        </w:rPr>
        <w:t>”) shall survive such termination of the Poniard Lease, the Poniard Sublease and the Expansion</w:t>
      </w:r>
    </w:p>
    <w:p>
      <w:pPr>
        <w:sectPr>
          <w:pgSz w:w="11900" w:h="16878" w:orient="portrait"/>
          <w:cols w:equalWidth="0" w:num="1">
            <w:col w:w="11420"/>
          </w:cols>
          <w:pgMar w:left="240" w:top="128" w:right="239" w:bottom="0" w:gutter="0" w:footer="0" w:header="0"/>
        </w:sectPr>
      </w:pPr>
    </w:p>
    <w:bookmarkStart w:id="185" w:name="page186"/>
    <w:bookmarkEnd w:id="185"/>
    <w:p>
      <w:pPr>
        <w:ind w:left="640" w:right="120"/>
        <w:spacing w:after="0" w:line="289" w:lineRule="auto"/>
        <w:rPr>
          <w:sz w:val="20"/>
          <w:szCs w:val="20"/>
          <w:color w:val="auto"/>
        </w:rPr>
      </w:pPr>
      <w:r>
        <w:rPr>
          <w:rFonts w:ascii="Arial" w:cs="Arial" w:eastAsia="Arial" w:hAnsi="Arial"/>
          <w:sz w:val="17"/>
          <w:szCs w:val="17"/>
          <w:color w:val="auto"/>
        </w:rPr>
        <w:t>Premises Consent Agreement for the benefit of Landlord (and its successors and assigns) and Tenant. Landlord hereby reserves all rights and claims that Landlord may have against Tenant for any such Poniard Prior Lease Obligations.</w:t>
      </w:r>
    </w:p>
    <w:p>
      <w:pPr>
        <w:spacing w:after="0" w:line="158" w:lineRule="exact"/>
        <w:rPr>
          <w:sz w:val="20"/>
          <w:szCs w:val="20"/>
          <w:color w:val="auto"/>
        </w:rPr>
      </w:pPr>
    </w:p>
    <w:p>
      <w:pPr>
        <w:ind w:left="640" w:right="140" w:firstLine="566"/>
        <w:spacing w:after="0" w:line="268" w:lineRule="auto"/>
        <w:rPr>
          <w:sz w:val="20"/>
          <w:szCs w:val="20"/>
          <w:color w:val="auto"/>
        </w:rPr>
      </w:pPr>
      <w:r>
        <w:rPr>
          <w:rFonts w:ascii="Arial" w:cs="Arial" w:eastAsia="Arial" w:hAnsi="Arial"/>
          <w:sz w:val="17"/>
          <w:szCs w:val="17"/>
          <w:color w:val="auto"/>
        </w:rPr>
        <w:t>This Lease constitutes the complete agreement of Landlord and Tenant with respect to the subject matter hereof and supersedes any and all prior representations, inducements, promises, agreements, understandings, and negotiations that are not contained herein including, without limitation, the Nodality Lease, the Poniard Lease, the Nodality Sublease, the Poniard Sublease, the Current Premises Consent Agreement and the Expansion Premises Consent Agreement.</w:t>
      </w:r>
    </w:p>
    <w:p>
      <w:pPr>
        <w:spacing w:after="0" w:line="170" w:lineRule="exact"/>
        <w:rPr>
          <w:sz w:val="20"/>
          <w:szCs w:val="20"/>
          <w:color w:val="auto"/>
        </w:rPr>
      </w:pPr>
    </w:p>
    <w:p>
      <w:pPr>
        <w:ind w:firstLine="634"/>
        <w:spacing w:after="0" w:line="277" w:lineRule="auto"/>
        <w:tabs>
          <w:tab w:leader="none" w:pos="1266"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Acceptance of Premises</w:t>
      </w:r>
      <w:r>
        <w:rPr>
          <w:rFonts w:ascii="Arial" w:cs="Arial" w:eastAsia="Arial" w:hAnsi="Arial"/>
          <w:sz w:val="16"/>
          <w:szCs w:val="16"/>
          <w:color w:val="auto"/>
        </w:rPr>
        <w:t>. Tenant has been in possession of, and conducting business in, the Current Premises under the Nodality Sublease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expects to be in possession of the Expansion Premises under the Poniard Sublease as of the Lease Date, and intends to continue conducting business in the Premises, without interruption, from and after the Lease Date. Further, since (i) the Current Premises will not be empty and/or unoccupied at any time prior to the Current Premises Commencement Date and Landlord will have no opportunity to inspect, examine, and/or audit the Current Premises in order to establish the condition of the Current Premises as of the Current Premises Commencement Date, Landlord shall have no liability for any defects in the Current Premises (whether latent or. patent) and, except as set forth in the Work Letter, shall have no obligation to perform any work or to refurbish, finish, or otherwise alter the Current Premises in order to prepare the Current Premises for Tenant’s use or occupancy and (ii) the Expansion Premises will not be empty and/or unoccupied at any time prior to the Expansion Premises Commencement Date and Landlord will have no opportunity to inspect, examine, and/or audit the Expansion Premises in order to establish the condition of the Expansion Premises as of the Expansion Premises Commencement Date, Landlord shall have no liability for any defects in the Expansion Premises (whether latent or patent) and, except as set forth in the Work Letter, shall have no obligation to perform any work or to refurbish, finish, or otherwise alter the Expansion Premises in order to prepare the Expansion Premises for Tenant’s use or occupancy. As a result, as conclusively evidenced by Tenant’s execution and delivery of this Lease, Tenant accepts the Premises “as is”, in their condition as of the Lease Date, without any qualifications, restrictions, or limitations, subject to all applicable Legal Requirements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Landlord in executing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does so in reliance upon Tenant’s representations, warranties, acknowledgments and agreements contained herein.</w:t>
      </w:r>
    </w:p>
    <w:p>
      <w:pPr>
        <w:spacing w:after="0" w:line="224"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Notwithstanding anything to the contrary in this Lease, Landlord agrees that (a) Tenant’s continued occupancy of the Current Premises following the Current Premises Commencement Date or the Expansion Premises following the Expansion Premises Commencement Date, shall be pursuant to this Lease and shall not constitute a holdover under the Nodality Lease or Poniard Lease and (b) neither Nodality nor Poniard shall have any obligation to remove or restore any existing alterations in the Premises or to remove or restore Landlord’s Work.</w:t>
      </w:r>
    </w:p>
    <w:p>
      <w:pPr>
        <w:spacing w:after="0" w:line="17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If the Poniard Lease or the Nodality Lease has terminated due to a casualty or Taking (as hereinafter defined), such casualty or Taking shall be deemed to have occurred during the Term of this Lease and the rights and obligations of Landlord and Tenant with respect to this Lease shall be governed by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this Lease, as applicable.</w:t>
      </w:r>
    </w:p>
    <w:p>
      <w:pPr>
        <w:spacing w:after="0" w:line="172" w:lineRule="exact"/>
        <w:rPr>
          <w:sz w:val="20"/>
          <w:szCs w:val="20"/>
          <w:color w:val="auto"/>
        </w:rPr>
      </w:pPr>
    </w:p>
    <w:p>
      <w:pPr>
        <w:ind w:right="180" w:firstLine="629"/>
        <w:spacing w:after="0" w:line="295" w:lineRule="auto"/>
        <w:rPr>
          <w:sz w:val="20"/>
          <w:szCs w:val="20"/>
          <w:color w:val="auto"/>
        </w:rPr>
      </w:pPr>
      <w:r>
        <w:rPr>
          <w:rFonts w:ascii="Arial" w:cs="Arial" w:eastAsia="Arial" w:hAnsi="Arial"/>
          <w:sz w:val="15"/>
          <w:szCs w:val="15"/>
          <w:color w:val="auto"/>
        </w:rPr>
        <w:t>Subject to delays resulting from Force Majeure and Tenant Delay (as defined in the Work Letter), Landlord shall use reasonable efforts to cause Landlord’s Work to be Substantially Complete (as defined in the Work Letter) on or before the date which is 56 days after the Lease Date (“</w:t>
      </w:r>
      <w:r>
        <w:rPr>
          <w:rFonts w:ascii="Arial" w:cs="Arial" w:eastAsia="Arial" w:hAnsi="Arial"/>
          <w:sz w:val="15"/>
          <w:szCs w:val="15"/>
          <w:b w:val="1"/>
          <w:bCs w:val="1"/>
          <w:color w:val="auto"/>
        </w:rPr>
        <w:t>Target Completion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If Landlord fails to complete Landlord’s Work by the Target Completion Date, Landlord shall not be liable to Tenant for any loss or damage resulting</w:t>
      </w:r>
      <w:r>
        <w:rPr>
          <w:rFonts w:ascii="Arial" w:cs="Arial" w:eastAsia="Arial" w:hAnsi="Arial"/>
          <w:sz w:val="15"/>
          <w:szCs w:val="15"/>
          <w:b w:val="1"/>
          <w:bCs w:val="1"/>
          <w:color w:val="auto"/>
        </w:rPr>
        <w:t xml:space="preserve"> </w:t>
      </w:r>
      <w:r>
        <w:rPr>
          <w:rFonts w:ascii="Arial" w:cs="Arial" w:eastAsia="Arial" w:hAnsi="Arial"/>
          <w:sz w:val="15"/>
          <w:szCs w:val="15"/>
          <w:color w:val="auto"/>
        </w:rPr>
        <w:t>therefrom, and this Lease shall not be void or voidable. If Landlord fails to Substantially Complete Landlord’s Work by the date which is 70 days after the Lease Date (which date shall be extended for delays resulting from Force Majeure and Tenant Delay) (such date, as so extended, the “</w:t>
      </w:r>
      <w:r>
        <w:rPr>
          <w:rFonts w:ascii="Arial" w:cs="Arial" w:eastAsia="Arial" w:hAnsi="Arial"/>
          <w:sz w:val="15"/>
          <w:szCs w:val="15"/>
          <w:b w:val="1"/>
          <w:bCs w:val="1"/>
          <w:color w:val="auto"/>
        </w:rPr>
        <w:t>Outside Delivery Date</w:t>
      </w:r>
      <w:r>
        <w:rPr>
          <w:rFonts w:ascii="Arial" w:cs="Arial" w:eastAsia="Arial" w:hAnsi="Arial"/>
          <w:sz w:val="15"/>
          <w:szCs w:val="15"/>
          <w:color w:val="auto"/>
        </w:rPr>
        <w:t>”), then</w:t>
      </w:r>
    </w:p>
    <w:p>
      <w:pPr>
        <w:spacing w:after="0" w:line="1" w:lineRule="exact"/>
        <w:rPr>
          <w:sz w:val="20"/>
          <w:szCs w:val="20"/>
          <w:color w:val="auto"/>
        </w:rPr>
      </w:pPr>
    </w:p>
    <w:p>
      <w:pPr>
        <w:ind w:left="220" w:hanging="215"/>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 Rent under this Lease shall abate by one day for each day of delay in Substantial Completion of Landlord’s Work beyond the Outside Delivery Date and</w:t>
      </w:r>
    </w:p>
    <w:p>
      <w:pPr>
        <w:spacing w:after="0" w:line="25" w:lineRule="exact"/>
        <w:rPr>
          <w:rFonts w:ascii="Arial" w:cs="Arial" w:eastAsia="Arial" w:hAnsi="Arial"/>
          <w:sz w:val="16"/>
          <w:szCs w:val="16"/>
          <w:color w:val="auto"/>
        </w:rPr>
      </w:pPr>
    </w:p>
    <w:p>
      <w:pPr>
        <w:ind w:right="120" w:firstLine="5"/>
        <w:spacing w:after="0" w:line="261" w:lineRule="auto"/>
        <w:tabs>
          <w:tab w:leader="none" w:pos="25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Base Term shall be extended by one day for each day of delay in Substantial Completion of Landlord’s Work beyond the Outside Delivery Date. Landlord agrees to use reasonable efforts to perform Landlord’s Work in a manner which does not unreasonably interfere with Tenant’s use and enjoyment of the Premises under the Nodality Sublease and the Poniard Sublease. Without limiting the foregoing, Landlord agrees that it shall endeavor to schedule any utility interruptions related to the performance of Landlord’s Work on weekends and shall endeavor to provide Tenant with at least 5 business days prior notice of any such interruption; provided, however, that notwithstanding anything to the contrary contained herein, in no event shall Landlord have any obligation to incur any additional or overtime costs to complete Landlord’s Work.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contained herein, for the period of 60 consecutive days after (i) the Lease Date, as to the Current Premises and</w:t>
      </w:r>
    </w:p>
    <w:p>
      <w:pPr>
        <w:spacing w:after="0" w:line="38" w:lineRule="exact"/>
        <w:rPr>
          <w:sz w:val="20"/>
          <w:szCs w:val="20"/>
          <w:color w:val="auto"/>
        </w:rPr>
      </w:pPr>
    </w:p>
    <w:p>
      <w:pPr>
        <w:ind w:right="360" w:firstLine="5"/>
        <w:spacing w:after="0" w:line="266" w:lineRule="auto"/>
        <w:tabs>
          <w:tab w:leader="none" w:pos="25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Substantial Completion of Landlord’s Work, as to the Expansion Premises, Landlord shall, at its sole cost and expense (which shall not constitute an Operating Expense), be responsible for any repairs that are required to be made to the Building and Building Systems serving the Premises, unless Tenant was responsible for the cause of such repair, in which case Tenant shall pay the cost.</w:t>
      </w:r>
    </w:p>
    <w:p>
      <w:pPr>
        <w:spacing w:after="0" w:line="177"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Tenant shall have the right during the Term to use all the office furniture and equipment located within the Premises as of the date hereof that is owned by Landlord, as more specifically described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w:t>
      </w:r>
      <w:r>
        <w:rPr>
          <w:rFonts w:ascii="Arial" w:cs="Arial" w:eastAsia="Arial" w:hAnsi="Arial"/>
          <w:sz w:val="16"/>
          <w:szCs w:val="16"/>
          <w:b w:val="1"/>
          <w:bCs w:val="1"/>
          <w:color w:val="auto"/>
        </w:rPr>
        <w:t>Landlord’s Property</w:t>
      </w:r>
      <w:r>
        <w:rPr>
          <w:rFonts w:ascii="Arial" w:cs="Arial" w:eastAsia="Arial" w:hAnsi="Arial"/>
          <w:sz w:val="16"/>
          <w:szCs w:val="16"/>
          <w:color w:val="auto"/>
        </w:rPr>
        <w:t>”). Tenant shall accept Landlord’s Property in its “as is” condition as of the Lease Date and shall return all of Landlord’s Property located in the Premises as of the Lease Date to Landlord upon the expiration or earlier termination of this Lease in the same condition as received, ordinary wear and tear excepted; provided, however, Tenant shall have the right to remove the 3, 8-foot chemical fume hoods in the chemistry lab of the Premises (the “</w:t>
      </w:r>
      <w:r>
        <w:rPr>
          <w:rFonts w:ascii="Arial" w:cs="Arial" w:eastAsia="Arial" w:hAnsi="Arial"/>
          <w:sz w:val="16"/>
          <w:szCs w:val="16"/>
          <w:b w:val="1"/>
          <w:bCs w:val="1"/>
          <w:color w:val="auto"/>
        </w:rPr>
        <w:t>Existing Fume Hoods</w:t>
      </w:r>
      <w:r>
        <w:rPr>
          <w:rFonts w:ascii="Arial" w:cs="Arial" w:eastAsia="Arial" w:hAnsi="Arial"/>
          <w:sz w:val="16"/>
          <w:szCs w:val="16"/>
          <w:color w:val="auto"/>
        </w:rPr>
        <w:t>”) provided that (i) Tenant removes the Existing Fume Hoods in a manner reasonably calculated to avoid damage to both the Existing Fume Hoods and the Premises, (ii) Tenant delivers the Existing Fume Hoods to Landlord after removal and (iii) Tenant repairs any damage to the Premises caused by the removal of the Existing Fume Hoods.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Rent.</w:t>
      </w:r>
    </w:p>
    <w:p>
      <w:pPr>
        <w:spacing w:after="0" w:line="224" w:lineRule="exact"/>
        <w:rPr>
          <w:sz w:val="20"/>
          <w:szCs w:val="20"/>
          <w:color w:val="auto"/>
        </w:rPr>
      </w:pPr>
    </w:p>
    <w:p>
      <w:pPr>
        <w:ind w:right="60" w:firstLine="634"/>
        <w:spacing w:after="0" w:line="311" w:lineRule="auto"/>
        <w:tabs>
          <w:tab w:leader="none" w:pos="1256"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Base Rent</w:t>
      </w:r>
      <w:r>
        <w:rPr>
          <w:rFonts w:ascii="Arial" w:cs="Arial" w:eastAsia="Arial" w:hAnsi="Arial"/>
          <w:sz w:val="15"/>
          <w:szCs w:val="15"/>
          <w:color w:val="auto"/>
        </w:rPr>
        <w:t>. The second month’s Base Rent and the Security Deposit shall be due and payable on delivery of an executed copy of this Lease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w:t>
      </w:r>
    </w:p>
    <w:p>
      <w:pPr>
        <w:sectPr>
          <w:pgSz w:w="11900" w:h="16838" w:orient="portrait"/>
          <w:cols w:equalWidth="0" w:num="1">
            <w:col w:w="11420"/>
          </w:cols>
          <w:pgMar w:left="240" w:top="127" w:right="239" w:bottom="0" w:gutter="0" w:footer="0" w:header="0"/>
        </w:sectPr>
      </w:pPr>
    </w:p>
    <w:bookmarkStart w:id="186" w:name="page187"/>
    <w:bookmarkEnd w:id="186"/>
    <w:p>
      <w:pPr>
        <w:ind w:right="200"/>
        <w:spacing w:after="0" w:line="289" w:lineRule="auto"/>
        <w:rPr>
          <w:sz w:val="20"/>
          <w:szCs w:val="20"/>
          <w:color w:val="auto"/>
        </w:rPr>
      </w:pPr>
      <w:r>
        <w:rPr>
          <w:rFonts w:ascii="Arial" w:cs="Arial" w:eastAsia="Arial" w:hAnsi="Arial"/>
          <w:sz w:val="17"/>
          <w:szCs w:val="17"/>
          <w:color w:val="auto"/>
        </w:rPr>
        <w:t xml:space="preserve">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58"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Notwithstanding anything to the contrary contained in this Lease, if the Current Premises Commencement Date occurs prior to April 1, 2010, Tenant shall only be required to pay Base Rent for the Current Premises in the amount of $25,969.77 per month commencing on the Current Premises Commencement Date through March 31, 2010. Notwithstanding anything to the contrary contained in this Lease, if the Expansion Premises Commencement Date occurs prior to</w:t>
      </w:r>
    </w:p>
    <w:p>
      <w:pPr>
        <w:spacing w:after="0" w:line="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July 12, 2011, Tenant shall be required to pay Base Rent for the Expansion Premises in the amount of $17,600.00 per month, if prior to September 1, 2010, and otherwise $28,124.25 per month commencing on the Expansion Premises Commencement Date through July 11, 2011.</w:t>
      </w:r>
    </w:p>
    <w:p>
      <w:pPr>
        <w:spacing w:after="0" w:line="163" w:lineRule="exact"/>
        <w:rPr>
          <w:sz w:val="20"/>
          <w:szCs w:val="20"/>
          <w:color w:val="auto"/>
        </w:rPr>
      </w:pPr>
    </w:p>
    <w:p>
      <w:pPr>
        <w:ind w:right="20" w:firstLine="634"/>
        <w:spacing w:after="0" w:line="267" w:lineRule="auto"/>
        <w:tabs>
          <w:tab w:leader="none" w:pos="1266"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commencing on the earlier to occur of (A) the Current Premises Commencement Date and (B)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Premises Commencement Date,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xml:space="preserve">”): (i) Tenant’s Share of “Operating 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1" w:lineRule="exact"/>
        <w:rPr>
          <w:sz w:val="20"/>
          <w:szCs w:val="20"/>
          <w:color w:val="auto"/>
        </w:rPr>
      </w:pPr>
    </w:p>
    <w:p>
      <w:pPr>
        <w:ind w:left="1260" w:hanging="626"/>
        <w:spacing w:after="0"/>
        <w:tabs>
          <w:tab w:leader="none" w:pos="126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Intentionally Deleted</w:t>
      </w:r>
    </w:p>
    <w:p>
      <w:pPr>
        <w:spacing w:after="0" w:line="224" w:lineRule="exact"/>
        <w:rPr>
          <w:rFonts w:ascii="Arial" w:cs="Arial" w:eastAsia="Arial" w:hAnsi="Arial"/>
          <w:sz w:val="17"/>
          <w:szCs w:val="17"/>
          <w:color w:val="auto"/>
        </w:rPr>
      </w:pPr>
    </w:p>
    <w:p>
      <w:pPr>
        <w:ind w:right="40" w:firstLine="634"/>
        <w:spacing w:after="0" w:line="247" w:lineRule="auto"/>
        <w:tabs>
          <w:tab w:leader="none" w:pos="1258"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 calendar year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During each month of the Term, on the same date that Base Rent is due, Tenant shall pay Landlord an amount equal to 1/12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Tenant’s Share of the Annual Estimate. Payments for any fractional calendar month shall be prorated.</w:t>
      </w:r>
    </w:p>
    <w:p>
      <w:pPr>
        <w:spacing w:after="0" w:line="185"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capital repairs and improvements amortized over the lesser of 10 years and the useful life of such capital items as reasonably determined by Landlord (“</w:t>
      </w:r>
      <w:r>
        <w:rPr>
          <w:rFonts w:ascii="Arial" w:cs="Arial" w:eastAsia="Arial" w:hAnsi="Arial"/>
          <w:sz w:val="17"/>
          <w:szCs w:val="17"/>
          <w:b w:val="1"/>
          <w:bCs w:val="1"/>
          <w:color w:val="auto"/>
        </w:rPr>
        <w:t>Approved Capital Expenses</w:t>
      </w:r>
      <w:r>
        <w:rPr>
          <w:rFonts w:ascii="Arial" w:cs="Arial" w:eastAsia="Arial" w:hAnsi="Arial"/>
          <w:sz w:val="17"/>
          <w:szCs w:val="17"/>
          <w:color w:val="auto"/>
        </w:rPr>
        <w:t>”), and the costs of Landlord’s third party property manager (not to exceed 3.0% of Base Rent) or, if there is no third party property manager, administration rent in the amount of 3.0% of Base Rent), excluding only:</w:t>
      </w:r>
    </w:p>
    <w:p>
      <w:pPr>
        <w:spacing w:after="0" w:line="177" w:lineRule="exact"/>
        <w:rPr>
          <w:sz w:val="20"/>
          <w:szCs w:val="20"/>
          <w:color w:val="auto"/>
        </w:rPr>
      </w:pPr>
    </w:p>
    <w:p>
      <w:pPr>
        <w:ind w:right="640" w:firstLine="634"/>
        <w:spacing w:after="0" w:line="289" w:lineRule="auto"/>
        <w:tabs>
          <w:tab w:leader="none" w:pos="125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capital expenditures for expansion of the Project and other capital expenditures to the extent not Approved Capital Expenses;</w:t>
      </w:r>
    </w:p>
    <w:p>
      <w:pPr>
        <w:spacing w:after="0" w:line="224" w:lineRule="exact"/>
        <w:rPr>
          <w:rFonts w:ascii="Arial" w:cs="Arial" w:eastAsia="Arial" w:hAnsi="Arial"/>
          <w:sz w:val="17"/>
          <w:szCs w:val="17"/>
          <w:color w:val="auto"/>
        </w:rPr>
      </w:pPr>
    </w:p>
    <w:p>
      <w:pPr>
        <w:ind w:right="200" w:firstLine="634"/>
        <w:spacing w:after="0" w:line="322" w:lineRule="auto"/>
        <w:tabs>
          <w:tab w:leader="none" w:pos="126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costs incurred to remove, study, test, remediate or otherwise related to the presence of Hazardous Materials in or about the Building or the Project, which Hazardous Materials Tenant proves (i) existed prior to the Lease Date, except to the extent caused by or contributed to by Tenant or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Tenant Party, (ii) originated from any separately demised tenant space within the Project other than the Premises, except to the extent caused by or contributed to by Tenant or any Tenant Party, or (iii) were not brought upon, kept, used, stored, handled, treated, generated in, or released or disposed of from, the Project by Tenant or any Tenant Party;</w:t>
      </w:r>
    </w:p>
    <w:p>
      <w:pPr>
        <w:spacing w:after="0" w:line="172" w:lineRule="exact"/>
        <w:rPr>
          <w:sz w:val="20"/>
          <w:szCs w:val="20"/>
          <w:color w:val="auto"/>
        </w:rPr>
      </w:pPr>
    </w:p>
    <w:p>
      <w:pPr>
        <w:ind w:right="40" w:firstLine="634"/>
        <w:spacing w:after="0" w:line="273" w:lineRule="auto"/>
        <w:tabs>
          <w:tab w:leader="none" w:pos="12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depreciation of the Project and capital expense reserves (except for capital improvements, the cost of which are includable in Operating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Expenses);</w:t>
      </w:r>
    </w:p>
    <w:p>
      <w:pPr>
        <w:spacing w:after="0" w:line="212" w:lineRule="exact"/>
        <w:rPr>
          <w:rFonts w:ascii="Arial" w:cs="Arial" w:eastAsia="Arial" w:hAnsi="Arial"/>
          <w:sz w:val="16"/>
          <w:szCs w:val="16"/>
          <w:color w:val="auto"/>
        </w:rPr>
      </w:pPr>
    </w:p>
    <w:p>
      <w:pPr>
        <w:ind w:right="60" w:firstLine="634"/>
        <w:spacing w:after="0" w:line="289" w:lineRule="auto"/>
        <w:tabs>
          <w:tab w:leader="none" w:pos="126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224" w:lineRule="exact"/>
        <w:rPr>
          <w:rFonts w:ascii="Arial" w:cs="Arial" w:eastAsia="Arial" w:hAnsi="Arial"/>
          <w:sz w:val="17"/>
          <w:szCs w:val="17"/>
          <w:color w:val="auto"/>
        </w:rPr>
      </w:pPr>
    </w:p>
    <w:p>
      <w:pPr>
        <w:ind w:right="40" w:firstLine="634"/>
        <w:spacing w:after="0" w:line="289" w:lineRule="auto"/>
        <w:tabs>
          <w:tab w:leader="none" w:pos="12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costs of utilities outside normal business hours sold to tenants of the Project;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actually paid;</w:t>
      </w:r>
    </w:p>
    <w:p>
      <w:pPr>
        <w:spacing w:after="0" w:line="212" w:lineRule="exact"/>
        <w:rPr>
          <w:rFonts w:ascii="Arial" w:cs="Arial" w:eastAsia="Arial" w:hAnsi="Arial"/>
          <w:sz w:val="16"/>
          <w:szCs w:val="16"/>
          <w:color w:val="auto"/>
        </w:rPr>
      </w:pPr>
    </w:p>
    <w:p>
      <w:pPr>
        <w:ind w:right="400" w:firstLine="634"/>
        <w:spacing w:after="0" w:line="289" w:lineRule="auto"/>
        <w:tabs>
          <w:tab w:leader="none" w:pos="12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w:t>
      </w:r>
    </w:p>
    <w:p>
      <w:pPr>
        <w:spacing w:after="0" w:line="158" w:lineRule="exact"/>
        <w:rPr>
          <w:rFonts w:ascii="Arial" w:cs="Arial" w:eastAsia="Arial" w:hAnsi="Arial"/>
          <w:sz w:val="17"/>
          <w:szCs w:val="17"/>
          <w:color w:val="auto"/>
        </w:rPr>
      </w:pPr>
    </w:p>
    <w:p>
      <w:pPr>
        <w:ind w:right="240" w:firstLine="634"/>
        <w:spacing w:after="0" w:line="289" w:lineRule="auto"/>
        <w:tabs>
          <w:tab w:leader="none" w:pos="127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6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1" w:lineRule="exact"/>
        <w:rPr>
          <w:rFonts w:ascii="Arial" w:cs="Arial" w:eastAsia="Arial" w:hAnsi="Arial"/>
          <w:sz w:val="17"/>
          <w:szCs w:val="17"/>
          <w:color w:val="auto"/>
        </w:rPr>
      </w:pPr>
    </w:p>
    <w:p>
      <w:pPr>
        <w:ind w:firstLine="634"/>
        <w:spacing w:after="0" w:line="289" w:lineRule="auto"/>
        <w:tabs>
          <w:tab w:leader="none" w:pos="12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ectPr>
          <w:pgSz w:w="11900" w:h="16838" w:orient="portrait"/>
          <w:cols w:equalWidth="0" w:num="1">
            <w:col w:w="11420"/>
          </w:cols>
          <w:pgMar w:left="240" w:top="127" w:right="239" w:bottom="88" w:gutter="0" w:footer="0" w:header="0"/>
        </w:sectPr>
      </w:pPr>
    </w:p>
    <w:bookmarkStart w:id="187" w:name="page188"/>
    <w:bookmarkEnd w:id="187"/>
    <w:p>
      <w:pPr>
        <w:spacing w:after="0" w:line="31" w:lineRule="exact"/>
        <w:rPr>
          <w:sz w:val="20"/>
          <w:szCs w:val="20"/>
          <w:color w:val="auto"/>
        </w:rPr>
      </w:pPr>
    </w:p>
    <w:p>
      <w:pPr>
        <w:ind w:right="120" w:firstLine="634"/>
        <w:spacing w:after="0" w:line="322" w:lineRule="auto"/>
        <w:tabs>
          <w:tab w:leader="none" w:pos="126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35" w:lineRule="exact"/>
        <w:rPr>
          <w:rFonts w:ascii="Arial" w:cs="Arial" w:eastAsia="Arial" w:hAnsi="Arial"/>
          <w:sz w:val="16"/>
          <w:szCs w:val="16"/>
          <w:color w:val="auto"/>
        </w:rPr>
      </w:pPr>
    </w:p>
    <w:p>
      <w:pPr>
        <w:ind w:right="300" w:firstLine="634"/>
        <w:spacing w:after="0" w:line="289" w:lineRule="auto"/>
        <w:tabs>
          <w:tab w:leader="none" w:pos="126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3" w:lineRule="auto"/>
        <w:tabs>
          <w:tab w:leader="none" w:pos="127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224" w:lineRule="exact"/>
        <w:rPr>
          <w:rFonts w:ascii="Arial" w:cs="Arial" w:eastAsia="Arial" w:hAnsi="Arial"/>
          <w:sz w:val="17"/>
          <w:szCs w:val="17"/>
          <w:color w:val="auto"/>
        </w:rPr>
      </w:pPr>
    </w:p>
    <w:p>
      <w:pPr>
        <w:ind w:right="180" w:firstLine="634"/>
        <w:spacing w:after="0" w:line="289" w:lineRule="auto"/>
        <w:tabs>
          <w:tab w:leader="none" w:pos="12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58" w:lineRule="exact"/>
        <w:rPr>
          <w:rFonts w:ascii="Arial" w:cs="Arial" w:eastAsia="Arial" w:hAnsi="Arial"/>
          <w:sz w:val="17"/>
          <w:szCs w:val="17"/>
          <w:color w:val="auto"/>
        </w:rPr>
      </w:pPr>
    </w:p>
    <w:p>
      <w:pPr>
        <w:ind w:right="400" w:firstLine="634"/>
        <w:spacing w:after="0" w:line="289" w:lineRule="auto"/>
        <w:tabs>
          <w:tab w:leader="none" w:pos="12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 and</w:t>
      </w:r>
    </w:p>
    <w:p>
      <w:pPr>
        <w:spacing w:after="0" w:line="158" w:lineRule="exact"/>
        <w:rPr>
          <w:rFonts w:ascii="Arial" w:cs="Arial" w:eastAsia="Arial" w:hAnsi="Arial"/>
          <w:sz w:val="17"/>
          <w:szCs w:val="17"/>
          <w:color w:val="auto"/>
        </w:rPr>
      </w:pPr>
    </w:p>
    <w:p>
      <w:pPr>
        <w:ind w:right="180" w:firstLine="634"/>
        <w:spacing w:after="0" w:line="273" w:lineRule="auto"/>
        <w:tabs>
          <w:tab w:leader="none" w:pos="12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costs incurred in connection with the performance of alterations or modifications to the Project (other than the Premises for which Tenant shall be solely responsible for) that are required solely due to the non-compliance of the Project with Legal Requirements applicable to the Project (other than the Premises for which Tenant shall be solely responsible for) as of the Lease Date.</w:t>
      </w:r>
    </w:p>
    <w:p>
      <w:pPr>
        <w:spacing w:after="0" w:line="172"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Notwithstanding anything to the contrary contained in this Lease, Tenant’s Share of each earthquake deductible or occurrence of uninsured earthquake damage affecting the Premises shall not exceed $4.50 per rentable square foot of the Premises (the “</w:t>
      </w:r>
      <w:r>
        <w:rPr>
          <w:rFonts w:ascii="Arial" w:cs="Arial" w:eastAsia="Arial" w:hAnsi="Arial"/>
          <w:sz w:val="15"/>
          <w:szCs w:val="15"/>
          <w:b w:val="1"/>
          <w:bCs w:val="1"/>
          <w:color w:val="auto"/>
        </w:rPr>
        <w:t>Initial Cap</w:t>
      </w:r>
      <w:r>
        <w:rPr>
          <w:rFonts w:ascii="Arial" w:cs="Arial" w:eastAsia="Arial" w:hAnsi="Arial"/>
          <w:sz w:val="15"/>
          <w:szCs w:val="15"/>
          <w:color w:val="auto"/>
        </w:rPr>
        <w:t>”). On May 1, 2010, and on the first day of each month thereafter, the Initial Cap shall be reduced by $0,125 per rentable square foot of the Premises. Following earthquake damage to the Project, Tenant shall pay Tenant’s Share of any such deductible or uninsured damage in equal monthly installments amortized over the remaining balance of the Base Term of the Lease.</w:t>
      </w:r>
    </w:p>
    <w:p>
      <w:pPr>
        <w:spacing w:after="0" w:line="146"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0"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The Annual Statement shall be final and binding upon Tenant unless Tenant, within 45 days after Tenant’s receipt thereof, shall contest any item therein by giving written notice to Landlord, specifying each item contested and the reason therefor. If, during such 45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If after Tenant’s review of such Expense Information, Landlord and Tenant cannot agree upon the amount of Tenant’s Share of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Tenant shall treat the results of each Independent Review as confidential and shall not disclose any information regarding such Independent Review to any other tenants; provided, however, that Tenant may disclose such information to its accountants, attorneys and real estate consultants and to governmental authorities as required by Legal Requirements and in connection with any litigation, arbitration or similar proceeding.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52" w:lineRule="exact"/>
        <w:rPr>
          <w:sz w:val="20"/>
          <w:szCs w:val="20"/>
          <w:color w:val="auto"/>
        </w:rPr>
      </w:pPr>
    </w:p>
    <w:p>
      <w:pPr>
        <w:ind w:right="80" w:firstLine="629"/>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in the Basic Lease Provisions as Tenant’s Share as reasonably adjusted by Landlord for changes in the physical size of the Premises or the Project occurring thereafter. The rentable area of the Premises shall not be subjected to re-measurement by either party. If Landlord has a reasonable basis for doing so,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41" w:lineRule="exact"/>
        <w:rPr>
          <w:sz w:val="20"/>
          <w:szCs w:val="20"/>
          <w:color w:val="auto"/>
        </w:rPr>
      </w:pPr>
    </w:p>
    <w:p>
      <w:pPr>
        <w:ind w:right="40" w:firstLine="634"/>
        <w:spacing w:after="0" w:line="292" w:lineRule="auto"/>
        <w:tabs>
          <w:tab w:leader="none" w:pos="1258"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within thirty (30) days after delivery of an executed copy of this Lease to Landlord, a</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(i) in form and substance satisfactory to Landlord, (ii) naming Landlord as beneficiary, (iii) expressly allowing Landlord to draw upon it at any time from time to time by delivering to the issuer notice</w:t>
      </w:r>
    </w:p>
    <w:p>
      <w:pPr>
        <w:sectPr>
          <w:pgSz w:w="11900" w:h="16870" w:orient="portrait"/>
          <w:cols w:equalWidth="0" w:num="1">
            <w:col w:w="11420"/>
          </w:cols>
          <w:pgMar w:left="240" w:top="127" w:right="239" w:bottom="0" w:gutter="0" w:footer="0" w:header="0"/>
        </w:sectPr>
      </w:pPr>
    </w:p>
    <w:bookmarkStart w:id="188" w:name="page189"/>
    <w:bookmarkEnd w:id="188"/>
    <w:p>
      <w:pPr>
        <w:spacing w:after="0" w:line="276" w:lineRule="auto"/>
        <w:rPr>
          <w:sz w:val="20"/>
          <w:szCs w:val="20"/>
          <w:color w:val="auto"/>
        </w:rPr>
      </w:pPr>
      <w:r>
        <w:rPr>
          <w:rFonts w:ascii="Arial" w:cs="Arial" w:eastAsia="Arial" w:hAnsi="Arial"/>
          <w:sz w:val="16"/>
          <w:szCs w:val="16"/>
          <w:color w:val="auto"/>
        </w:rPr>
        <w:t xml:space="preserve">that Landlord is entitled to draw thereunder, (iv) 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on demand the amount that will restore the Security Deposit to the amount set forth in the Basic Lease Provisions.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 On or before January 1, 2011, Tenant shall deliver to Landlord either (A) a substitute Letter of Credit complying with all of the requirements hereof in the amount of the Increased Security Deposit Amount or (B) an amendment to the existing Letter of Credit increasing the existing Letter of Credit to the Increased Security Deposit Amount, and the failure to do so shall immediately be a Default after the expiration of applicable notice and cure periods.</w:t>
      </w:r>
    </w:p>
    <w:p>
      <w:pPr>
        <w:spacing w:after="0" w:line="17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77" w:lineRule="exact"/>
        <w:rPr>
          <w:sz w:val="20"/>
          <w:szCs w:val="20"/>
          <w:color w:val="auto"/>
        </w:rPr>
      </w:pPr>
    </w:p>
    <w:p>
      <w:pPr>
        <w:ind w:firstLine="634"/>
        <w:spacing w:after="0" w:line="276" w:lineRule="auto"/>
        <w:tabs>
          <w:tab w:leader="none" w:pos="1258"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To Landlord’s actual knowledge, the Permitted Use will not result in the voidance of or an increase in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which shall not be unreasonably withheld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9" w:lineRule="exact"/>
        <w:rPr>
          <w:sz w:val="20"/>
          <w:szCs w:val="20"/>
          <w:color w:val="auto"/>
        </w:rPr>
      </w:pPr>
    </w:p>
    <w:p>
      <w:pPr>
        <w:ind w:right="160" w:firstLine="629"/>
        <w:spacing w:after="0" w:line="322" w:lineRule="auto"/>
        <w:rPr>
          <w:sz w:val="20"/>
          <w:szCs w:val="20"/>
          <w:color w:val="auto"/>
        </w:rPr>
      </w:pPr>
      <w:r>
        <w:rPr>
          <w:rFonts w:ascii="Arial" w:cs="Arial" w:eastAsia="Arial" w:hAnsi="Arial"/>
          <w:sz w:val="16"/>
          <w:szCs w:val="16"/>
          <w:color w:val="auto"/>
        </w:rPr>
        <w:t>Landlord has received no written notice from any Governmental Authority (as defined in Section 9 below) that the Project is not in compliance with the applicable provisions of the Americans With Disabilities Act, 42 U.S.C. § 12101, et seq. (together with regulations promulgated pursuant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6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ADA</w:t>
      </w:r>
      <w:r>
        <w:rPr>
          <w:rFonts w:ascii="Arial" w:cs="Arial" w:eastAsia="Arial" w:hAnsi="Arial"/>
          <w:sz w:val="17"/>
          <w:szCs w:val="17"/>
          <w:color w:val="auto"/>
        </w:rPr>
        <w:t>”). Landlord shall be responsible, at Landlord’s sole cost and expense (and not as an Operating Expense) for the compliance of the Common Areas of the Project with the ADA as of the Lease Date.</w:t>
      </w:r>
    </w:p>
    <w:p>
      <w:pPr>
        <w:spacing w:after="0" w:line="151" w:lineRule="exact"/>
        <w:rPr>
          <w:sz w:val="20"/>
          <w:szCs w:val="20"/>
          <w:color w:val="auto"/>
        </w:rPr>
      </w:pPr>
    </w:p>
    <w:p>
      <w:pPr>
        <w:ind w:right="100" w:firstLine="629"/>
        <w:spacing w:after="0" w:line="278" w:lineRule="auto"/>
        <w:rPr>
          <w:sz w:val="20"/>
          <w:szCs w:val="20"/>
          <w:color w:val="auto"/>
        </w:rPr>
      </w:pPr>
      <w:r>
        <w:rPr>
          <w:rFonts w:ascii="Arial" w:cs="Arial" w:eastAsia="Arial" w:hAnsi="Arial"/>
          <w:sz w:val="16"/>
          <w:szCs w:val="16"/>
          <w:color w:val="auto"/>
        </w:rPr>
        <w:t>To the extent arising after the Lease Date, Landlord shall, as an Operating Expense (to the extent such Legal Requirement is generally applicable to similar buildings in the area in which the Project is located) or at Tenant’s expense (to the extent such Legal Requirement is applicable solely by reason of Tenant’s, as compared to other tenants of the Project, particular use of the Premises or any alterations or modifications made by Tenant) make any alterations or modifications to the Common Areas or the exterior of the Building that are required by Legal Requirements, including the ADA. In addition, Landlord shall, at Landlord’s expense, make any alterations or modifications to the Premises that are required due to the non compliance of the Premises with Legal Requirements applicable to the Premises as of the Substantial Completion of Landlord’s Work, except to the extent such alterations or modifications are required by Legal Requirements (including, without limitation, compliance of the Premises with ADA) related to Tenant’s particular use of the Premises. Notwithstanding any other provision herein to the contrary, subject to the first two sentences of this paragraph,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any failure of the Premises to comply with Legal Requirements, and Tenant shall indemnify, defend, hold and save Landlord harmless from and against any and all Claims arising out of or in connection with any failure of the Premises to comply with any Legal Requirement.</w:t>
      </w:r>
    </w:p>
    <w:p>
      <w:pPr>
        <w:sectPr>
          <w:pgSz w:w="11900" w:h="16838" w:orient="portrait"/>
          <w:cols w:equalWidth="0" w:num="1">
            <w:col w:w="11420"/>
          </w:cols>
          <w:pgMar w:left="240" w:top="127" w:right="239" w:bottom="0" w:gutter="0" w:footer="0" w:header="0"/>
        </w:sectPr>
      </w:pPr>
    </w:p>
    <w:bookmarkStart w:id="189" w:name="page190"/>
    <w:bookmarkEnd w:id="189"/>
    <w:p>
      <w:pPr>
        <w:spacing w:after="0" w:line="33" w:lineRule="exact"/>
        <w:rPr>
          <w:sz w:val="20"/>
          <w:szCs w:val="20"/>
          <w:color w:val="auto"/>
        </w:rPr>
      </w:pPr>
    </w:p>
    <w:p>
      <w:pPr>
        <w:ind w:right="120" w:firstLine="634"/>
        <w:spacing w:after="0" w:line="298" w:lineRule="auto"/>
        <w:tabs>
          <w:tab w:leader="none" w:pos="1328" w:val="left"/>
        </w:tabs>
        <w:numPr>
          <w:ilvl w:val="0"/>
          <w:numId w:val="113"/>
        </w:numPr>
        <w:rPr>
          <w:rFonts w:ascii="Arial" w:cs="Arial" w:eastAsia="Arial" w:hAnsi="Arial"/>
          <w:sz w:val="15"/>
          <w:szCs w:val="15"/>
          <w:color w:val="auto"/>
        </w:rPr>
      </w:pPr>
      <w:r>
        <w:rPr>
          <w:rFonts w:ascii="Arial" w:cs="Arial" w:eastAsia="Arial" w:hAnsi="Arial"/>
          <w:sz w:val="15"/>
          <w:szCs w:val="15"/>
          <w:b w:val="1"/>
          <w:bCs w:val="1"/>
          <w:color w:val="auto"/>
        </w:rPr>
        <w:t>Holding Over</w:t>
      </w:r>
      <w:r>
        <w:rPr>
          <w:rFonts w:ascii="Arial" w:cs="Arial" w:eastAsia="Arial" w:hAnsi="Arial"/>
          <w:sz w:val="15"/>
          <w:szCs w:val="15"/>
          <w:color w:val="auto"/>
        </w:rPr>
        <w:t>. If, with Landlord’s express written consent, Tenant retains possession of the Premises after the termination of the Term, (i)</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for the first 90 days of such tenancy at sufferance and thereafter 200%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56" w:lineRule="exact"/>
        <w:rPr>
          <w:rFonts w:ascii="Arial" w:cs="Arial" w:eastAsia="Arial" w:hAnsi="Arial"/>
          <w:sz w:val="15"/>
          <w:szCs w:val="15"/>
          <w:color w:val="auto"/>
        </w:rPr>
      </w:pPr>
    </w:p>
    <w:p>
      <w:pPr>
        <w:ind w:firstLine="634"/>
        <w:spacing w:after="0" w:line="280" w:lineRule="auto"/>
        <w:tabs>
          <w:tab w:leader="none" w:pos="1328"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herein,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Landlord shall only charge Tenant for such assessments existing as of the Commencement Date as if those assessments were paid by Landlord over the longest possible term which Landlord is permitted to pay for the applicable assessments without additional charge other than interest, if any, provided under the terms of the underlying assessments. Notwithstanding anything to the contrary contained in this Lease, Taxes shall not include any net income taxes, estate taxes or inheritance taxes imposed on Landlord except to the extent such net income taxes are in substitution for any Taxes payable hereunder, or any late penalties, interest or fines imposed due to Landlord’s failure to pay any Taxes prior to delinquency.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51" w:lineRule="exact"/>
        <w:rPr>
          <w:sz w:val="20"/>
          <w:szCs w:val="20"/>
          <w:color w:val="auto"/>
        </w:rPr>
      </w:pPr>
    </w:p>
    <w:p>
      <w:pPr>
        <w:ind w:right="140" w:firstLine="634"/>
        <w:spacing w:after="0" w:line="285" w:lineRule="auto"/>
        <w:tabs>
          <w:tab w:leader="none" w:pos="1284"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Tenant shall have the right,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As of the Lease Date, Tenant’s pro rata share of parking equates to 2.8 parking spaces per 1,000 RSF of the Premises.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w:t>
      </w:r>
    </w:p>
    <w:p>
      <w:pPr>
        <w:spacing w:after="0" w:line="157" w:lineRule="exact"/>
        <w:rPr>
          <w:rFonts w:ascii="Arial" w:cs="Arial" w:eastAsia="Arial" w:hAnsi="Arial"/>
          <w:sz w:val="16"/>
          <w:szCs w:val="16"/>
          <w:color w:val="auto"/>
        </w:rPr>
      </w:pPr>
    </w:p>
    <w:p>
      <w:pPr>
        <w:ind w:right="120" w:firstLine="634"/>
        <w:spacing w:after="0" w:line="279" w:lineRule="auto"/>
        <w:tabs>
          <w:tab w:leader="none" w:pos="1278"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telephone, sewer,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utilities (including gas and fire sprinklers to the extent the Project is plumbed for such services),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68" w:lineRule="exact"/>
        <w:rPr>
          <w:rFonts w:ascii="Arial" w:cs="Arial" w:eastAsia="Arial" w:hAnsi="Arial"/>
          <w:sz w:val="16"/>
          <w:szCs w:val="16"/>
          <w:color w:val="auto"/>
        </w:rPr>
      </w:pPr>
    </w:p>
    <w:p>
      <w:pPr>
        <w:ind w:right="100" w:firstLine="634"/>
        <w:spacing w:after="0" w:line="285" w:lineRule="auto"/>
        <w:tabs>
          <w:tab w:leader="none" w:pos="1284"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nonstructural Alterations in the Premises without Landlord’s prior approval if the aggregate cost of all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work in any 12 month period does not exceed $50,000 (a “</w:t>
      </w:r>
      <w:r>
        <w:rPr>
          <w:rFonts w:ascii="Arial" w:cs="Arial" w:eastAsia="Arial" w:hAnsi="Arial"/>
          <w:sz w:val="15"/>
          <w:szCs w:val="15"/>
          <w:b w:val="1"/>
          <w:bCs w:val="1"/>
          <w:color w:val="auto"/>
        </w:rPr>
        <w:t>Notice-Only Alteration</w:t>
      </w:r>
      <w:r>
        <w:rPr>
          <w:rFonts w:ascii="Arial" w:cs="Arial" w:eastAsia="Arial" w:hAnsi="Arial"/>
          <w:sz w:val="15"/>
          <w:szCs w:val="15"/>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w:t>
      </w:r>
    </w:p>
    <w:p>
      <w:pPr>
        <w:sectPr>
          <w:pgSz w:w="11900" w:h="16872" w:orient="portrait"/>
          <w:cols w:equalWidth="0" w:num="1">
            <w:col w:w="11420"/>
          </w:cols>
          <w:pgMar w:left="240" w:top="331" w:right="239" w:bottom="0" w:gutter="0" w:footer="0" w:header="0"/>
        </w:sectPr>
      </w:pPr>
    </w:p>
    <w:bookmarkStart w:id="190" w:name="page191"/>
    <w:bookmarkEnd w:id="190"/>
    <w:p>
      <w:pPr>
        <w:ind w:right="40"/>
        <w:spacing w:after="0" w:line="303" w:lineRule="auto"/>
        <w:rPr>
          <w:sz w:val="20"/>
          <w:szCs w:val="20"/>
          <w:color w:val="auto"/>
        </w:rPr>
      </w:pPr>
      <w:r>
        <w:rPr>
          <w:rFonts w:ascii="Arial" w:cs="Arial" w:eastAsia="Arial" w:hAnsi="Arial"/>
          <w:sz w:val="15"/>
          <w:szCs w:val="15"/>
          <w:color w:val="auto"/>
        </w:rPr>
        <w:t>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54"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6" w:lineRule="exact"/>
        <w:rPr>
          <w:sz w:val="20"/>
          <w:szCs w:val="20"/>
          <w:color w:val="auto"/>
        </w:rPr>
      </w:pPr>
    </w:p>
    <w:p>
      <w:pPr>
        <w:ind w:right="40" w:firstLine="629"/>
        <w:spacing w:after="0" w:line="297" w:lineRule="auto"/>
        <w:rPr>
          <w:sz w:val="20"/>
          <w:szCs w:val="20"/>
          <w:color w:val="auto"/>
        </w:rPr>
      </w:pPr>
      <w:r>
        <w:rPr>
          <w:rFonts w:ascii="Arial" w:cs="Arial" w:eastAsia="Arial" w:hAnsi="Arial"/>
          <w:sz w:val="15"/>
          <w:szCs w:val="15"/>
          <w:color w:val="auto"/>
        </w:rPr>
        <w:t>Except for Removable Installations (as hereinafter defined), all Installations (as hereinafter defined) shall be and shall remain the property of Landlord following the expiration or earlier termination of the Term, shall not be removed by Tenant at any time during the Term, and shall remain upon and be surrendered with the Premises as a part thereof. Notwithstanding the foregoing, Landlord shall if requested by Tenant, at the time its approval of any such Installation is requested, notify Tenant if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Notwithstanding anything to the contrary contained herein, Tenant shall have no obligation to remove Landlord’s Work.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83"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in the future, (y) “</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by Landlord,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59" w:lineRule="exact"/>
        <w:rPr>
          <w:sz w:val="20"/>
          <w:szCs w:val="20"/>
          <w:color w:val="auto"/>
        </w:rPr>
      </w:pPr>
    </w:p>
    <w:p>
      <w:pPr>
        <w:ind w:right="40" w:firstLine="634"/>
        <w:spacing w:after="0" w:line="276" w:lineRule="auto"/>
        <w:tabs>
          <w:tab w:leader="none" w:pos="1284"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expressly excluded from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(unless such losses or damages would have been insured losses or expenses if the insurance Landlord is required to maintain hereunder had been obtained) caused by Tenant, or by any of Tenant’s agents, servants, employees, invitees and contractors (collectively,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excluded. Subject to the provisions of the penultimate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17, losses and damages caused by Tenant or any Tenant Party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repaired by Landlord, at Tenant’s sole cost and expense, to the extent not covered by insurance Landlord is required to maintain hereunder (or to the extent such losses or damages would have been covered by insurance Landlord is required to maintain hereunder if such insurance had been maintained).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provided Landlord shall use commercially reasonable efforts to minimize interference with Tenant’s Permitted Use of the Premises. Landlord shall have no responsibility or liability for failure to supply Building Systems services during any such period of interruption; provided, however, that Landlord shall, except in case of emergency, make a commercially reasonable effort to give Tenant 24 hours advance notice of any planned stoppage of Building Systems services for routine maintenance, repairs, alterations or improvements and shall in all events use commercially reasonable efforts to perform any repairs in a manner that will minimize interference with Tenant’s use of the Premises.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as provided in this Lease.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right="60" w:firstLine="634"/>
        <w:spacing w:after="0" w:line="263" w:lineRule="auto"/>
        <w:tabs>
          <w:tab w:leader="none" w:pos="1284"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including, without limitation, entries, doors, ceilings, interior windows, interior walls, and the interior side of demising walls; provided, however, that Landlord shall be responsible, as part of Operating Expenses, for repairs, replacements and maintenance that could constitute capital expenditures.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the full uninsured cost of any repair or replacement to any part of the Project that results from damage caused by Tenant or any Tenant Party and any repair that benefits only the Premises.</w:t>
      </w:r>
    </w:p>
    <w:p>
      <w:pPr>
        <w:sectPr>
          <w:pgSz w:w="11900" w:h="16838" w:orient="portrait"/>
          <w:cols w:equalWidth="0" w:num="1">
            <w:col w:w="11400"/>
          </w:cols>
          <w:pgMar w:left="240" w:top="127" w:right="259" w:bottom="23" w:gutter="0" w:footer="0" w:header="0"/>
        </w:sectPr>
      </w:pPr>
    </w:p>
    <w:bookmarkStart w:id="191" w:name="page192"/>
    <w:bookmarkEnd w:id="191"/>
    <w:p>
      <w:pPr>
        <w:ind w:right="60" w:firstLine="634"/>
        <w:spacing w:after="0" w:line="279" w:lineRule="auto"/>
        <w:tabs>
          <w:tab w:leader="none" w:pos="1284"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68" w:lineRule="exact"/>
        <w:rPr>
          <w:rFonts w:ascii="Arial" w:cs="Arial" w:eastAsia="Arial" w:hAnsi="Arial"/>
          <w:sz w:val="16"/>
          <w:szCs w:val="16"/>
          <w:color w:val="auto"/>
        </w:rPr>
      </w:pPr>
    </w:p>
    <w:p>
      <w:pPr>
        <w:ind w:right="20" w:firstLine="634"/>
        <w:spacing w:after="0" w:line="264" w:lineRule="auto"/>
        <w:tabs>
          <w:tab w:leader="none" w:pos="1284"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harmless from and against any and all Claims for</w:t>
      </w:r>
      <w:r>
        <w:rPr>
          <w:rFonts w:ascii="Arial" w:cs="Arial" w:eastAsia="Arial" w:hAnsi="Arial"/>
          <w:sz w:val="17"/>
          <w:szCs w:val="17"/>
          <w:b w:val="1"/>
          <w:bCs w:val="1"/>
          <w:color w:val="auto"/>
        </w:rPr>
        <w:t xml:space="preserve"> </w:t>
      </w:r>
      <w:r>
        <w:rPr>
          <w:rFonts w:ascii="Arial" w:cs="Arial" w:eastAsia="Arial" w:hAnsi="Arial"/>
          <w:sz w:val="17"/>
          <w:szCs w:val="17"/>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72" w:lineRule="exact"/>
        <w:rPr>
          <w:rFonts w:ascii="Arial" w:cs="Arial" w:eastAsia="Arial" w:hAnsi="Arial"/>
          <w:sz w:val="17"/>
          <w:szCs w:val="17"/>
          <w:color w:val="auto"/>
        </w:rPr>
      </w:pPr>
    </w:p>
    <w:p>
      <w:pPr>
        <w:ind w:right="60" w:firstLine="634"/>
        <w:spacing w:after="0" w:line="279" w:lineRule="auto"/>
        <w:tabs>
          <w:tab w:leader="none" w:pos="1284"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or such 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4"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basis; be issued by insurance companies which have a rating of not less than policyholder rating of A and financial category rating of at least Class X in “Best’s Insurance Guide”; shall not be cancelable for nonpayment of premium unless 10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7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46"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regardless of the negligence of the party to the Lease receiving the benefit of the waiver,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1"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48" w:lineRule="exact"/>
        <w:rPr>
          <w:sz w:val="20"/>
          <w:szCs w:val="20"/>
          <w:color w:val="auto"/>
        </w:rPr>
      </w:pPr>
    </w:p>
    <w:p>
      <w:pPr>
        <w:ind w:right="40" w:firstLine="634"/>
        <w:spacing w:after="0" w:line="281" w:lineRule="auto"/>
        <w:tabs>
          <w:tab w:leader="none" w:pos="1284"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provided, however, that notwithstanding Landlord’s election to restore, Tenant may elect to terminate this Lease by written notice to Landlord delivered within 5 business days of receipt of notice from Landlord estimating a Restoration Period for the Premises longer than the Maximum Restoration Period. Unless Landlord so elects to terminate this Lease, Landlord shall, subject to receipt of sufficient insurance proceeds (with any deductible to be treated as an Operating Expense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promptly restore the Premises (excluding the improvements installed by Tenant or by</w:t>
      </w:r>
    </w:p>
    <w:p>
      <w:pPr>
        <w:sectPr>
          <w:pgSz w:w="11900" w:h="16838" w:orient="portrait"/>
          <w:cols w:equalWidth="0" w:num="1">
            <w:col w:w="11420"/>
          </w:cols>
          <w:pgMar w:left="240" w:top="121" w:right="239" w:bottom="0" w:gutter="0" w:footer="0" w:header="0"/>
        </w:sectPr>
      </w:pPr>
    </w:p>
    <w:bookmarkStart w:id="192" w:name="page193"/>
    <w:bookmarkEnd w:id="192"/>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 Notwithstanding the foregoing, if a portion of the Project not including the Premises is damaged, Landlord may not terminate this Lease on the basis that the Restoration Period will exceed the Maximum Restoration Period if Landlord elects to merely repair the damage rather than redevelop or improve the Project as a whole, and Landlord actually commences construction of the repair of such damage. The Restoration Period and the Maximum Restoration Period shall not be extended by Force Majeure. In the event that the Lease terminates pursuant to the provisions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as a result of an earthquake, Tenant shall not be required to pay any deductibles as part of Operating Expenses in connection with such earthquake.</w:t>
      </w:r>
    </w:p>
    <w:p>
      <w:pPr>
        <w:spacing w:after="0" w:line="173"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 xml:space="preserve">Tenant may, at Tenant’s option, promptly re-enter the Premises and commence doing business in accordance with this Lease upon Landlord’s completion of all repairs or restoration required to be done, by Landlord pursuant to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provided, however, that Tenant shall nonetheless (and even if Tenant does not re-enter the Premises) continue to be responsible for all of its obligations under this Lease. Notwithstanding the foregoing, Landlord may terminate this Lease if the Premises are damaged during the last 1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in the Project during the period of repair that is suitable for the temporary conduct of Tenant’s business. Such abatement shall be the sole remedy of Tenant, and except as provided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Tenant waives any right to terminate the Lease by reason of damage or casualty loss.</w:t>
      </w:r>
    </w:p>
    <w:p>
      <w:pPr>
        <w:spacing w:after="0" w:line="18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pacing w:after="0" w:line="170" w:lineRule="exact"/>
        <w:rPr>
          <w:sz w:val="20"/>
          <w:szCs w:val="20"/>
          <w:color w:val="auto"/>
        </w:rPr>
      </w:pPr>
    </w:p>
    <w:p>
      <w:pPr>
        <w:ind w:right="20" w:firstLine="634"/>
        <w:spacing w:after="0" w:line="281" w:lineRule="auto"/>
        <w:tabs>
          <w:tab w:leader="none" w:pos="1284"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or the Project is taken for any public or quasi-public use under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73" w:lineRule="exact"/>
        <w:rPr>
          <w:sz w:val="20"/>
          <w:szCs w:val="20"/>
          <w:color w:val="auto"/>
        </w:rPr>
      </w:pPr>
    </w:p>
    <w:p>
      <w:pPr>
        <w:ind w:left="1280" w:hanging="646"/>
        <w:spacing w:after="0"/>
        <w:tabs>
          <w:tab w:leader="none" w:pos="128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224" w:lineRule="exact"/>
        <w:rPr>
          <w:sz w:val="20"/>
          <w:szCs w:val="20"/>
          <w:color w:val="auto"/>
        </w:rPr>
      </w:pPr>
    </w:p>
    <w:p>
      <w:pPr>
        <w:ind w:firstLine="634"/>
        <w:spacing w:after="0" w:line="270" w:lineRule="auto"/>
        <w:tabs>
          <w:tab w:leader="none" w:pos="1304"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failure to pay any installment of Rent or any other payment hereunder otherwise due in any 12 calendar month period shall not constitute a Default unless such payment is not made within 5 days after written notice from Landlord to Tenant and Tenant agrees that such notice shall be in lieu of and not in addition to, or shall be deemed to be, any notice required by law.</w:t>
      </w:r>
    </w:p>
    <w:p>
      <w:pPr>
        <w:spacing w:after="0" w:line="169" w:lineRule="exact"/>
        <w:rPr>
          <w:rFonts w:ascii="Arial" w:cs="Arial" w:eastAsia="Arial" w:hAnsi="Arial"/>
          <w:sz w:val="17"/>
          <w:szCs w:val="17"/>
          <w:color w:val="auto"/>
        </w:rPr>
      </w:pPr>
    </w:p>
    <w:p>
      <w:pPr>
        <w:ind w:right="80" w:firstLine="634"/>
        <w:spacing w:after="0" w:line="277" w:lineRule="auto"/>
        <w:tabs>
          <w:tab w:leader="none" w:pos="1313"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 expire 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or materially changed, or Landlord shall receive a notice of nonrenewal of any such insurance and Tenant shall fail to obtain replacement insurance at least 20 days before the expiration of the current coverage.</w:t>
      </w:r>
    </w:p>
    <w:p>
      <w:pPr>
        <w:spacing w:after="0" w:line="162" w:lineRule="exact"/>
        <w:rPr>
          <w:rFonts w:ascii="Arial" w:cs="Arial" w:eastAsia="Arial" w:hAnsi="Arial"/>
          <w:sz w:val="17"/>
          <w:szCs w:val="17"/>
          <w:color w:val="auto"/>
        </w:rPr>
      </w:pPr>
    </w:p>
    <w:p>
      <w:pPr>
        <w:ind w:left="1300" w:hanging="666"/>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w:t>
      </w:r>
    </w:p>
    <w:p>
      <w:pPr>
        <w:spacing w:after="0" w:line="224" w:lineRule="exact"/>
        <w:rPr>
          <w:rFonts w:ascii="Arial" w:cs="Arial" w:eastAsia="Arial" w:hAnsi="Arial"/>
          <w:sz w:val="17"/>
          <w:szCs w:val="17"/>
          <w:color w:val="auto"/>
        </w:rPr>
      </w:pPr>
    </w:p>
    <w:p>
      <w:pPr>
        <w:ind w:right="40" w:firstLine="634"/>
        <w:spacing w:after="0" w:line="277" w:lineRule="auto"/>
        <w:tabs>
          <w:tab w:leader="none" w:pos="1313"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 interest in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or the Premises except as expressly permitted herein, or Tenant’s interest in this Lease shall be attached, executed upon, or otherwise judicially seized and such action is not released within 90 days of the action.</w:t>
      </w:r>
    </w:p>
    <w:p>
      <w:pPr>
        <w:spacing w:after="0" w:line="162" w:lineRule="exact"/>
        <w:rPr>
          <w:rFonts w:ascii="Arial" w:cs="Arial" w:eastAsia="Arial" w:hAnsi="Arial"/>
          <w:sz w:val="17"/>
          <w:szCs w:val="17"/>
          <w:color w:val="auto"/>
        </w:rPr>
      </w:pPr>
    </w:p>
    <w:p>
      <w:pPr>
        <w:ind w:right="320" w:firstLine="634"/>
        <w:spacing w:after="0" w:line="297" w:lineRule="auto"/>
        <w:tabs>
          <w:tab w:leader="none" w:pos="1304"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 violation of this Lease within 10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any such lien is filed against the Premises.</w:t>
      </w:r>
    </w:p>
    <w:p>
      <w:pPr>
        <w:spacing w:after="0" w:line="145" w:lineRule="exact"/>
        <w:rPr>
          <w:rFonts w:ascii="Arial" w:cs="Arial" w:eastAsia="Arial" w:hAnsi="Arial"/>
          <w:sz w:val="17"/>
          <w:szCs w:val="17"/>
          <w:color w:val="auto"/>
        </w:rPr>
      </w:pPr>
    </w:p>
    <w:p>
      <w:pPr>
        <w:ind w:right="80" w:firstLine="634"/>
        <w:spacing w:after="0" w:line="317" w:lineRule="auto"/>
        <w:tabs>
          <w:tab w:leader="none" w:pos="1328"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Insolvency Events</w:t>
      </w:r>
      <w:r>
        <w:rPr>
          <w:rFonts w:ascii="Arial" w:cs="Arial" w:eastAsia="Arial" w:hAnsi="Arial"/>
          <w:sz w:val="15"/>
          <w:szCs w:val="15"/>
          <w:color w:val="auto"/>
        </w:rPr>
        <w:t>. Tenant or any guarantor or surety of Tenant’s obligations hereunder shall: (A) make a general assignment for the benefit of</w:t>
      </w:r>
      <w:r>
        <w:rPr>
          <w:rFonts w:ascii="Arial" w:cs="Arial" w:eastAsia="Arial" w:hAnsi="Arial"/>
          <w:sz w:val="15"/>
          <w:szCs w:val="15"/>
          <w:b w:val="1"/>
          <w:bCs w:val="1"/>
          <w:color w:val="auto"/>
        </w:rPr>
        <w:t xml:space="preserve"> </w:t>
      </w:r>
      <w:r>
        <w:rPr>
          <w:rFonts w:ascii="Arial" w:cs="Arial" w:eastAsia="Arial" w:hAnsi="Arial"/>
          <w:sz w:val="15"/>
          <w:szCs w:val="15"/>
          <w:color w:val="auto"/>
        </w:rPr>
        <w:t>creditors; (B) commence any case, proceeding or other action seeking to have an order for relief entered on its behalf as a debtor or to adjudicate it a bankrupt or insolvent, or seeking, reorganization, arrangement, adjustment, liquidations,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5"/>
          <w:szCs w:val="15"/>
          <w:b w:val="1"/>
          <w:bCs w:val="1"/>
          <w:color w:val="auto"/>
        </w:rPr>
        <w:t>Proceeding for Relief</w:t>
      </w:r>
      <w:r>
        <w:rPr>
          <w:rFonts w:ascii="Arial" w:cs="Arial" w:eastAsia="Arial" w:hAnsi="Arial"/>
          <w:sz w:val="15"/>
          <w:szCs w:val="15"/>
          <w:color w:val="auto"/>
        </w:rPr>
        <w:t>”); (C) become the subject</w:t>
      </w:r>
    </w:p>
    <w:p>
      <w:pPr>
        <w:sectPr>
          <w:pgSz w:w="11900" w:h="16886" w:orient="portrait"/>
          <w:cols w:equalWidth="0" w:num="1">
            <w:col w:w="11420"/>
          </w:cols>
          <w:pgMar w:left="240" w:top="337" w:right="239" w:bottom="0" w:gutter="0" w:footer="0" w:header="0"/>
        </w:sectPr>
      </w:pPr>
    </w:p>
    <w:bookmarkStart w:id="193" w:name="page194"/>
    <w:bookmarkEnd w:id="193"/>
    <w:p>
      <w:pPr>
        <w:ind w:right="140"/>
        <w:spacing w:after="0" w:line="322" w:lineRule="auto"/>
        <w:rPr>
          <w:sz w:val="20"/>
          <w:szCs w:val="20"/>
          <w:color w:val="auto"/>
        </w:rPr>
      </w:pPr>
      <w:r>
        <w:rPr>
          <w:rFonts w:ascii="Arial" w:cs="Arial" w:eastAsia="Arial" w:hAnsi="Arial"/>
          <w:sz w:val="16"/>
          <w:szCs w:val="16"/>
          <w:color w:val="auto"/>
        </w:rPr>
        <w:t>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30" w:lineRule="exact"/>
        <w:rPr>
          <w:sz w:val="20"/>
          <w:szCs w:val="20"/>
          <w:color w:val="auto"/>
        </w:rPr>
      </w:pPr>
    </w:p>
    <w:p>
      <w:pPr>
        <w:ind w:firstLine="634"/>
        <w:spacing w:after="0" w:line="297" w:lineRule="auto"/>
        <w:tabs>
          <w:tab w:leader="none" w:pos="1313"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b w:val="1"/>
          <w:bCs w:val="1"/>
          <w:color w:val="auto"/>
        </w:rPr>
        <w:t xml:space="preserve"> </w:t>
      </w:r>
      <w:r>
        <w:rPr>
          <w:rFonts w:ascii="Arial" w:cs="Arial" w:eastAsia="Arial" w:hAnsi="Arial"/>
          <w:sz w:val="17"/>
          <w:szCs w:val="17"/>
          <w:color w:val="auto"/>
        </w:rPr>
        <w:t>within</w:t>
      </w:r>
      <w:r>
        <w:rPr>
          <w:rFonts w:ascii="Arial" w:cs="Arial" w:eastAsia="Arial" w:hAnsi="Arial"/>
          <w:sz w:val="17"/>
          <w:szCs w:val="17"/>
          <w:b w:val="1"/>
          <w:bCs w:val="1"/>
          <w:color w:val="auto"/>
        </w:rPr>
        <w:t xml:space="preserve"> </w:t>
      </w:r>
      <w:r>
        <w:rPr>
          <w:rFonts w:ascii="Arial" w:cs="Arial" w:eastAsia="Arial" w:hAnsi="Arial"/>
          <w:sz w:val="17"/>
          <w:szCs w:val="17"/>
          <w:color w:val="auto"/>
        </w:rPr>
        <w:t>5 days after a second notice requesting such document.</w:t>
      </w:r>
    </w:p>
    <w:p>
      <w:pPr>
        <w:spacing w:after="0" w:line="145" w:lineRule="exact"/>
        <w:rPr>
          <w:rFonts w:ascii="Arial" w:cs="Arial" w:eastAsia="Arial" w:hAnsi="Arial"/>
          <w:sz w:val="17"/>
          <w:szCs w:val="17"/>
          <w:color w:val="auto"/>
        </w:rPr>
      </w:pPr>
    </w:p>
    <w:p>
      <w:pPr>
        <w:ind w:right="320" w:firstLine="634"/>
        <w:spacing w:after="0" w:line="330" w:lineRule="auto"/>
        <w:tabs>
          <w:tab w:leader="none" w:pos="1313"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10 days after written notice thereof from Landlord to Tenant.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634"/>
        <w:spacing w:after="0" w:line="297" w:lineRule="auto"/>
        <w:tabs>
          <w:tab w:leader="none" w:pos="1318"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Nodality Sublease</w:t>
      </w:r>
      <w:r>
        <w:rPr>
          <w:rFonts w:ascii="Arial" w:cs="Arial" w:eastAsia="Arial" w:hAnsi="Arial"/>
          <w:sz w:val="17"/>
          <w:szCs w:val="17"/>
          <w:color w:val="auto"/>
        </w:rPr>
        <w:t>. A default beyond applicable cure periods by Tenant under the Nodality Sublease and/or the Current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Current Premises Commencement Date which remains uncured.</w:t>
      </w:r>
    </w:p>
    <w:p>
      <w:pPr>
        <w:spacing w:after="0" w:line="145" w:lineRule="exact"/>
        <w:rPr>
          <w:rFonts w:ascii="Arial" w:cs="Arial" w:eastAsia="Arial" w:hAnsi="Arial"/>
          <w:sz w:val="17"/>
          <w:szCs w:val="17"/>
          <w:color w:val="auto"/>
        </w:rPr>
      </w:pPr>
    </w:p>
    <w:p>
      <w:pPr>
        <w:ind w:right="340" w:firstLine="634"/>
        <w:spacing w:after="0" w:line="297" w:lineRule="auto"/>
        <w:tabs>
          <w:tab w:leader="none" w:pos="1318"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Poniard Sublease</w:t>
      </w:r>
      <w:r>
        <w:rPr>
          <w:rFonts w:ascii="Arial" w:cs="Arial" w:eastAsia="Arial" w:hAnsi="Arial"/>
          <w:sz w:val="17"/>
          <w:szCs w:val="17"/>
          <w:color w:val="auto"/>
        </w:rPr>
        <w:t>. A default beyond applicable cure periods by Tenant under the Poniard Sublease and/or the Expansion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Expansion Premises Commencement Date which remains uncured.</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(it)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30 days from the date of Landlord’s notice.</w:t>
      </w:r>
    </w:p>
    <w:p>
      <w:pPr>
        <w:spacing w:after="0" w:line="177" w:lineRule="exact"/>
        <w:rPr>
          <w:sz w:val="20"/>
          <w:szCs w:val="20"/>
          <w:color w:val="auto"/>
        </w:rPr>
      </w:pPr>
    </w:p>
    <w:p>
      <w:pPr>
        <w:ind w:left="1280" w:hanging="646"/>
        <w:spacing w:after="0"/>
        <w:tabs>
          <w:tab w:leader="none" w:pos="128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267" w:lineRule="auto"/>
        <w:tabs>
          <w:tab w:leader="none" w:pos="1304"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Payment By Landlord; Interest</w:t>
      </w:r>
      <w:r>
        <w:rPr>
          <w:rFonts w:ascii="Arial" w:cs="Arial" w:eastAsia="Arial" w:hAnsi="Arial"/>
          <w:sz w:val="17"/>
          <w:szCs w:val="17"/>
          <w:color w:val="auto"/>
        </w:rPr>
        <w:t>. Upon a Default by Tenant hereunder, Landlord may, without waiving or releasing any obligation of Tenant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7"/>
          <w:szCs w:val="17"/>
          <w:b w:val="1"/>
          <w:bCs w:val="1"/>
          <w:color w:val="auto"/>
        </w:rPr>
        <w:t>Default Rate</w:t>
      </w:r>
      <w:r>
        <w:rPr>
          <w:rFonts w:ascii="Arial" w:cs="Arial" w:eastAsia="Arial" w:hAnsi="Arial"/>
          <w:sz w:val="17"/>
          <w:szCs w:val="17"/>
          <w:color w:val="auto"/>
        </w:rPr>
        <w:t>”), whichever is less, shall be payable to Landlord on demand as Additional Rent. Nothing herein shall be construed to create or impose a duty on Landlord to mitigate any damages resulting from Tenant’s Default hereunder.</w:t>
      </w:r>
    </w:p>
    <w:p>
      <w:pPr>
        <w:spacing w:after="0" w:line="171" w:lineRule="exact"/>
        <w:rPr>
          <w:rFonts w:ascii="Arial" w:cs="Arial" w:eastAsia="Arial" w:hAnsi="Arial"/>
          <w:sz w:val="17"/>
          <w:szCs w:val="17"/>
          <w:color w:val="auto"/>
        </w:rPr>
      </w:pPr>
    </w:p>
    <w:p>
      <w:pPr>
        <w:ind w:right="180" w:firstLine="634"/>
        <w:spacing w:after="0" w:line="281" w:lineRule="auto"/>
        <w:tabs>
          <w:tab w:leader="none" w:pos="131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64" w:lineRule="exact"/>
        <w:rPr>
          <w:rFonts w:ascii="Arial" w:cs="Arial" w:eastAsia="Arial" w:hAnsi="Arial"/>
          <w:sz w:val="16"/>
          <w:szCs w:val="16"/>
          <w:color w:val="auto"/>
        </w:rPr>
      </w:pPr>
    </w:p>
    <w:p>
      <w:pPr>
        <w:ind w:right="40" w:firstLine="634"/>
        <w:spacing w:after="0" w:line="277" w:lineRule="auto"/>
        <w:tabs>
          <w:tab w:leader="none" w:pos="1304"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168" w:lineRule="exact"/>
        <w:rPr>
          <w:rFonts w:ascii="Arial" w:cs="Arial" w:eastAsia="Arial" w:hAnsi="Arial"/>
          <w:sz w:val="17"/>
          <w:szCs w:val="17"/>
          <w:color w:val="auto"/>
        </w:rPr>
      </w:pPr>
    </w:p>
    <w:p>
      <w:pPr>
        <w:jc w:val="both"/>
        <w:ind w:left="640" w:right="20" w:firstLine="623"/>
        <w:spacing w:after="0" w:line="268" w:lineRule="auto"/>
        <w:tabs>
          <w:tab w:leader="none" w:pos="195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175" w:lineRule="exact"/>
        <w:rPr>
          <w:rFonts w:ascii="Arial" w:cs="Arial" w:eastAsia="Arial" w:hAnsi="Arial"/>
          <w:sz w:val="17"/>
          <w:szCs w:val="17"/>
          <w:color w:val="auto"/>
        </w:rPr>
      </w:pPr>
    </w:p>
    <w:p>
      <w:pPr>
        <w:ind w:left="640" w:right="460" w:firstLine="623"/>
        <w:spacing w:after="0" w:line="289" w:lineRule="auto"/>
        <w:tabs>
          <w:tab w:leader="none" w:pos="196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Upon any termination of this Lease, whether pursuant to the foregoing </w:t>
      </w:r>
      <w:r>
        <w:rPr>
          <w:rFonts w:ascii="Arial" w:cs="Arial" w:eastAsia="Arial" w:hAnsi="Arial"/>
          <w:sz w:val="17"/>
          <w:szCs w:val="17"/>
          <w:u w:val="single" w:color="auto"/>
          <w:color w:val="auto"/>
        </w:rPr>
        <w:t>Section 21(c)(i)</w:t>
      </w:r>
      <w:r>
        <w:rPr>
          <w:rFonts w:ascii="Arial" w:cs="Arial" w:eastAsia="Arial" w:hAnsi="Arial"/>
          <w:sz w:val="17"/>
          <w:szCs w:val="17"/>
          <w:color w:val="auto"/>
        </w:rPr>
        <w:t xml:space="preserve"> or otherwise, Landlord may recover from Tenant the following: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0" w:hanging="770"/>
        <w:spacing w:after="0"/>
        <w:tabs>
          <w:tab w:leader="none" w:pos="26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224" w:lineRule="exact"/>
        <w:rPr>
          <w:rFonts w:ascii="Arial" w:cs="Arial" w:eastAsia="Arial" w:hAnsi="Arial"/>
          <w:sz w:val="17"/>
          <w:szCs w:val="17"/>
          <w:color w:val="auto"/>
        </w:rPr>
      </w:pPr>
    </w:p>
    <w:p>
      <w:pPr>
        <w:ind w:left="1200" w:right="100" w:firstLine="630"/>
        <w:spacing w:after="0" w:line="322" w:lineRule="auto"/>
        <w:tabs>
          <w:tab w:leader="none" w:pos="258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35" w:lineRule="exact"/>
        <w:rPr>
          <w:rFonts w:ascii="Arial" w:cs="Arial" w:eastAsia="Arial" w:hAnsi="Arial"/>
          <w:sz w:val="16"/>
          <w:szCs w:val="16"/>
          <w:color w:val="auto"/>
        </w:rPr>
      </w:pPr>
    </w:p>
    <w:p>
      <w:pPr>
        <w:ind w:left="1200" w:right="300" w:firstLine="630"/>
        <w:spacing w:after="0" w:line="289" w:lineRule="auto"/>
        <w:tabs>
          <w:tab w:leader="none" w:pos="258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58" w:lineRule="exact"/>
        <w:rPr>
          <w:rFonts w:ascii="Arial" w:cs="Arial" w:eastAsia="Arial" w:hAnsi="Arial"/>
          <w:sz w:val="17"/>
          <w:szCs w:val="17"/>
          <w:color w:val="auto"/>
        </w:rPr>
      </w:pPr>
    </w:p>
    <w:p>
      <w:pPr>
        <w:ind w:left="1200" w:right="120" w:firstLine="630"/>
        <w:spacing w:after="0" w:line="290" w:lineRule="auto"/>
        <w:tabs>
          <w:tab w:leader="none" w:pos="25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59" w:lineRule="exact"/>
        <w:rPr>
          <w:rFonts w:ascii="Arial" w:cs="Arial" w:eastAsia="Arial" w:hAnsi="Arial"/>
          <w:sz w:val="16"/>
          <w:szCs w:val="16"/>
          <w:color w:val="auto"/>
        </w:rPr>
      </w:pPr>
    </w:p>
    <w:p>
      <w:pPr>
        <w:ind w:left="2580" w:hanging="750"/>
        <w:spacing w:after="0"/>
        <w:tabs>
          <w:tab w:leader="none" w:pos="2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w:t>
      </w:r>
    </w:p>
    <w:p>
      <w:pPr>
        <w:spacing w:after="0" w:line="3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7"/>
          <w:szCs w:val="17"/>
          <w:color w:val="auto"/>
        </w:rPr>
        <w:t>applicable law.</w:t>
      </w:r>
    </w:p>
    <w:p>
      <w:pPr>
        <w:spacing w:after="0" w:line="206"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allowing</w:t>
      </w:r>
    </w:p>
    <w:p>
      <w:pPr>
        <w:sectPr>
          <w:pgSz w:w="11900" w:h="16838" w:orient="portrait"/>
          <w:cols w:equalWidth="0" w:num="1">
            <w:col w:w="11420"/>
          </w:cols>
          <w:pgMar w:left="240" w:top="127" w:right="239" w:bottom="0" w:gutter="0" w:footer="0" w:header="0"/>
        </w:sectPr>
      </w:pPr>
    </w:p>
    <w:bookmarkStart w:id="194" w:name="page195"/>
    <w:bookmarkEnd w:id="194"/>
    <w:p>
      <w:pPr>
        <w:spacing w:after="0" w:line="21" w:lineRule="exact"/>
        <w:rPr>
          <w:sz w:val="20"/>
          <w:szCs w:val="20"/>
          <w:color w:val="auto"/>
        </w:rPr>
      </w:pPr>
    </w:p>
    <w:p>
      <w:pPr>
        <w:ind w:right="580"/>
        <w:spacing w:after="0" w:line="297" w:lineRule="auto"/>
        <w:rPr>
          <w:sz w:val="20"/>
          <w:szCs w:val="20"/>
          <w:color w:val="auto"/>
        </w:rPr>
      </w:pPr>
      <w:r>
        <w:rPr>
          <w:rFonts w:ascii="Arial" w:cs="Arial" w:eastAsia="Arial" w:hAnsi="Arial"/>
          <w:sz w:val="17"/>
          <w:szCs w:val="17"/>
          <w:color w:val="auto"/>
        </w:rPr>
        <w:t xml:space="preserve">interest at the Default Rate. As used in </w:t>
      </w:r>
      <w:r>
        <w:rPr>
          <w:rFonts w:ascii="Arial" w:cs="Arial" w:eastAsia="Arial" w:hAnsi="Arial"/>
          <w:sz w:val="17"/>
          <w:szCs w:val="17"/>
          <w:u w:val="single" w:color="auto"/>
          <w:color w:val="auto"/>
        </w:rPr>
        <w:t>Section 21(c)(ii)(C)</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shall be computed by discounting such amount at the discount rate of the Federal Reserve Bank of San Francisco at the time of award plus 1%.</w:t>
      </w:r>
    </w:p>
    <w:p>
      <w:pPr>
        <w:spacing w:after="0" w:line="151" w:lineRule="exact"/>
        <w:rPr>
          <w:sz w:val="20"/>
          <w:szCs w:val="20"/>
          <w:color w:val="auto"/>
        </w:rPr>
      </w:pPr>
    </w:p>
    <w:p>
      <w:pPr>
        <w:ind w:left="640" w:firstLine="623"/>
        <w:spacing w:after="0" w:line="268" w:lineRule="auto"/>
        <w:tabs>
          <w:tab w:leader="none" w:pos="196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175" w:lineRule="exact"/>
        <w:rPr>
          <w:rFonts w:ascii="Arial" w:cs="Arial" w:eastAsia="Arial" w:hAnsi="Arial"/>
          <w:sz w:val="17"/>
          <w:szCs w:val="17"/>
          <w:color w:val="auto"/>
        </w:rPr>
      </w:pPr>
    </w:p>
    <w:p>
      <w:pPr>
        <w:ind w:left="640" w:right="60" w:firstLine="623"/>
        <w:spacing w:after="0" w:line="265" w:lineRule="auto"/>
        <w:tabs>
          <w:tab w:leader="none" w:pos="195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rFonts w:ascii="Arial" w:cs="Arial" w:eastAsia="Arial" w:hAnsi="Arial"/>
          <w:sz w:val="17"/>
          <w:szCs w:val="17"/>
          <w:color w:val="auto"/>
        </w:rPr>
      </w:pPr>
    </w:p>
    <w:p>
      <w:pPr>
        <w:ind w:left="640" w:right="920" w:firstLine="623"/>
        <w:spacing w:after="0" w:line="289" w:lineRule="auto"/>
        <w:tabs>
          <w:tab w:leader="none" w:pos="195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30(d)</w:t>
      </w:r>
      <w:r>
        <w:rPr>
          <w:rFonts w:ascii="Arial" w:cs="Arial" w:eastAsia="Arial" w:hAnsi="Arial"/>
          <w:sz w:val="17"/>
          <w:szCs w:val="17"/>
          <w:color w:val="auto"/>
        </w:rPr>
        <w:t xml:space="preserve"> hereof, at Tenant’s expense.</w:t>
      </w:r>
    </w:p>
    <w:p>
      <w:pPr>
        <w:spacing w:after="0" w:line="152" w:lineRule="exact"/>
        <w:rPr>
          <w:rFonts w:ascii="Arial" w:cs="Arial" w:eastAsia="Arial" w:hAnsi="Arial"/>
          <w:sz w:val="17"/>
          <w:szCs w:val="17"/>
          <w:color w:val="auto"/>
        </w:rPr>
      </w:pPr>
    </w:p>
    <w:p>
      <w:pPr>
        <w:ind w:right="60" w:firstLine="634"/>
        <w:spacing w:after="0" w:line="292" w:lineRule="auto"/>
        <w:tabs>
          <w:tab w:leader="none" w:pos="1313"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Following a Default by Tenant under this Lease and Tenant’s failure to cure such Default within the applicable cure period prescribed in this Lease,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62" w:lineRule="exact"/>
        <w:rPr>
          <w:sz w:val="20"/>
          <w:szCs w:val="20"/>
          <w:color w:val="auto"/>
        </w:rPr>
      </w:pPr>
    </w:p>
    <w:p>
      <w:pPr>
        <w:ind w:left="1260" w:hanging="626"/>
        <w:spacing w:after="0"/>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p>
    <w:p>
      <w:pPr>
        <w:spacing w:after="0" w:line="224" w:lineRule="exact"/>
        <w:rPr>
          <w:sz w:val="20"/>
          <w:szCs w:val="20"/>
          <w:color w:val="auto"/>
        </w:rPr>
      </w:pPr>
    </w:p>
    <w:p>
      <w:pPr>
        <w:ind w:right="120" w:firstLine="634"/>
        <w:spacing w:after="0" w:line="278" w:lineRule="auto"/>
        <w:tabs>
          <w:tab w:leader="none" w:pos="1256"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 xml:space="preserve">General Prohibition. </w:t>
      </w:r>
      <w:r>
        <w:rPr>
          <w:rFonts w:ascii="Arial" w:cs="Arial" w:eastAsia="Arial" w:hAnsi="Arial"/>
          <w:sz w:val="16"/>
          <w:szCs w:val="16"/>
          <w:color w:val="auto"/>
        </w:rPr>
        <w:t>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Notwithstanding the foregoing, (a) any public offering of shares or other ownership interest in Tenant shall not be deemed an assignment and (b) Tenant shall have the right to obtain financing from investors (including venture capital funding and corporate partners) which results in a change in control of Tenant without such change of control constituting an assignment under this Section 22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65" w:lineRule="exact"/>
        <w:rPr>
          <w:rFonts w:ascii="Arial" w:cs="Arial" w:eastAsia="Arial" w:hAnsi="Arial"/>
          <w:sz w:val="16"/>
          <w:szCs w:val="16"/>
          <w:color w:val="auto"/>
        </w:rPr>
      </w:pPr>
    </w:p>
    <w:p>
      <w:pPr>
        <w:ind w:firstLine="634"/>
        <w:spacing w:after="0" w:line="279" w:lineRule="auto"/>
        <w:tabs>
          <w:tab w:leader="none" w:pos="1266"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Among other reasons, it shall be reasonable for Landlord to withhold its consent in any of these circumstances: (1) the proposed assignee or subtenant is a governmental agency; (2) in Landlord’s reasonable judgment,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proposed assignee or subtenant is inconsistent with the desired tenant-mix or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w:t>
      </w:r>
    </w:p>
    <w:p>
      <w:pPr>
        <w:spacing w:after="0" w:line="1" w:lineRule="exact"/>
        <w:rPr>
          <w:sz w:val="20"/>
          <w:szCs w:val="20"/>
          <w:color w:val="auto"/>
        </w:rPr>
      </w:pPr>
    </w:p>
    <w:p>
      <w:pPr>
        <w:ind w:right="280" w:firstLine="5"/>
        <w:spacing w:after="0" w:line="317" w:lineRule="auto"/>
        <w:tabs>
          <w:tab w:leader="none" w:pos="24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use of the Premises by the proposed assignee or subtenant will violate any applicable Legal Requirements; (9) the proposed assignee or subtenant is an entity with whom Landlord has agreed to a letter of intent to lease space in the Project; or (10) the proposed assignment or sublease is prohibited by Landlord’s lender. If Landlord delivers notice of its election to exercise an Assignment Termination, Tenant shall have the right to withdraw such Assignment Notice by</w:t>
      </w:r>
    </w:p>
    <w:p>
      <w:pPr>
        <w:sectPr>
          <w:pgSz w:w="11900" w:h="16859" w:orient="portrait"/>
          <w:cols w:equalWidth="0" w:num="1">
            <w:col w:w="11420"/>
          </w:cols>
          <w:pgMar w:left="240" w:top="121" w:right="239" w:bottom="0" w:gutter="0" w:footer="0" w:header="0"/>
        </w:sectPr>
      </w:pPr>
    </w:p>
    <w:bookmarkStart w:id="195" w:name="page196"/>
    <w:bookmarkEnd w:id="195"/>
    <w:p>
      <w:pPr>
        <w:spacing w:after="0" w:line="263" w:lineRule="auto"/>
        <w:rPr>
          <w:sz w:val="20"/>
          <w:szCs w:val="20"/>
          <w:color w:val="auto"/>
        </w:rPr>
      </w:pPr>
      <w:r>
        <w:rPr>
          <w:rFonts w:ascii="Arial" w:cs="Arial" w:eastAsia="Arial" w:hAnsi="Arial"/>
          <w:sz w:val="17"/>
          <w:szCs w:val="17"/>
          <w:color w:val="auto"/>
        </w:rPr>
        <w:t>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Notwithstanding the foregoing, (i) Landlord’s consent to an assignment of this Lease or a subletting of any portion of the Premises to any entity controlling, controlled by or under common control with Tenant shall not be required, provided that Landlord shall have the right to approve the form of any such sublease or assignment, which consent shall not be unreasonably withheld or delayed, and (ii) Tenant shall have the right to undergo a deemed assignment due to change in control or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(A) such merger or consolidation, or such acquisition or assumption, as the case may be, is for a good business purpose and not principally for the purpose of transferring the Lease, and (B)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date of Tenant’s most current quarterly or annual financial statements, and (C) such assignee shall agree in writing to assume all of the terms, covenants and conditions of this Lease arising after the effective date of the assignment (a “</w:t>
      </w:r>
      <w:r>
        <w:rPr>
          <w:rFonts w:ascii="Arial" w:cs="Arial" w:eastAsia="Arial" w:hAnsi="Arial"/>
          <w:sz w:val="16"/>
          <w:szCs w:val="16"/>
          <w:b w:val="1"/>
          <w:bCs w:val="1"/>
          <w:color w:val="auto"/>
        </w:rPr>
        <w:t>Permitted Assignment</w:t>
      </w:r>
      <w:r>
        <w:rPr>
          <w:rFonts w:ascii="Arial" w:cs="Arial" w:eastAsia="Arial" w:hAnsi="Arial"/>
          <w:sz w:val="16"/>
          <w:szCs w:val="16"/>
          <w:color w:val="auto"/>
        </w:rPr>
        <w:t>”). Notwithstanding anything in this Section 22(b) to the contrary, Landlord shall not have the right to elect an Assignment Termination in connection with a Permitted Assignment.</w:t>
      </w:r>
    </w:p>
    <w:p>
      <w:pPr>
        <w:spacing w:after="0" w:line="167" w:lineRule="exact"/>
        <w:rPr>
          <w:sz w:val="20"/>
          <w:szCs w:val="20"/>
          <w:color w:val="auto"/>
        </w:rPr>
      </w:pPr>
    </w:p>
    <w:p>
      <w:pPr>
        <w:ind w:left="1280" w:hanging="646"/>
        <w:spacing w:after="0"/>
        <w:tabs>
          <w:tab w:leader="none" w:pos="128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Additional Conditions. </w:t>
      </w:r>
      <w:r>
        <w:rPr>
          <w:rFonts w:ascii="Arial" w:cs="Arial" w:eastAsia="Arial" w:hAnsi="Arial"/>
          <w:sz w:val="16"/>
          <w:szCs w:val="16"/>
          <w:color w:val="auto"/>
        </w:rPr>
        <w:t>As a condition to any such assignment or subletting, whether or not Landlord’s consent is required, Landlord may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require:</w:t>
      </w:r>
    </w:p>
    <w:p>
      <w:pPr>
        <w:spacing w:after="0" w:line="212" w:lineRule="exact"/>
        <w:rPr>
          <w:sz w:val="20"/>
          <w:szCs w:val="20"/>
          <w:color w:val="auto"/>
        </w:rPr>
      </w:pPr>
    </w:p>
    <w:p>
      <w:pPr>
        <w:ind w:left="640" w:right="180" w:firstLine="623"/>
        <w:spacing w:after="0" w:line="265" w:lineRule="auto"/>
        <w:tabs>
          <w:tab w:leader="none" w:pos="19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79" w:lineRule="exact"/>
        <w:rPr>
          <w:rFonts w:ascii="Arial" w:cs="Arial" w:eastAsia="Arial" w:hAnsi="Arial"/>
          <w:sz w:val="17"/>
          <w:szCs w:val="17"/>
          <w:color w:val="auto"/>
        </w:rPr>
      </w:pPr>
    </w:p>
    <w:p>
      <w:pPr>
        <w:ind w:left="640" w:right="260" w:firstLine="623"/>
        <w:spacing w:after="0" w:line="289" w:lineRule="auto"/>
        <w:tabs>
          <w:tab w:leader="none" w:pos="192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list of Hazardous Materials, certified by the proposed assignee or sublessee to be true and correct, which the proposed assignee or sublessee intends to use, store, handle,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1" w:lineRule="auto"/>
        <w:rPr>
          <w:sz w:val="20"/>
          <w:szCs w:val="20"/>
          <w:color w:val="auto"/>
        </w:rPr>
      </w:pPr>
      <w:r>
        <w:rPr>
          <w:rFonts w:ascii="Arial" w:cs="Arial" w:eastAsia="Arial" w:hAnsi="Arial"/>
          <w:sz w:val="17"/>
          <w:szCs w:val="17"/>
          <w:color w:val="auto"/>
        </w:rPr>
        <w:t>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78" w:lineRule="exact"/>
        <w:rPr>
          <w:sz w:val="20"/>
          <w:szCs w:val="20"/>
          <w:color w:val="auto"/>
        </w:rPr>
      </w:pPr>
    </w:p>
    <w:p>
      <w:pPr>
        <w:ind w:firstLine="634"/>
        <w:spacing w:after="0" w:line="261" w:lineRule="auto"/>
        <w:tabs>
          <w:tab w:leader="none" w:pos="1266"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No Release of Tenant, Sharing of Excess Rents. </w:t>
      </w:r>
      <w:r>
        <w:rPr>
          <w:rFonts w:ascii="Arial" w:cs="Arial" w:eastAsia="Arial" w:hAnsi="Arial"/>
          <w:sz w:val="17"/>
          <w:szCs w:val="17"/>
          <w:color w:val="auto"/>
        </w:rPr>
        <w:t>Notwithstanding any assignment or subletting, Tenant and any guarantor or surety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Lease shall at all times remain fully and primarily responsible and liable for the payment of Rent and for compliance with all of Tenant’s other obligations under this Lease. Except with respect to a Permitted Assignment, if the Rent due and payable by a sublessee or assignee (or a combination of the rental payable under such sublease or assignment plus any bonus or other consideration therefor or incident thereto in any form attributable to the assignment of sublease)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78" w:lineRule="exact"/>
        <w:rPr>
          <w:rFonts w:ascii="Arial" w:cs="Arial" w:eastAsia="Arial" w:hAnsi="Arial"/>
          <w:sz w:val="17"/>
          <w:szCs w:val="17"/>
          <w:color w:val="auto"/>
        </w:rPr>
      </w:pPr>
    </w:p>
    <w:p>
      <w:pPr>
        <w:ind w:right="40" w:firstLine="634"/>
        <w:spacing w:after="0" w:line="267" w:lineRule="auto"/>
        <w:tabs>
          <w:tab w:leader="none" w:pos="1269"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The consent by Landlord to an assignment or subletting shall not relieve Tenant or any assignees of this Lease or any sublessees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1" w:lineRule="exact"/>
        <w:rPr>
          <w:rFonts w:ascii="Arial" w:cs="Arial" w:eastAsia="Arial" w:hAnsi="Arial"/>
          <w:sz w:val="17"/>
          <w:szCs w:val="17"/>
          <w:color w:val="auto"/>
        </w:rPr>
      </w:pPr>
    </w:p>
    <w:p>
      <w:pPr>
        <w:ind w:right="20" w:firstLine="634"/>
        <w:spacing w:after="0" w:line="281" w:lineRule="auto"/>
        <w:tabs>
          <w:tab w:leader="none" w:pos="1263"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Prior Conduct of Proposed Transferee. </w:t>
      </w:r>
      <w:r>
        <w:rPr>
          <w:rFonts w:ascii="Arial" w:cs="Arial" w:eastAsia="Arial" w:hAnsi="Arial"/>
          <w:sz w:val="16"/>
          <w:szCs w:val="16"/>
          <w:color w:val="auto"/>
        </w:rPr>
        <w:t>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64" w:lineRule="exact"/>
        <w:rPr>
          <w:sz w:val="20"/>
          <w:szCs w:val="20"/>
          <w:color w:val="auto"/>
        </w:rPr>
      </w:pPr>
    </w:p>
    <w:p>
      <w:pPr>
        <w:ind w:right="200" w:firstLine="634"/>
        <w:spacing w:after="0" w:line="330" w:lineRule="auto"/>
        <w:tabs>
          <w:tab w:leader="none" w:pos="1254"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Estoppel Certificate. </w:t>
      </w:r>
      <w:r>
        <w:rPr>
          <w:rFonts w:ascii="Arial" w:cs="Arial" w:eastAsia="Arial" w:hAnsi="Arial"/>
          <w:sz w:val="16"/>
          <w:szCs w:val="16"/>
          <w:color w:val="auto"/>
        </w:rPr>
        <w:t>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w:t>
      </w:r>
    </w:p>
    <w:p>
      <w:pPr>
        <w:sectPr>
          <w:pgSz w:w="11900" w:h="16838" w:orient="portrait"/>
          <w:cols w:equalWidth="0" w:num="1">
            <w:col w:w="11420"/>
          </w:cols>
          <w:pgMar w:left="240" w:top="127" w:right="239" w:bottom="165"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65" w:gutter="0" w:footer="0" w:header="0"/>
          <w:type w:val="continuous"/>
        </w:sectPr>
      </w:pPr>
    </w:p>
    <w:bookmarkStart w:id="196" w:name="page197"/>
    <w:bookmarkEnd w:id="196"/>
    <w:p>
      <w:pPr>
        <w:spacing w:after="0" w:line="281" w:lineRule="auto"/>
        <w:rPr>
          <w:sz w:val="20"/>
          <w:szCs w:val="20"/>
          <w:color w:val="auto"/>
        </w:rPr>
      </w:pPr>
      <w:r>
        <w:rPr>
          <w:rFonts w:ascii="Arial" w:cs="Arial" w:eastAsia="Arial" w:hAnsi="Arial"/>
          <w:sz w:val="16"/>
          <w:szCs w:val="16"/>
          <w:color w:val="auto"/>
        </w:rPr>
        <w:t xml:space="preserve">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after the expiration of the notice and cure period set forth in </w:t>
      </w:r>
      <w:r>
        <w:rPr>
          <w:rFonts w:ascii="Arial" w:cs="Arial" w:eastAsia="Arial" w:hAnsi="Arial"/>
          <w:sz w:val="16"/>
          <w:szCs w:val="16"/>
          <w:u w:val="single" w:color="auto"/>
          <w:color w:val="auto"/>
        </w:rPr>
        <w:t>Section 20(g)</w:t>
      </w:r>
      <w:r>
        <w:rPr>
          <w:rFonts w:ascii="Arial" w:cs="Arial" w:eastAsia="Arial" w:hAnsi="Arial"/>
          <w:sz w:val="16"/>
          <w:szCs w:val="16"/>
          <w:color w:val="auto"/>
        </w:rPr>
        <w:t>, and, in any event, shall be conclusive upon Tenant that the Lease is in full force and effect and without modification except as may be represented by Landlord in any certificate prepared by Landlord and delivered to Tenant for execution.</w:t>
      </w:r>
    </w:p>
    <w:p>
      <w:pPr>
        <w:spacing w:after="0" w:line="164" w:lineRule="exact"/>
        <w:rPr>
          <w:sz w:val="20"/>
          <w:szCs w:val="20"/>
          <w:color w:val="auto"/>
        </w:rPr>
      </w:pPr>
    </w:p>
    <w:p>
      <w:pPr>
        <w:ind w:right="200" w:firstLine="634"/>
        <w:spacing w:after="0" w:line="297" w:lineRule="auto"/>
        <w:tabs>
          <w:tab w:leader="none" w:pos="1254"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 xml:space="preserve">Quiet Enjoyment. </w:t>
      </w:r>
      <w:r>
        <w:rPr>
          <w:rFonts w:ascii="Arial" w:cs="Arial" w:eastAsia="Arial" w:hAnsi="Arial"/>
          <w:sz w:val="17"/>
          <w:szCs w:val="17"/>
          <w:color w:val="auto"/>
        </w:rPr>
        <w:t>So long as Tenant is not in Default under this Lease, Tenant shall, subject to the terms of this Lease, 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have peaceful and quiet enjoyment of the Premises against any person claiming by, through or under Landlord.</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Prorations. </w:t>
      </w:r>
      <w:r>
        <w:rPr>
          <w:rFonts w:ascii="Arial" w:cs="Arial" w:eastAsia="Arial" w:hAnsi="Arial"/>
          <w:sz w:val="16"/>
          <w:szCs w:val="16"/>
          <w:color w:val="auto"/>
        </w:rPr>
        <w:t>All prorations required or permitted to be made hereunder shall be made on the basis of a 360 day year and 30 day months.</w:t>
      </w:r>
    </w:p>
    <w:p>
      <w:pPr>
        <w:spacing w:after="0" w:line="235" w:lineRule="exact"/>
        <w:rPr>
          <w:rFonts w:ascii="Arial" w:cs="Arial" w:eastAsia="Arial" w:hAnsi="Arial"/>
          <w:sz w:val="16"/>
          <w:szCs w:val="16"/>
          <w:color w:val="auto"/>
        </w:rPr>
      </w:pPr>
    </w:p>
    <w:p>
      <w:pPr>
        <w:ind w:firstLine="634"/>
        <w:spacing w:after="0" w:line="267" w:lineRule="auto"/>
        <w:tabs>
          <w:tab w:leader="none" w:pos="1254"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 xml:space="preserve">Rules and Regulations. </w:t>
      </w:r>
      <w:r>
        <w:rPr>
          <w:rFonts w:ascii="Arial" w:cs="Arial" w:eastAsia="Arial" w:hAnsi="Arial"/>
          <w:sz w:val="17"/>
          <w:szCs w:val="17"/>
          <w:color w:val="auto"/>
        </w:rPr>
        <w:t>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The current rules and regulations are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 have any liability or obligation for the breach of any rules or regulations by other tenants in the Project and shall not enforce such rules and regulations in a discriminatory manner.</w:t>
      </w:r>
    </w:p>
    <w:p>
      <w:pPr>
        <w:spacing w:after="0" w:line="171" w:lineRule="exact"/>
        <w:rPr>
          <w:rFonts w:ascii="Arial" w:cs="Arial" w:eastAsia="Arial" w:hAnsi="Arial"/>
          <w:sz w:val="17"/>
          <w:szCs w:val="17"/>
          <w:color w:val="auto"/>
        </w:rPr>
      </w:pPr>
    </w:p>
    <w:p>
      <w:pPr>
        <w:ind w:right="40" w:firstLine="634"/>
        <w:spacing w:after="0" w:line="278" w:lineRule="auto"/>
        <w:tabs>
          <w:tab w:leader="none" w:pos="1254"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69" w:lineRule="exact"/>
        <w:rPr>
          <w:rFonts w:ascii="Arial" w:cs="Arial" w:eastAsia="Arial" w:hAnsi="Arial"/>
          <w:sz w:val="16"/>
          <w:szCs w:val="16"/>
          <w:color w:val="auto"/>
        </w:rPr>
      </w:pPr>
    </w:p>
    <w:p>
      <w:pPr>
        <w:ind w:right="120" w:firstLine="634"/>
        <w:spacing w:after="0" w:line="285" w:lineRule="auto"/>
        <w:tabs>
          <w:tab w:leader="none" w:pos="1254"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Surrender. </w:t>
      </w:r>
      <w:r>
        <w:rPr>
          <w:rFonts w:ascii="Arial" w:cs="Arial" w:eastAsia="Arial" w:hAnsi="Arial"/>
          <w:sz w:val="16"/>
          <w:szCs w:val="16"/>
          <w:color w:val="auto"/>
        </w:rPr>
        <w:t>Upon the expiration of the Term or earlier termination of Tenant’s right of possession, Tenant shall surrender to Landlord (i)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Premises in the same condition as existed on April 15, 2008 (i.e. the commencement date under the Nodality Sublease), subject to any Alterations or Installations permitted by Landlord to remain in the Current Premises (including Landlord’s Work which may remain in the Current Premises), free of Hazardous Materials brought upon, kept, used, stored, handled, treated, generated in, or released or disposed of from, the Current Premises on or after the April 15, 2008 by any person other than a Landlord Party (collectively, “</w:t>
      </w:r>
      <w:r>
        <w:rPr>
          <w:rFonts w:ascii="Arial" w:cs="Arial" w:eastAsia="Arial" w:hAnsi="Arial"/>
          <w:sz w:val="16"/>
          <w:szCs w:val="16"/>
          <w:b w:val="1"/>
          <w:bCs w:val="1"/>
          <w:color w:val="auto"/>
        </w:rPr>
        <w:t>Current Premises 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and (ii) the Expansion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Premises in the same conditions as existed on the Lease Date (i.e. the commencement date under the Poniard Sublease), subject to any Alterations or Installations permitted by Landlord to remain in the Expansion Premises (including Landlord’s Work which may remain in the Expansion Premises), free of Hazardous Materials brought upon, kept, used, stored, handled, treated, generated in, or released or disposed of from, the Expansion Premises on or after the Lease Date by any person other than a Landlord Party (collectively, “</w:t>
      </w:r>
      <w:r>
        <w:rPr>
          <w:rFonts w:ascii="Arial" w:cs="Arial" w:eastAsia="Arial" w:hAnsi="Arial"/>
          <w:sz w:val="15"/>
          <w:szCs w:val="15"/>
          <w:b w:val="1"/>
          <w:bCs w:val="1"/>
          <w:color w:val="auto"/>
        </w:rPr>
        <w:t>Expansion Premises Tenant HazMat Operations</w:t>
      </w:r>
      <w:r>
        <w:rPr>
          <w:rFonts w:ascii="Arial" w:cs="Arial" w:eastAsia="Arial" w:hAnsi="Arial"/>
          <w:sz w:val="15"/>
          <w:szCs w:val="15"/>
          <w:color w:val="auto"/>
        </w:rPr>
        <w:t>” and together with Current Premises Tenant HazMat operations, “</w:t>
      </w:r>
      <w:r>
        <w:rPr>
          <w:rFonts w:ascii="Arial" w:cs="Arial" w:eastAsia="Arial" w:hAnsi="Arial"/>
          <w:sz w:val="15"/>
          <w:szCs w:val="15"/>
          <w:b w:val="1"/>
          <w:bCs w:val="1"/>
          <w:color w:val="auto"/>
        </w:rPr>
        <w:t>Tenant HazMat Operations</w:t>
      </w:r>
      <w:r>
        <w:rPr>
          <w:rFonts w:ascii="Arial" w:cs="Arial" w:eastAsia="Arial" w:hAnsi="Arial"/>
          <w:sz w:val="15"/>
          <w:szCs w:val="15"/>
          <w:color w:val="auto"/>
        </w:rPr>
        <w:t xml:space="preserve">”) and released of all Hazardous Materials Clearances, broom clean, ordinary wear and tear and casualty loss and condemnation covered by </w:t>
      </w:r>
      <w:r>
        <w:rPr>
          <w:rFonts w:ascii="Arial" w:cs="Arial" w:eastAsia="Arial" w:hAnsi="Arial"/>
          <w:sz w:val="15"/>
          <w:szCs w:val="15"/>
          <w:u w:val="single" w:color="auto"/>
          <w:color w:val="auto"/>
        </w:rPr>
        <w:t>Sections 18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5"/>
          <w:szCs w:val="15"/>
          <w:b w:val="1"/>
          <w:bCs w:val="1"/>
          <w:color w:val="auto"/>
        </w:rPr>
        <w:t>Surrender Plan</w:t>
      </w:r>
      <w:r>
        <w:rPr>
          <w:rFonts w:ascii="Arial" w:cs="Arial" w:eastAsia="Arial" w:hAnsi="Arial"/>
          <w:sz w:val="15"/>
          <w:szCs w:val="15"/>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such approval not to be unreasonably withheld or delayed.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reasonable out-of pocket expense incurred by Landlord for Landlord’s environmental consultant to review and approve the Surrender Plan and to visit the Premises and verify satisfactory completion of the same, which cost shall not exceed $2,500. Landlord shall have the unrestricted right to deliver such Surrender Plan and any report by Landlord’s environmental consultant with respect to the surrender of the Premises to third parties.</w:t>
      </w:r>
    </w:p>
    <w:p>
      <w:pPr>
        <w:spacing w:after="0" w:line="37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color w:val="auto"/>
        </w:rPr>
        <w:t>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w:t>
      </w:r>
    </w:p>
    <w:p>
      <w:pPr>
        <w:sectPr>
          <w:pgSz w:w="11900" w:h="16838" w:orient="portrait"/>
          <w:cols w:equalWidth="0" w:num="1">
            <w:col w:w="11420"/>
          </w:cols>
          <w:pgMar w:left="240" w:top="337" w:right="239" w:bottom="0" w:gutter="0" w:footer="0" w:header="0"/>
        </w:sectPr>
      </w:pPr>
    </w:p>
    <w:bookmarkStart w:id="197" w:name="page198"/>
    <w:bookmarkEnd w:id="197"/>
    <w:p>
      <w:pPr>
        <w:spacing w:after="0" w:line="5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52" w:lineRule="exact"/>
        <w:rPr>
          <w:sz w:val="20"/>
          <w:szCs w:val="20"/>
          <w:color w:val="auto"/>
        </w:rPr>
      </w:pPr>
    </w:p>
    <w:p>
      <w:pPr>
        <w:ind w:right="20" w:firstLine="634"/>
        <w:spacing w:after="0" w:line="297" w:lineRule="auto"/>
        <w:tabs>
          <w:tab w:leader="none" w:pos="1254"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Waiver of Jury Trial. </w:t>
      </w:r>
      <w:r>
        <w:rPr>
          <w:rFonts w:ascii="Arial" w:cs="Arial" w:eastAsia="Arial" w:hAnsi="Arial"/>
          <w:sz w:val="17"/>
          <w:szCs w:val="17"/>
          <w:color w:val="auto"/>
        </w:rPr>
        <w:t>TO THE EXTENT PERMITTED BY LAW, TENANT AND LANDLORD WAIVE ANY RIGHT TO TRIAL BY JURY</w:t>
      </w:r>
      <w:r>
        <w:rPr>
          <w:rFonts w:ascii="Arial" w:cs="Arial" w:eastAsia="Arial" w:hAnsi="Arial"/>
          <w:sz w:val="17"/>
          <w:szCs w:val="17"/>
          <w:b w:val="1"/>
          <w:bCs w:val="1"/>
          <w:color w:val="auto"/>
        </w:rPr>
        <w:t xml:space="preserve"> </w:t>
      </w:r>
      <w:r>
        <w:rPr>
          <w:rFonts w:ascii="Arial" w:cs="Arial" w:eastAsia="Arial" w:hAnsi="Arial"/>
          <w:sz w:val="17"/>
          <w:szCs w:val="17"/>
          <w:color w:val="auto"/>
        </w:rPr>
        <w:t>OR TO HAVE A JURY PARTICIPATE IN RESOLVING ANY DISPUTE, WHETHER SOUNDING IN CONTRACT, TORT,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BETWEEN LANDLORD AND TENANT ARISING OUT OF THIS LEASE OR ANY OTHER INSTRUMENT, DOCUMENT, OR AGREEMENT EXECUTED OR DELIVERED IN CONNECTION HEREWITH OR THE TRANSACTIONS RELATED HERETO.</w:t>
      </w:r>
    </w:p>
    <w:p>
      <w:pPr>
        <w:spacing w:after="0" w:line="152" w:lineRule="exact"/>
        <w:rPr>
          <w:sz w:val="20"/>
          <w:szCs w:val="20"/>
          <w:color w:val="auto"/>
        </w:rPr>
      </w:pPr>
    </w:p>
    <w:p>
      <w:pPr>
        <w:ind w:left="1260" w:hanging="626"/>
        <w:spacing w:after="0"/>
        <w:tabs>
          <w:tab w:leader="none" w:pos="126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p>
    <w:p>
      <w:pPr>
        <w:spacing w:after="0" w:line="224" w:lineRule="exact"/>
        <w:rPr>
          <w:sz w:val="20"/>
          <w:szCs w:val="20"/>
          <w:color w:val="auto"/>
        </w:rPr>
      </w:pPr>
    </w:p>
    <w:p>
      <w:pPr>
        <w:ind w:firstLine="634"/>
        <w:spacing w:after="0" w:line="275" w:lineRule="auto"/>
        <w:tabs>
          <w:tab w:leader="none" w:pos="1256"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Prohibition/Compliance/Indemnity. </w:t>
      </w:r>
      <w:r>
        <w:rPr>
          <w:rFonts w:ascii="Arial" w:cs="Arial" w:eastAsia="Arial" w:hAnsi="Arial"/>
          <w:sz w:val="16"/>
          <w:szCs w:val="16"/>
          <w:color w:val="auto"/>
        </w:rPr>
        <w:t>Tenant shall not cause or permit any Hazardous Materials (as hereinafter defined) to be brought upon,</w:t>
      </w:r>
      <w:r>
        <w:rPr>
          <w:rFonts w:ascii="Arial" w:cs="Arial" w:eastAsia="Arial" w:hAnsi="Arial"/>
          <w:sz w:val="16"/>
          <w:szCs w:val="16"/>
          <w:b w:val="1"/>
          <w:bCs w:val="1"/>
          <w:color w:val="auto"/>
        </w:rPr>
        <w:t xml:space="preserve"> </w:t>
      </w:r>
      <w:r>
        <w:rPr>
          <w:rFonts w:ascii="Arial" w:cs="Arial" w:eastAsia="Arial" w:hAnsi="Arial"/>
          <w:sz w:val="16"/>
          <w:szCs w:val="16"/>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by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or have any liability to Landlord, and the indemnification and hold harmless obligation set forth in this paragraph shall not apply to Hazardous Materials in the Premises, which Hazardous Materials Tenant proves to Landlord’s reasonable satisfaction (i) existed prior to April 15, 2008 (i.e. the commencement date under the Nodality Sublease), as to the Current Premises, and the Lease Date, as to the Expansion Premises, (ii) originated from any separately demised tenant space within the Project other than the Premises, (iii) were not brought upon, kept, used, stored, handled, treated, generated in, or released or disposed of from, the Project by Tenant or any Tenant Party, or (iv) migrated from outside the Premises into the Premises, unless in each case, to the extent the presence of such Hazardous Materials (x) is the result of a breach by Tenant of any of its obligations under this Lease, or (y) was caused, contributed to or exacerbated by Tenant or any Tenant Party.</w:t>
      </w:r>
    </w:p>
    <w:p>
      <w:pPr>
        <w:spacing w:after="0" w:line="180" w:lineRule="exact"/>
        <w:rPr>
          <w:rFonts w:ascii="Arial" w:cs="Arial" w:eastAsia="Arial" w:hAnsi="Arial"/>
          <w:sz w:val="16"/>
          <w:szCs w:val="16"/>
          <w:color w:val="auto"/>
        </w:rPr>
      </w:pPr>
    </w:p>
    <w:p>
      <w:pPr>
        <w:jc w:val="both"/>
        <w:ind w:right="240" w:firstLine="634"/>
        <w:spacing w:after="0" w:line="267" w:lineRule="auto"/>
        <w:tabs>
          <w:tab w:leader="none" w:pos="1266"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 Premises for the Permitted 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April 1, 2010 a list identifying each type of Hazardous Materials to be brought upon, kept, used, stored, handled, treated, generated on, or released or disposed of from, the Premises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and setting forth any and all governmental approvals or permits required in connection with the presence, use, storage, handling, treatment, generation, release or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List at least once a year and shall also deliver an updated list before any new Hazardous Material is brought onto, kept, used, stored, handled, treated, generated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 or released or disposed of from, the Premises. Tenant shall deliver to Landlord true and correct copies of the following documents (the “</w:t>
      </w:r>
      <w:r>
        <w:rPr>
          <w:rFonts w:ascii="Arial" w:cs="Arial" w:eastAsia="Arial" w:hAnsi="Arial"/>
          <w:sz w:val="17"/>
          <w:szCs w:val="17"/>
          <w:b w:val="1"/>
          <w:bCs w:val="1"/>
          <w:color w:val="auto"/>
        </w:rPr>
        <w:t>Haz Mat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w:t>
      </w:r>
      <w:r>
        <w:rPr>
          <w:rFonts w:ascii="Arial" w:cs="Arial" w:eastAsia="Arial" w:hAnsi="Arial"/>
          <w:sz w:val="15"/>
          <w:szCs w:val="15"/>
          <w:color w:val="auto"/>
        </w:rPr>
        <w:t>”) relating to the use, storage, handling, treatment, generation, release or disposal of Hazardous Materials prior to April 1, 2010 or if unavailable at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time, concurrent with the receipt from or submission to a Governmental Authority: permits; approvals; reports and correspondence; storage and management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plans, notice of violations of any Legal Requirements; plans relating to the installation of any storage tanks to be installed in or under the Project (provided, said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installation of tanks shall only be permitted after Landlord has given Tenant its written consent to do so, which consent may be withheld in Landlord’s sole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absolute discretion); all closure plans or any other documents required by any and all federal, state and local Governmental Authorities for any storage tanks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accomplished in 3 months). Tenant is not required, however, to provide Landlord with any portion(s) of the Haz Mat Documents containing information of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proprietary nature which, in and of themselves, do not contain a reference to any Hazardous Materials or hazardous activities. It is not the intent of this Section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provide Landlord with information which could be detrimental to Tenant’s business should such information become possessed by Tenant’s competitors.</w:t>
      </w:r>
    </w:p>
    <w:p>
      <w:pPr>
        <w:spacing w:after="0" w:line="218" w:lineRule="exact"/>
        <w:rPr>
          <w:sz w:val="20"/>
          <w:szCs w:val="20"/>
          <w:color w:val="auto"/>
        </w:rPr>
      </w:pPr>
    </w:p>
    <w:p>
      <w:pPr>
        <w:ind w:right="120" w:firstLine="634"/>
        <w:spacing w:after="0" w:line="264" w:lineRule="auto"/>
        <w:tabs>
          <w:tab w:leader="none" w:pos="1269" w:val="left"/>
        </w:tabs>
        <w:numPr>
          <w:ilvl w:val="0"/>
          <w:numId w:val="139"/>
        </w:numPr>
        <w:rPr>
          <w:rFonts w:ascii="Arial" w:cs="Arial" w:eastAsia="Arial" w:hAnsi="Arial"/>
          <w:sz w:val="17"/>
          <w:szCs w:val="17"/>
          <w:color w:val="auto"/>
        </w:rPr>
      </w:pPr>
      <w:r>
        <w:rPr>
          <w:rFonts w:ascii="Arial" w:cs="Arial" w:eastAsia="Arial" w:hAnsi="Arial"/>
          <w:sz w:val="17"/>
          <w:szCs w:val="17"/>
          <w:b w:val="1"/>
          <w:bCs w:val="1"/>
          <w:color w:val="auto"/>
        </w:rPr>
        <w:t xml:space="preserve">Tenant Representation and Warranty. </w:t>
      </w:r>
      <w:r>
        <w:rPr>
          <w:rFonts w:ascii="Arial" w:cs="Arial" w:eastAsia="Arial" w:hAnsi="Arial"/>
          <w:sz w:val="17"/>
          <w:szCs w:val="17"/>
          <w:color w:val="auto"/>
        </w:rPr>
        <w:t>Tenant hereby represents and warrants to Landlord that (i) neither Tenant nor any of its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72" w:lineRule="exact"/>
        <w:rPr>
          <w:rFonts w:ascii="Arial" w:cs="Arial" w:eastAsia="Arial" w:hAnsi="Arial"/>
          <w:sz w:val="17"/>
          <w:szCs w:val="17"/>
          <w:color w:val="auto"/>
        </w:rPr>
      </w:pPr>
    </w:p>
    <w:p>
      <w:pPr>
        <w:ind w:right="20" w:firstLine="634"/>
        <w:spacing w:after="0" w:line="330" w:lineRule="auto"/>
        <w:tabs>
          <w:tab w:leader="none" w:pos="1266" w:val="left"/>
        </w:tabs>
        <w:numPr>
          <w:ilvl w:val="0"/>
          <w:numId w:val="139"/>
        </w:numPr>
        <w:rPr>
          <w:rFonts w:ascii="Arial" w:cs="Arial" w:eastAsia="Arial" w:hAnsi="Arial"/>
          <w:sz w:val="15"/>
          <w:szCs w:val="15"/>
          <w:color w:val="auto"/>
        </w:rPr>
      </w:pPr>
      <w:r>
        <w:rPr>
          <w:rFonts w:ascii="Arial" w:cs="Arial" w:eastAsia="Arial" w:hAnsi="Arial"/>
          <w:sz w:val="15"/>
          <w:szCs w:val="15"/>
          <w:b w:val="1"/>
          <w:bCs w:val="1"/>
          <w:color w:val="auto"/>
        </w:rPr>
        <w:t xml:space="preserve">Testing. </w:t>
      </w:r>
      <w:r>
        <w:rPr>
          <w:rFonts w:ascii="Arial" w:cs="Arial" w:eastAsia="Arial" w:hAnsi="Arial"/>
          <w:sz w:val="15"/>
          <w:szCs w:val="15"/>
          <w:color w:val="auto"/>
        </w:rPr>
        <w:t>In accordance with the provisions of Section 32, Landlord shall have the right to conduct annual tests of the Premises to determine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whether any contamination of the Premises or the Project has occurred as a result of Tenant’s use. Tenant shall be required to pay the cost of such annual test of the Premises if there is a violation of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or if contamination for which Tenant is responsible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is identified; provided, however, that if</w:t>
      </w:r>
    </w:p>
    <w:p>
      <w:pPr>
        <w:sectPr>
          <w:pgSz w:w="11900" w:h="16896" w:orient="portrait"/>
          <w:cols w:equalWidth="0" w:num="1">
            <w:col w:w="11420"/>
          </w:cols>
          <w:pgMar w:left="240" w:top="127" w:right="239" w:bottom="0" w:gutter="0" w:footer="0" w:header="0"/>
        </w:sectPr>
      </w:pPr>
    </w:p>
    <w:bookmarkStart w:id="198" w:name="page199"/>
    <w:bookmarkEnd w:id="198"/>
    <w:p>
      <w:pPr>
        <w:ind w:right="40"/>
        <w:spacing w:after="0" w:line="299" w:lineRule="auto"/>
        <w:rPr>
          <w:sz w:val="20"/>
          <w:szCs w:val="20"/>
          <w:color w:val="auto"/>
        </w:rPr>
      </w:pPr>
      <w:r>
        <w:rPr>
          <w:rFonts w:ascii="Arial" w:cs="Arial" w:eastAsia="Arial" w:hAnsi="Arial"/>
          <w:sz w:val="15"/>
          <w:szCs w:val="15"/>
          <w:color w:val="auto"/>
        </w:rPr>
        <w:t xml:space="preserve">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52" w:lineRule="exact"/>
        <w:rPr>
          <w:sz w:val="20"/>
          <w:szCs w:val="20"/>
          <w:color w:val="auto"/>
        </w:rPr>
      </w:pPr>
    </w:p>
    <w:p>
      <w:pPr>
        <w:ind w:right="340" w:firstLine="634"/>
        <w:spacing w:after="0" w:line="330" w:lineRule="auto"/>
        <w:tabs>
          <w:tab w:leader="none" w:pos="1269"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Underground Tanks. </w:t>
      </w:r>
      <w:r>
        <w:rPr>
          <w:rFonts w:ascii="Arial" w:cs="Arial" w:eastAsia="Arial" w:hAnsi="Arial"/>
          <w:sz w:val="16"/>
          <w:szCs w:val="16"/>
          <w:color w:val="auto"/>
        </w:rPr>
        <w:t>If underground or other storage tanks storing Hazardous Materials located on the Premises or the Project are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or are hereafter placed on the Premises or the Project by Tenant, Tenant shall install, use, monitor, operate, maintain, upgrade and manage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color w:val="auto"/>
        </w:rPr>
        <w:t>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30" w:lineRule="exact"/>
        <w:rPr>
          <w:sz w:val="20"/>
          <w:szCs w:val="20"/>
          <w:color w:val="auto"/>
        </w:rPr>
      </w:pPr>
    </w:p>
    <w:p>
      <w:pPr>
        <w:ind w:firstLine="634"/>
        <w:spacing w:after="0" w:line="267" w:lineRule="auto"/>
        <w:tabs>
          <w:tab w:leader="none" w:pos="1263"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Tenant’s Obligations. </w:t>
      </w:r>
      <w:r>
        <w:rPr>
          <w:rFonts w:ascii="Arial" w:cs="Arial" w:eastAsia="Arial" w:hAnsi="Arial"/>
          <w:sz w:val="17"/>
          <w:szCs w:val="17"/>
          <w:color w:val="auto"/>
        </w:rPr>
        <w:t>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71" w:lineRule="exact"/>
        <w:rPr>
          <w:rFonts w:ascii="Arial" w:cs="Arial" w:eastAsia="Arial" w:hAnsi="Arial"/>
          <w:sz w:val="17"/>
          <w:szCs w:val="17"/>
          <w:color w:val="auto"/>
        </w:rPr>
      </w:pPr>
    </w:p>
    <w:p>
      <w:pPr>
        <w:ind w:right="60" w:firstLine="634"/>
        <w:spacing w:after="0" w:line="279" w:lineRule="auto"/>
        <w:tabs>
          <w:tab w:leader="none" w:pos="1279"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8" w:lineRule="exact"/>
        <w:rPr>
          <w:sz w:val="20"/>
          <w:szCs w:val="20"/>
          <w:color w:val="auto"/>
        </w:rPr>
      </w:pPr>
    </w:p>
    <w:p>
      <w:pPr>
        <w:ind w:right="20" w:firstLine="634"/>
        <w:spacing w:after="0" w:line="281" w:lineRule="auto"/>
        <w:tabs>
          <w:tab w:leader="none" w:pos="1254"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Tenant’s Remedies/Limitation of Liability. </w:t>
      </w:r>
      <w:r>
        <w:rPr>
          <w:rFonts w:ascii="Arial" w:cs="Arial" w:eastAsia="Arial" w:hAnsi="Arial"/>
          <w:sz w:val="16"/>
          <w:szCs w:val="16"/>
          <w:color w:val="auto"/>
        </w:rPr>
        <w:t>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0"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0" w:lineRule="exact"/>
        <w:rPr>
          <w:sz w:val="20"/>
          <w:szCs w:val="20"/>
          <w:color w:val="auto"/>
        </w:rPr>
      </w:pPr>
    </w:p>
    <w:p>
      <w:pPr>
        <w:ind w:right="60" w:firstLine="634"/>
        <w:spacing w:after="0" w:line="292" w:lineRule="auto"/>
        <w:tabs>
          <w:tab w:leader="none" w:pos="1284"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Inspection and Access. </w:t>
      </w:r>
      <w:r>
        <w:rPr>
          <w:rFonts w:ascii="Arial" w:cs="Arial" w:eastAsia="Arial" w:hAnsi="Arial"/>
          <w:sz w:val="16"/>
          <w:szCs w:val="16"/>
          <w:color w:val="auto"/>
        </w:rPr>
        <w:t>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 to make such repairs as may be required or permitted pursuant to this Lease.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or showing the Premises to prospective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purchasers and, during the last year of the Term, to prospective tenants; provided, however, Landlord may show the Premises to prospective tenants only in the last 9 months of the Term.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78" w:lineRule="exact"/>
        <w:rPr>
          <w:sz w:val="20"/>
          <w:szCs w:val="20"/>
          <w:color w:val="auto"/>
        </w:rPr>
      </w:pPr>
    </w:p>
    <w:p>
      <w:pPr>
        <w:ind w:right="140" w:firstLine="634"/>
        <w:spacing w:after="0" w:line="285" w:lineRule="auto"/>
        <w:tabs>
          <w:tab w:leader="none" w:pos="1254"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Tenant acknowledges and agrees that security devices and services, if any, while intended to deter crime may not in given instances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ectPr>
          <w:pgSz w:w="11900" w:h="16838" w:orient="portrait"/>
          <w:cols w:equalWidth="0" w:num="1">
            <w:col w:w="11400"/>
          </w:cols>
          <w:pgMar w:left="240" w:top="127" w:right="259" w:bottom="28" w:gutter="0" w:footer="0" w:header="0"/>
        </w:sectPr>
      </w:pPr>
    </w:p>
    <w:bookmarkStart w:id="199" w:name="page200"/>
    <w:bookmarkEnd w:id="199"/>
    <w:p>
      <w:pPr>
        <w:ind w:firstLine="634"/>
        <w:spacing w:after="0" w:line="265" w:lineRule="auto"/>
        <w:tabs>
          <w:tab w:leader="none" w:pos="1254"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 xml:space="preserve">Force Majeure. </w:t>
      </w:r>
      <w:r>
        <w:rPr>
          <w:rFonts w:ascii="Arial" w:cs="Arial" w:eastAsia="Arial" w:hAnsi="Arial"/>
          <w:sz w:val="17"/>
          <w:szCs w:val="17"/>
          <w:color w:val="auto"/>
        </w:rPr>
        <w:t>Landlord shall not be responsible or liable for delays in the performance of its obligations hereunder when caused by,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100" w:firstLine="634"/>
        <w:spacing w:after="0" w:line="265" w:lineRule="auto"/>
        <w:tabs>
          <w:tab w:leader="none" w:pos="1254"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 xml:space="preserve">Brokers. </w:t>
      </w:r>
      <w:r>
        <w:rPr>
          <w:rFonts w:ascii="Arial" w:cs="Arial" w:eastAsia="Arial" w:hAnsi="Arial"/>
          <w:sz w:val="17"/>
          <w:szCs w:val="17"/>
          <w:color w:val="auto"/>
        </w:rPr>
        <w:t>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connection with this transaction and that no Broker brought about this transaction, other than GVA Kidder Mathews.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 Landlord shall be responsible for all fees of Broker arising out of the execution of this Lease in accordance with the terms of a separate written agreement between Broker and Landlord.</w:t>
      </w:r>
    </w:p>
    <w:p>
      <w:pPr>
        <w:spacing w:after="0" w:line="173" w:lineRule="exact"/>
        <w:rPr>
          <w:rFonts w:ascii="Arial" w:cs="Arial" w:eastAsia="Arial" w:hAnsi="Arial"/>
          <w:sz w:val="17"/>
          <w:szCs w:val="17"/>
          <w:color w:val="auto"/>
        </w:rPr>
      </w:pPr>
    </w:p>
    <w:p>
      <w:pPr>
        <w:ind w:right="40" w:firstLine="634"/>
        <w:spacing w:after="0" w:line="261" w:lineRule="auto"/>
        <w:tabs>
          <w:tab w:leader="none" w:pos="1254"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 xml:space="preserve">Limitation on Landlord’s Liability. </w:t>
      </w:r>
      <w:r>
        <w:rPr>
          <w:rFonts w:ascii="Arial" w:cs="Arial" w:eastAsia="Arial" w:hAnsi="Arial"/>
          <w:sz w:val="17"/>
          <w:szCs w:val="17"/>
          <w:color w:val="auto"/>
        </w:rPr>
        <w:t>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77" w:lineRule="exact"/>
        <w:rPr>
          <w:sz w:val="20"/>
          <w:szCs w:val="20"/>
          <w:color w:val="auto"/>
        </w:rPr>
      </w:pPr>
    </w:p>
    <w:p>
      <w:pPr>
        <w:jc w:val="both"/>
        <w:ind w:right="20" w:firstLine="634"/>
        <w:spacing w:after="0" w:line="270" w:lineRule="auto"/>
        <w:tabs>
          <w:tab w:leader="none" w:pos="1254"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clause or provision of this Lease is illegal, invalid or unenforceable under present or future laws, then and in that event, it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Signs; Exterior Appearance. </w:t>
      </w:r>
      <w:r>
        <w:rPr>
          <w:rFonts w:ascii="Arial" w:cs="Arial" w:eastAsia="Arial" w:hAnsi="Arial"/>
          <w:sz w:val="16"/>
          <w:szCs w:val="16"/>
          <w:color w:val="auto"/>
        </w:rPr>
        <w:t>Tenant shall not, without the prior written consent of Landlord, which may be granted or withheld in Landlord’s</w:t>
      </w:r>
    </w:p>
    <w:p>
      <w:pPr>
        <w:spacing w:after="0" w:line="43"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7"/>
          <w:szCs w:val="17"/>
          <w:color w:val="auto"/>
        </w:rPr>
        <w:t>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75" w:lineRule="exact"/>
        <w:rPr>
          <w:rFonts w:ascii="Arial" w:cs="Arial" w:eastAsia="Arial" w:hAnsi="Arial"/>
          <w:sz w:val="16"/>
          <w:szCs w:val="16"/>
          <w:color w:val="auto"/>
        </w:rPr>
      </w:pPr>
    </w:p>
    <w:p>
      <w:pPr>
        <w:ind w:left="1260" w:hanging="626"/>
        <w:spacing w:after="0"/>
        <w:tabs>
          <w:tab w:leader="none" w:pos="126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Right to Extend Term. </w:t>
      </w:r>
      <w:r>
        <w:rPr>
          <w:rFonts w:ascii="Arial" w:cs="Arial" w:eastAsia="Arial" w:hAnsi="Arial"/>
          <w:sz w:val="17"/>
          <w:szCs w:val="17"/>
          <w:color w:val="auto"/>
        </w:rPr>
        <w:t>Tenant shall have the right to extend the Term of the Lease upon the following terms and conditions:</w:t>
      </w:r>
    </w:p>
    <w:p>
      <w:pPr>
        <w:spacing w:after="0" w:line="224" w:lineRule="exact"/>
        <w:rPr>
          <w:sz w:val="20"/>
          <w:szCs w:val="20"/>
          <w:color w:val="auto"/>
        </w:rPr>
      </w:pPr>
    </w:p>
    <w:p>
      <w:pPr>
        <w:ind w:firstLine="634"/>
        <w:spacing w:after="0" w:line="277" w:lineRule="auto"/>
        <w:tabs>
          <w:tab w:leader="none" w:pos="1256"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 xml:space="preserve">Extension Rights. </w:t>
      </w:r>
      <w:r>
        <w:rPr>
          <w:rFonts w:ascii="Arial" w:cs="Arial" w:eastAsia="Arial" w:hAnsi="Arial"/>
          <w:sz w:val="17"/>
          <w:szCs w:val="17"/>
          <w:color w:val="auto"/>
        </w:rPr>
        <w:t>Tenant shall have 1 right (the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3 years (the “</w:t>
      </w:r>
      <w:r>
        <w:rPr>
          <w:rFonts w:ascii="Arial" w:cs="Arial" w:eastAsia="Arial" w:hAnsi="Arial"/>
          <w:sz w:val="17"/>
          <w:szCs w:val="17"/>
          <w:b w:val="1"/>
          <w:bCs w:val="1"/>
          <w:color w:val="auto"/>
        </w:rPr>
        <w:t>Extension Term</w:t>
      </w:r>
      <w:r>
        <w:rPr>
          <w:rFonts w:ascii="Arial" w:cs="Arial" w:eastAsia="Arial" w:hAnsi="Arial"/>
          <w:sz w:val="17"/>
          <w:szCs w:val="17"/>
          <w:color w:val="auto"/>
        </w:rPr>
        <w: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terms and conditions as this Lease (other than Base Rent) by giving Landlord written notice of its election to exercise the Extension Right at least 9 months prior, and no earlier than 12 months prior, to the expiration of the Base Term of the Lease.</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Notwithstanding anything to the contrary contained in this Lease, if Tenant exercise its Extension Right hereunder, commencing on April 1, 2013, Tenant’s Share of each earthquake deductible or occurrence of uninsured earthquake damage affecting the Premises shall not exceed $4.50 per rentable square foot of the Premises (the “</w:t>
      </w:r>
      <w:r>
        <w:rPr>
          <w:rFonts w:ascii="Arial" w:cs="Arial" w:eastAsia="Arial" w:hAnsi="Arial"/>
          <w:sz w:val="17"/>
          <w:szCs w:val="17"/>
          <w:b w:val="1"/>
          <w:bCs w:val="1"/>
          <w:color w:val="auto"/>
        </w:rPr>
        <w:t>Extension Cap</w:t>
      </w:r>
      <w:r>
        <w:rPr>
          <w:rFonts w:ascii="Arial" w:cs="Arial" w:eastAsia="Arial" w:hAnsi="Arial"/>
          <w:sz w:val="17"/>
          <w:szCs w:val="17"/>
          <w:color w:val="auto"/>
        </w:rPr>
        <w:t>”). On May 1, 2013, and on the first day of each month thereafter, the Extension Cap shall be reduced by $0.125 per rentable square foot of the Premises. Following earthquake damage to the Project during the Extension Term, Tenant shall pay Tenant’s Share of any such deductible or uninsured damage in equal monthly installments amortized over the balance of the Term of the Lease.</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Upon the commencement of the Extension Term, Base Rent shall be payable at the Market Rate (as defined below). Base Rent shall thereafter be adjusted on each annual anniversary of the commencement of such Extension Term (each an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then market rental rate as determined by Landlord and agreed to by Tenant.</w:t>
      </w:r>
    </w:p>
    <w:p>
      <w:pPr>
        <w:spacing w:after="0" w:line="176"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If, on or before the date which is 120 days prior to the expiration of the Base Term of this Lease, Tenant has not agreed with Landlord’s determination of the Market Rate and the rent escalations during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applicable Extension Term after negotiating in good faith, Tenant shall be deemed to have elected arbitration as described in </w:t>
      </w:r>
      <w:r>
        <w:rPr>
          <w:rFonts w:ascii="Arial" w:cs="Arial" w:eastAsia="Arial" w:hAnsi="Arial"/>
          <w:sz w:val="17"/>
          <w:szCs w:val="17"/>
          <w:u w:val="single" w:color="auto"/>
          <w:color w:val="auto"/>
        </w:rPr>
        <w:t>Section 39(b)</w:t>
      </w:r>
      <w:r>
        <w:rPr>
          <w:rFonts w:ascii="Arial" w:cs="Arial" w:eastAsia="Arial" w:hAnsi="Arial"/>
          <w:sz w:val="17"/>
          <w:szCs w:val="17"/>
          <w:color w:val="auto"/>
        </w:rPr>
        <w:t xml:space="preserve"> below. Tenant acknowledges and agrees that, if Tenant has elected to exercise the Extension Right by delivering notice to Landlord as required in this </w:t>
      </w:r>
      <w:r>
        <w:rPr>
          <w:rFonts w:ascii="Arial" w:cs="Arial" w:eastAsia="Arial" w:hAnsi="Arial"/>
          <w:sz w:val="17"/>
          <w:szCs w:val="17"/>
          <w:u w:val="single" w:color="auto"/>
          <w:color w:val="auto"/>
        </w:rPr>
        <w:t>Section 39(a)</w:t>
      </w:r>
      <w:r>
        <w:rPr>
          <w:rFonts w:ascii="Arial" w:cs="Arial" w:eastAsia="Arial" w:hAnsi="Arial"/>
          <w:sz w:val="17"/>
          <w:szCs w:val="17"/>
          <w:color w:val="auto"/>
        </w:rPr>
        <w:t>, Tenant shall have no right thereafter to rescind or elect not to extend the term of the Lease for the Extension Term.</w:t>
      </w:r>
    </w:p>
    <w:p>
      <w:pPr>
        <w:sectPr>
          <w:pgSz w:w="11900" w:h="16838" w:orient="portrait"/>
          <w:cols w:equalWidth="0" w:num="1">
            <w:col w:w="11420"/>
          </w:cols>
          <w:pgMar w:left="240" w:top="121" w:right="239" w:bottom="0" w:gutter="0" w:footer="0" w:header="0"/>
        </w:sectPr>
      </w:pPr>
    </w:p>
    <w:bookmarkStart w:id="200" w:name="page201"/>
    <w:bookmarkEnd w:id="200"/>
    <w:p>
      <w:pPr>
        <w:ind w:left="1280" w:hanging="646"/>
        <w:spacing w:after="0"/>
        <w:tabs>
          <w:tab w:leader="none" w:pos="1280"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Arbitration.</w:t>
      </w:r>
    </w:p>
    <w:p>
      <w:pPr>
        <w:spacing w:after="0" w:line="230" w:lineRule="exact"/>
        <w:rPr>
          <w:rFonts w:ascii="Arial" w:cs="Arial" w:eastAsia="Arial" w:hAnsi="Arial"/>
          <w:sz w:val="17"/>
          <w:szCs w:val="17"/>
          <w:color w:val="auto"/>
        </w:rPr>
      </w:pPr>
    </w:p>
    <w:p>
      <w:pPr>
        <w:ind w:left="640" w:right="20" w:firstLine="623"/>
        <w:spacing w:after="0" w:line="278" w:lineRule="auto"/>
        <w:tabs>
          <w:tab w:leader="none" w:pos="191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6"/>
          <w:szCs w:val="16"/>
          <w:b w:val="1"/>
          <w:bCs w:val="1"/>
          <w:color w:val="auto"/>
        </w:rPr>
        <w:t>Extension Proposal</w:t>
      </w:r>
      <w:r>
        <w:rPr>
          <w:rFonts w:ascii="Arial" w:cs="Arial" w:eastAsia="Arial" w:hAnsi="Arial"/>
          <w:sz w:val="16"/>
          <w:szCs w:val="16"/>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and any escalations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72" w:lineRule="exact"/>
        <w:rPr>
          <w:rFonts w:ascii="Arial" w:cs="Arial" w:eastAsia="Arial" w:hAnsi="Arial"/>
          <w:sz w:val="16"/>
          <w:szCs w:val="16"/>
          <w:color w:val="auto"/>
        </w:rPr>
      </w:pPr>
    </w:p>
    <w:p>
      <w:pPr>
        <w:ind w:left="640" w:right="40" w:firstLine="623"/>
        <w:spacing w:after="0" w:line="262" w:lineRule="auto"/>
        <w:tabs>
          <w:tab w:leader="none" w:pos="192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3% until such determination is made. After the determination of the Market Rate and escalations, the parties shall make any necessary adjustments to such payments made by Tenant. Landlord and Tenant shall then execute an amendment recognizing the Base Rate and escalations for the Extension Term.</w:t>
      </w:r>
    </w:p>
    <w:p>
      <w:pPr>
        <w:spacing w:after="0" w:line="174" w:lineRule="exact"/>
        <w:rPr>
          <w:rFonts w:ascii="Arial" w:cs="Arial" w:eastAsia="Arial" w:hAnsi="Arial"/>
          <w:sz w:val="17"/>
          <w:szCs w:val="17"/>
          <w:color w:val="auto"/>
        </w:rPr>
      </w:pPr>
    </w:p>
    <w:p>
      <w:pPr>
        <w:ind w:left="1940" w:hanging="677"/>
        <w:spacing w:after="0"/>
        <w:tabs>
          <w:tab w:leader="none" w:pos="19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44" w:lineRule="exact"/>
        <w:rPr>
          <w:sz w:val="20"/>
          <w:szCs w:val="20"/>
          <w:color w:val="auto"/>
        </w:rPr>
      </w:pPr>
    </w:p>
    <w:p>
      <w:pPr>
        <w:ind w:left="640" w:right="20" w:hanging="6"/>
        <w:spacing w:after="0" w:line="261" w:lineRule="auto"/>
        <w:tabs>
          <w:tab w:leader="none" w:pos="84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shall be (A) a member of the American Institute of Real Estate Appraisers with not less than 10 years of experience in the appraisal of improved office and high tech industrial real estate in the South San Francisco, California area, or (B) a licensed commercial real estate broker with not less than 15 years experience representing landlords and/or tenants in the leasing of high tech or life sciences space in the South San Francisco, California area, (ii) devoting substantially all of their time to professional appraisal or brokerage work, as applicable, at the time of appointment and (iii) be in all respects impartial and disinterested.</w:t>
      </w:r>
    </w:p>
    <w:p>
      <w:pPr>
        <w:spacing w:after="0" w:line="178" w:lineRule="exact"/>
        <w:rPr>
          <w:sz w:val="20"/>
          <w:szCs w:val="20"/>
          <w:color w:val="auto"/>
        </w:rPr>
      </w:pPr>
    </w:p>
    <w:p>
      <w:pPr>
        <w:ind w:right="60" w:firstLine="634"/>
        <w:spacing w:after="0" w:line="277" w:lineRule="auto"/>
        <w:tabs>
          <w:tab w:leader="none" w:pos="1269"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 xml:space="preserve">Rights Personal. </w:t>
      </w:r>
      <w:r>
        <w:rPr>
          <w:rFonts w:ascii="Arial" w:cs="Arial" w:eastAsia="Arial" w:hAnsi="Arial"/>
          <w:sz w:val="17"/>
          <w:szCs w:val="17"/>
          <w:color w:val="auto"/>
        </w:rPr>
        <w:t>The Extension Right is personal to Tenant and is not assignable without Landlord’s consent, which may be granted or</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162" w:lineRule="exact"/>
        <w:rPr>
          <w:rFonts w:ascii="Arial" w:cs="Arial" w:eastAsia="Arial" w:hAnsi="Arial"/>
          <w:sz w:val="17"/>
          <w:szCs w:val="17"/>
          <w:color w:val="auto"/>
        </w:rPr>
      </w:pPr>
    </w:p>
    <w:p>
      <w:pPr>
        <w:ind w:left="1280" w:hanging="646"/>
        <w:spacing w:after="0"/>
        <w:tabs>
          <w:tab w:leader="none" w:pos="1280" w:val="left"/>
        </w:tabs>
        <w:numPr>
          <w:ilvl w:val="0"/>
          <w:numId w:val="150"/>
        </w:numPr>
        <w:rPr>
          <w:rFonts w:ascii="Arial" w:cs="Arial" w:eastAsia="Arial" w:hAnsi="Arial"/>
          <w:sz w:val="15"/>
          <w:szCs w:val="15"/>
          <w:color w:val="auto"/>
        </w:rPr>
      </w:pPr>
      <w:r>
        <w:rPr>
          <w:rFonts w:ascii="Arial" w:cs="Arial" w:eastAsia="Arial" w:hAnsi="Arial"/>
          <w:sz w:val="15"/>
          <w:szCs w:val="15"/>
          <w:b w:val="1"/>
          <w:bCs w:val="1"/>
          <w:color w:val="auto"/>
        </w:rPr>
        <w:t xml:space="preserve">Exceptions. </w:t>
      </w:r>
      <w:r>
        <w:rPr>
          <w:rFonts w:ascii="Arial" w:cs="Arial" w:eastAsia="Arial" w:hAnsi="Arial"/>
          <w:sz w:val="15"/>
          <w:szCs w:val="15"/>
          <w:color w:val="auto"/>
        </w:rPr>
        <w:t>Notwithstanding anything set forth above to the contrary, the Extension Right shall not be in effect and Tenant may not exercise the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Extension Right: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224" w:lineRule="exact"/>
        <w:rPr>
          <w:rFonts w:ascii="Arial" w:cs="Arial" w:eastAsia="Arial" w:hAnsi="Arial"/>
          <w:sz w:val="17"/>
          <w:szCs w:val="17"/>
          <w:color w:val="auto"/>
        </w:rPr>
      </w:pPr>
    </w:p>
    <w:p>
      <w:pPr>
        <w:ind w:left="640" w:right="240" w:firstLine="623"/>
        <w:spacing w:after="0" w:line="322" w:lineRule="auto"/>
        <w:tabs>
          <w:tab w:leader="none" w:pos="192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29" w:lineRule="exact"/>
        <w:rPr>
          <w:rFonts w:ascii="Arial" w:cs="Arial" w:eastAsia="Arial" w:hAnsi="Arial"/>
          <w:sz w:val="16"/>
          <w:szCs w:val="16"/>
          <w:color w:val="auto"/>
        </w:rPr>
      </w:pPr>
    </w:p>
    <w:p>
      <w:pPr>
        <w:ind w:right="100" w:firstLine="634"/>
        <w:spacing w:after="0" w:line="297" w:lineRule="auto"/>
        <w:tabs>
          <w:tab w:leader="none" w:pos="1269"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No Extensions. </w:t>
      </w:r>
      <w:r>
        <w:rPr>
          <w:rFonts w:ascii="Arial" w:cs="Arial" w:eastAsia="Arial" w:hAnsi="Arial"/>
          <w:sz w:val="17"/>
          <w:szCs w:val="17"/>
          <w:color w:val="auto"/>
        </w:rPr>
        <w:t>The period of time within which the Extension Right may be exercised shall not be extended or enlarged by reason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exercise the Extension Right.</w:t>
      </w:r>
    </w:p>
    <w:p>
      <w:pPr>
        <w:spacing w:after="0" w:line="145" w:lineRule="exact"/>
        <w:rPr>
          <w:rFonts w:ascii="Arial" w:cs="Arial" w:eastAsia="Arial" w:hAnsi="Arial"/>
          <w:sz w:val="17"/>
          <w:szCs w:val="17"/>
          <w:color w:val="auto"/>
        </w:rPr>
      </w:pPr>
    </w:p>
    <w:p>
      <w:pPr>
        <w:ind w:right="60" w:firstLine="634"/>
        <w:spacing w:after="0" w:line="270" w:lineRule="auto"/>
        <w:tabs>
          <w:tab w:leader="none" w:pos="1263"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Extension Right shall terminate and be of no further force or effect even after Tenant’s due and timely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69" w:lineRule="exact"/>
        <w:rPr>
          <w:sz w:val="20"/>
          <w:szCs w:val="20"/>
          <w:color w:val="auto"/>
        </w:rPr>
      </w:pPr>
    </w:p>
    <w:p>
      <w:pPr>
        <w:ind w:left="1260" w:hanging="626"/>
        <w:spacing w:after="0"/>
        <w:tabs>
          <w:tab w:leader="none" w:pos="1260" w:val="left"/>
        </w:tabs>
        <w:numPr>
          <w:ilvl w:val="0"/>
          <w:numId w:val="153"/>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100" w:firstLine="634"/>
        <w:spacing w:after="0" w:line="270" w:lineRule="auto"/>
        <w:tabs>
          <w:tab w:leader="none" w:pos="1256"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between the parties shall be in writing and shall be deemed duly given upon delivery or refusal to</w:t>
      </w:r>
      <w:r>
        <w:rPr>
          <w:rFonts w:ascii="Arial" w:cs="Arial" w:eastAsia="Arial" w:hAnsi="Arial"/>
          <w:sz w:val="17"/>
          <w:szCs w:val="17"/>
          <w:b w:val="1"/>
          <w:bCs w:val="1"/>
          <w:color w:val="auto"/>
        </w:rPr>
        <w:t xml:space="preserve"> </w:t>
      </w:r>
      <w:r>
        <w:rPr>
          <w:rFonts w:ascii="Arial" w:cs="Arial" w:eastAsia="Arial" w:hAnsi="Arial"/>
          <w:sz w:val="17"/>
          <w:szCs w:val="17"/>
          <w:color w:val="auto"/>
        </w:rPr>
        <w:t>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69" w:lineRule="exact"/>
        <w:rPr>
          <w:rFonts w:ascii="Arial" w:cs="Arial" w:eastAsia="Arial" w:hAnsi="Arial"/>
          <w:sz w:val="17"/>
          <w:szCs w:val="17"/>
          <w:color w:val="auto"/>
        </w:rPr>
      </w:pPr>
    </w:p>
    <w:p>
      <w:pPr>
        <w:ind w:right="60" w:firstLine="634"/>
        <w:spacing w:after="0" w:line="297" w:lineRule="auto"/>
        <w:tabs>
          <w:tab w:leader="none" w:pos="1266"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 xml:space="preserve">Joint and Several Liability. </w:t>
      </w:r>
      <w:r>
        <w:rPr>
          <w:rFonts w:ascii="Arial" w:cs="Arial" w:eastAsia="Arial" w:hAnsi="Arial"/>
          <w:sz w:val="17"/>
          <w:szCs w:val="17"/>
          <w:color w:val="auto"/>
        </w:rPr>
        <w:t>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 more than one person or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shall be jointly and severally liable for the obligations of Tenant.</w:t>
      </w:r>
    </w:p>
    <w:p>
      <w:pPr>
        <w:spacing w:after="0" w:line="145" w:lineRule="exact"/>
        <w:rPr>
          <w:rFonts w:ascii="Arial" w:cs="Arial" w:eastAsia="Arial" w:hAnsi="Arial"/>
          <w:sz w:val="17"/>
          <w:szCs w:val="17"/>
          <w:color w:val="auto"/>
        </w:rPr>
      </w:pPr>
    </w:p>
    <w:p>
      <w:pPr>
        <w:ind w:firstLine="634"/>
        <w:spacing w:after="0" w:line="267" w:lineRule="auto"/>
        <w:tabs>
          <w:tab w:leader="none" w:pos="1269"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 xml:space="preserve">Financial Information. </w:t>
      </w:r>
      <w:r>
        <w:rPr>
          <w:rFonts w:ascii="Arial" w:cs="Arial" w:eastAsia="Arial" w:hAnsi="Arial"/>
          <w:sz w:val="17"/>
          <w:szCs w:val="17"/>
          <w:color w:val="auto"/>
        </w:rPr>
        <w:t>Tenant shall furnish Landlord with true and complete copies of (i) Tenant’s most recent audited annual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within 180 days of the end of each of Tenant’s fiscal years during the Term, (ii) Tenant’s most recent unaudited quarterly financial statements within 45 days of the end of each of Tenant’s first three fiscal quarters of each of Tenant’s fiscal years during the Term, and (iii) any other financial information or summaries that Tenant typically provides to its lenders. Notwithstanding the foregoing, in no event shall Tenant be required to provide any of the foregoing financial information to Landlord if Tenant does not otherwise prepare it (or cause it to be prepared) for its own purposes.</w:t>
      </w:r>
    </w:p>
    <w:p>
      <w:pPr>
        <w:spacing w:after="0" w:line="171" w:lineRule="exact"/>
        <w:rPr>
          <w:rFonts w:ascii="Arial" w:cs="Arial" w:eastAsia="Arial" w:hAnsi="Arial"/>
          <w:sz w:val="17"/>
          <w:szCs w:val="17"/>
          <w:color w:val="auto"/>
        </w:rPr>
      </w:pPr>
    </w:p>
    <w:p>
      <w:pPr>
        <w:ind w:right="560" w:firstLine="634"/>
        <w:spacing w:after="0" w:line="297" w:lineRule="auto"/>
        <w:tabs>
          <w:tab w:leader="none" w:pos="1266"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 xml:space="preserve">Recordation. </w:t>
      </w:r>
      <w:r>
        <w:rPr>
          <w:rFonts w:ascii="Arial" w:cs="Arial" w:eastAsia="Arial" w:hAnsi="Arial"/>
          <w:sz w:val="17"/>
          <w:szCs w:val="17"/>
          <w:color w:val="auto"/>
        </w:rPr>
        <w:t>Neither this Lease nor a memorandum of lease shall be filed by or on behalf of Tenant in any public record.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file, and upon request by Landlord Tenant will execute, a memorandum of lease.</w:t>
      </w:r>
    </w:p>
    <w:p>
      <w:pPr>
        <w:spacing w:after="0" w:line="145" w:lineRule="exact"/>
        <w:rPr>
          <w:rFonts w:ascii="Arial" w:cs="Arial" w:eastAsia="Arial" w:hAnsi="Arial"/>
          <w:sz w:val="17"/>
          <w:szCs w:val="17"/>
          <w:color w:val="auto"/>
        </w:rPr>
      </w:pPr>
    </w:p>
    <w:p>
      <w:pPr>
        <w:ind w:right="20" w:firstLine="634"/>
        <w:spacing w:after="0" w:line="330" w:lineRule="auto"/>
        <w:tabs>
          <w:tab w:leader="none" w:pos="1269" w:val="left"/>
        </w:tabs>
        <w:numPr>
          <w:ilvl w:val="0"/>
          <w:numId w:val="154"/>
        </w:numPr>
        <w:rPr>
          <w:rFonts w:ascii="Arial" w:cs="Arial" w:eastAsia="Arial" w:hAnsi="Arial"/>
          <w:sz w:val="15"/>
          <w:szCs w:val="15"/>
          <w:color w:val="auto"/>
        </w:rPr>
      </w:pPr>
      <w:r>
        <w:rPr>
          <w:rFonts w:ascii="Arial" w:cs="Arial" w:eastAsia="Arial" w:hAnsi="Arial"/>
          <w:sz w:val="15"/>
          <w:szCs w:val="15"/>
          <w:b w:val="1"/>
          <w:bCs w:val="1"/>
          <w:color w:val="auto"/>
        </w:rPr>
        <w:t xml:space="preserve">Interpretation. </w:t>
      </w:r>
      <w:r>
        <w:rPr>
          <w:rFonts w:ascii="Arial" w:cs="Arial" w:eastAsia="Arial" w:hAnsi="Arial"/>
          <w:sz w:val="15"/>
          <w:szCs w:val="15"/>
          <w:color w:val="auto"/>
        </w:rPr>
        <w:t>The normal rule of construction to the effect that any ambiguities are to be resolved against the drafting party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w:t>
      </w:r>
    </w:p>
    <w:p>
      <w:pPr>
        <w:sectPr>
          <w:pgSz w:w="11900" w:h="16838" w:orient="portrait"/>
          <w:cols w:equalWidth="0" w:num="1">
            <w:col w:w="11420"/>
          </w:cols>
          <w:pgMar w:left="240" w:top="331" w:right="239" w:bottom="0" w:gutter="0" w:footer="0" w:header="0"/>
        </w:sectPr>
      </w:pPr>
    </w:p>
    <w:bookmarkStart w:id="201" w:name="page202"/>
    <w:bookmarkEnd w:id="201"/>
    <w:p>
      <w:pPr>
        <w:spacing w:after="0" w:line="39"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for convenience only and in no way define, limit or otherwise describe the scope or intent of this Lease, or any provision hereof, or in any way affect the interpretation of this Lease.</w:t>
      </w:r>
    </w:p>
    <w:p>
      <w:pPr>
        <w:spacing w:after="0" w:line="152" w:lineRule="exact"/>
        <w:rPr>
          <w:sz w:val="20"/>
          <w:szCs w:val="20"/>
          <w:color w:val="auto"/>
        </w:rPr>
      </w:pPr>
    </w:p>
    <w:p>
      <w:pPr>
        <w:ind w:right="140" w:firstLine="634"/>
        <w:spacing w:after="0" w:line="330" w:lineRule="auto"/>
        <w:tabs>
          <w:tab w:leader="none" w:pos="1263"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Not Binding Until Executed. </w:t>
      </w:r>
      <w:r>
        <w:rPr>
          <w:rFonts w:ascii="Arial" w:cs="Arial" w:eastAsia="Arial" w:hAnsi="Arial"/>
          <w:sz w:val="16"/>
          <w:szCs w:val="16"/>
          <w:color w:val="auto"/>
        </w:rPr>
        <w:t>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34"/>
        <w:spacing w:after="0" w:line="264" w:lineRule="auto"/>
        <w:tabs>
          <w:tab w:leader="none" w:pos="1279"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Limitations on Interest. </w:t>
      </w:r>
      <w:r>
        <w:rPr>
          <w:rFonts w:ascii="Arial" w:cs="Arial" w:eastAsia="Arial" w:hAnsi="Arial"/>
          <w:sz w:val="17"/>
          <w:szCs w:val="17"/>
          <w:color w:val="auto"/>
        </w:rPr>
        <w:t>It is expressly the intent of Landlord and Tenant at all times to comply with applicable law governing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2" w:lineRule="exact"/>
        <w:rPr>
          <w:rFonts w:ascii="Arial" w:cs="Arial" w:eastAsia="Arial" w:hAnsi="Arial"/>
          <w:sz w:val="17"/>
          <w:szCs w:val="17"/>
          <w:color w:val="auto"/>
        </w:rPr>
      </w:pPr>
    </w:p>
    <w:p>
      <w:pPr>
        <w:ind w:right="480" w:firstLine="634"/>
        <w:spacing w:after="0" w:line="297" w:lineRule="auto"/>
        <w:tabs>
          <w:tab w:leader="none" w:pos="1266"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Construction and interpretation of this Lease shall be governed by the internal laws of the state in which the Premises are</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excluding any principles of conflicts of laws.</w:t>
      </w:r>
    </w:p>
    <w:p>
      <w:pPr>
        <w:spacing w:after="0" w:line="145" w:lineRule="exact"/>
        <w:rPr>
          <w:rFonts w:ascii="Arial" w:cs="Arial" w:eastAsia="Arial" w:hAnsi="Arial"/>
          <w:sz w:val="17"/>
          <w:szCs w:val="17"/>
          <w:color w:val="auto"/>
        </w:rPr>
      </w:pPr>
    </w:p>
    <w:p>
      <w:pPr>
        <w:ind w:left="1280" w:hanging="646"/>
        <w:spacing w:after="0"/>
        <w:tabs>
          <w:tab w:leader="none" w:pos="1280"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Time is of the essence as to the performance of Tenant’s obligations under this Lease.</w:t>
      </w:r>
    </w:p>
    <w:p>
      <w:pPr>
        <w:spacing w:after="0" w:line="224" w:lineRule="exact"/>
        <w:rPr>
          <w:rFonts w:ascii="Arial" w:cs="Arial" w:eastAsia="Arial" w:hAnsi="Arial"/>
          <w:sz w:val="17"/>
          <w:szCs w:val="17"/>
          <w:color w:val="auto"/>
        </w:rPr>
      </w:pPr>
    </w:p>
    <w:p>
      <w:pPr>
        <w:ind w:right="80" w:firstLine="634"/>
        <w:spacing w:after="0" w:line="265" w:lineRule="auto"/>
        <w:tabs>
          <w:tab w:leader="none" w:pos="1266"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OFAC. </w:t>
      </w:r>
      <w:r>
        <w:rPr>
          <w:rFonts w:ascii="Arial" w:cs="Arial" w:eastAsia="Arial" w:hAnsi="Arial"/>
          <w:sz w:val="17"/>
          <w:szCs w:val="17"/>
          <w:color w:val="auto"/>
        </w:rPr>
        <w:t>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color w:val="auto"/>
        </w:rPr>
      </w:pPr>
    </w:p>
    <w:p>
      <w:pPr>
        <w:ind w:right="100" w:firstLine="634"/>
        <w:spacing w:after="0" w:line="297" w:lineRule="auto"/>
        <w:tabs>
          <w:tab w:leader="none" w:pos="1266"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Incorporation by Reference. </w:t>
      </w:r>
      <w:r>
        <w:rPr>
          <w:rFonts w:ascii="Arial" w:cs="Arial" w:eastAsia="Arial" w:hAnsi="Arial"/>
          <w:sz w:val="17"/>
          <w:szCs w:val="17"/>
          <w:color w:val="auto"/>
        </w:rPr>
        <w:t>All exhibits and addenda attached hereto are hereby incorporated into this Lease and made a part hereof. If there</w:t>
      </w:r>
      <w:r>
        <w:rPr>
          <w:rFonts w:ascii="Arial" w:cs="Arial" w:eastAsia="Arial" w:hAnsi="Arial"/>
          <w:sz w:val="17"/>
          <w:szCs w:val="17"/>
          <w:b w:val="1"/>
          <w:bCs w:val="1"/>
          <w:color w:val="auto"/>
        </w:rPr>
        <w:t xml:space="preserve"> </w:t>
      </w:r>
      <w:r>
        <w:rPr>
          <w:rFonts w:ascii="Arial" w:cs="Arial" w:eastAsia="Arial" w:hAnsi="Arial"/>
          <w:sz w:val="17"/>
          <w:szCs w:val="17"/>
          <w:color w:val="auto"/>
        </w:rPr>
        <w:t>is any conflict between such exhibits or addenda and the terms of this Lease, such exhibits or addenda shall control.</w:t>
      </w:r>
    </w:p>
    <w:p>
      <w:pPr>
        <w:spacing w:after="0" w:line="145" w:lineRule="exact"/>
        <w:rPr>
          <w:rFonts w:ascii="Arial" w:cs="Arial" w:eastAsia="Arial" w:hAnsi="Arial"/>
          <w:sz w:val="17"/>
          <w:szCs w:val="17"/>
          <w:color w:val="auto"/>
        </w:rPr>
      </w:pPr>
    </w:p>
    <w:p>
      <w:pPr>
        <w:ind w:right="60" w:firstLine="634"/>
        <w:spacing w:after="0" w:line="292" w:lineRule="auto"/>
        <w:tabs>
          <w:tab w:leader="none" w:pos="1279"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No Accord and Satisfaction. </w:t>
      </w:r>
      <w:r>
        <w:rPr>
          <w:rFonts w:ascii="Arial" w:cs="Arial" w:eastAsia="Arial" w:hAnsi="Arial"/>
          <w:sz w:val="16"/>
          <w:szCs w:val="16"/>
          <w:color w:val="auto"/>
        </w:rPr>
        <w:t>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3" w:lineRule="exact"/>
        <w:rPr>
          <w:rFonts w:ascii="Arial" w:cs="Arial" w:eastAsia="Arial" w:hAnsi="Arial"/>
          <w:sz w:val="16"/>
          <w:szCs w:val="16"/>
          <w:color w:val="auto"/>
        </w:rPr>
      </w:pPr>
    </w:p>
    <w:p>
      <w:pPr>
        <w:ind w:right="140" w:firstLine="634"/>
        <w:spacing w:after="0" w:line="311" w:lineRule="auto"/>
        <w:tabs>
          <w:tab w:leader="none" w:pos="1262" w:val="left"/>
        </w:tabs>
        <w:numPr>
          <w:ilvl w:val="0"/>
          <w:numId w:val="156"/>
        </w:numPr>
        <w:rPr>
          <w:rFonts w:ascii="Arial" w:cs="Arial" w:eastAsia="Arial" w:hAnsi="Arial"/>
          <w:sz w:val="15"/>
          <w:szCs w:val="15"/>
          <w:color w:val="auto"/>
        </w:rPr>
      </w:pPr>
      <w:r>
        <w:rPr>
          <w:rFonts w:ascii="Arial" w:cs="Arial" w:eastAsia="Arial" w:hAnsi="Arial"/>
          <w:sz w:val="15"/>
          <w:szCs w:val="15"/>
          <w:b w:val="1"/>
          <w:bCs w:val="1"/>
          <w:color w:val="auto"/>
        </w:rPr>
        <w:t xml:space="preserve">Hazardous Activities. </w:t>
      </w:r>
      <w:r>
        <w:rPr>
          <w:rFonts w:ascii="Arial" w:cs="Arial" w:eastAsia="Arial" w:hAnsi="Arial"/>
          <w:sz w:val="15"/>
          <w:szCs w:val="15"/>
          <w:color w:val="auto"/>
        </w:rPr>
        <w:t>Notwithstanding any other provision of this Lease, Landlord, for itself and its employees, agents and 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40" w:lineRule="exact"/>
        <w:rPr>
          <w:rFonts w:ascii="Arial" w:cs="Arial" w:eastAsia="Arial" w:hAnsi="Arial"/>
          <w:sz w:val="15"/>
          <w:szCs w:val="15"/>
          <w:color w:val="auto"/>
        </w:rPr>
      </w:pPr>
    </w:p>
    <w:p>
      <w:pPr>
        <w:ind w:right="60" w:firstLine="634"/>
        <w:spacing w:after="0" w:line="285" w:lineRule="auto"/>
        <w:tabs>
          <w:tab w:leader="none" w:pos="1266"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Project Specific Requirements. </w:t>
      </w:r>
      <w:r>
        <w:rPr>
          <w:rFonts w:ascii="Arial" w:cs="Arial" w:eastAsia="Arial" w:hAnsi="Arial"/>
          <w:sz w:val="16"/>
          <w:szCs w:val="16"/>
          <w:color w:val="auto"/>
        </w:rPr>
        <w:t>Tenant acknowledges that the use and operation of the Project are governed by, among other things, CC&amp;Rs</w:t>
      </w:r>
      <w:r>
        <w:rPr>
          <w:rFonts w:ascii="Arial" w:cs="Arial" w:eastAsia="Arial" w:hAnsi="Arial"/>
          <w:sz w:val="16"/>
          <w:szCs w:val="16"/>
          <w:b w:val="1"/>
          <w:bCs w:val="1"/>
          <w:color w:val="auto"/>
        </w:rPr>
        <w:t xml:space="preserve"> </w:t>
      </w:r>
      <w:r>
        <w:rPr>
          <w:rFonts w:ascii="Arial" w:cs="Arial" w:eastAsia="Arial" w:hAnsi="Arial"/>
          <w:sz w:val="16"/>
          <w:szCs w:val="16"/>
          <w:color w:val="auto"/>
        </w:rPr>
        <w:t>and Environmental CC&amp;Rs, and Tenant acknowledges having reviewed copies of the same. Tenant agrees to comply with all of the terms of the CC&amp;Rs and Environmental CC&amp;Rs which are applicable to tenants of the Project including, without limitation, maintaining the insurance required under the Environmental CC&amp;Rs. As used herein, (i) “</w:t>
      </w:r>
      <w:r>
        <w:rPr>
          <w:rFonts w:ascii="Arial" w:cs="Arial" w:eastAsia="Arial" w:hAnsi="Arial"/>
          <w:sz w:val="16"/>
          <w:szCs w:val="16"/>
          <w:b w:val="1"/>
          <w:bCs w:val="1"/>
          <w:color w:val="auto"/>
        </w:rPr>
        <w:t>CC&amp;Rs</w:t>
      </w:r>
      <w:r>
        <w:rPr>
          <w:rFonts w:ascii="Arial" w:cs="Arial" w:eastAsia="Arial" w:hAnsi="Arial"/>
          <w:sz w:val="16"/>
          <w:szCs w:val="16"/>
          <w:color w:val="auto"/>
        </w:rPr>
        <w:t>” mean that certain Amended and Restated Declaration of Covenants, Conditions and Restrictions for Sierra Point recorded in the Official Records of San Mateo County on October 23, 1998, as amended, and (ii) “</w:t>
      </w:r>
      <w:r>
        <w:rPr>
          <w:rFonts w:ascii="Arial" w:cs="Arial" w:eastAsia="Arial" w:hAnsi="Arial"/>
          <w:sz w:val="16"/>
          <w:szCs w:val="16"/>
          <w:b w:val="1"/>
          <w:bCs w:val="1"/>
          <w:color w:val="auto"/>
        </w:rPr>
        <w:t>Environmental CC&amp;Rs</w:t>
      </w:r>
      <w:r>
        <w:rPr>
          <w:rFonts w:ascii="Arial" w:cs="Arial" w:eastAsia="Arial" w:hAnsi="Arial"/>
          <w:sz w:val="16"/>
          <w:szCs w:val="16"/>
          <w:color w:val="auto"/>
        </w:rPr>
        <w:t>” mean that certain First Amended and Restated Declaration of Covenants, Conditions and Environmental Restrictions Relating to Environmental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Compliance for Sierra Point, recorded in the Official Records of San Mateo County on October 20, 1999 as Instrument No. 1999-176058.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on next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Bonnie Anderson</w:t>
      </w:r>
    </w:p>
    <w:p>
      <w:pPr>
        <w:spacing w:after="0" w:line="2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17780</wp:posOffset>
            </wp:positionV>
            <wp:extent cx="329628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-123190</wp:posOffset>
            </wp:positionV>
            <wp:extent cx="32962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ARE-SAN FRANCISCO NO. 17, LLC,</w:t>
      </w:r>
    </w:p>
    <w:p>
      <w:pPr>
        <w:sectPr>
          <w:pgSz w:w="11900" w:h="16878" w:orient="portrait"/>
          <w:cols w:equalWidth="0" w:num="1">
            <w:col w:w="11420"/>
          </w:cols>
          <w:pgMar w:left="240" w:top="127" w:right="239" w:bottom="0" w:gutter="0" w:footer="0" w:header="0"/>
        </w:sectPr>
      </w:pPr>
    </w:p>
    <w:bookmarkStart w:id="202" w:name="page203"/>
    <w:bookmarkEnd w:id="202"/>
    <w:p>
      <w:pPr>
        <w:ind w:left="4520"/>
        <w:spacing w:after="0"/>
        <w:rPr>
          <w:sz w:val="20"/>
          <w:szCs w:val="20"/>
          <w:color w:val="auto"/>
        </w:rPr>
      </w:pPr>
      <w:r>
        <w:rPr>
          <w:rFonts w:ascii="Arial" w:cs="Arial" w:eastAsia="Arial" w:hAnsi="Arial"/>
          <w:sz w:val="17"/>
          <w:szCs w:val="17"/>
          <w:color w:val="auto"/>
        </w:rPr>
        <w:t>a Delaware limited liability company</w:t>
      </w:r>
    </w:p>
    <w:p>
      <w:pPr>
        <w:spacing w:after="0" w:line="224"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7"/>
          <w:szCs w:val="17"/>
          <w:color w:val="auto"/>
        </w:rPr>
        <w:t>By:</w:t>
        <w:tab/>
        <w:t>ALEXANDRIA REAL ESTATE EQUITIES, L.P.,</w:t>
      </w:r>
    </w:p>
    <w:p>
      <w:pPr>
        <w:spacing w:after="0" w:line="26" w:lineRule="exact"/>
        <w:rPr>
          <w:sz w:val="20"/>
          <w:szCs w:val="20"/>
          <w:color w:val="auto"/>
        </w:rPr>
      </w:pPr>
    </w:p>
    <w:p>
      <w:pPr>
        <w:jc w:val="right"/>
        <w:ind w:right="219"/>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ARE-QRS CORP.,</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7"/>
          <w:szCs w:val="17"/>
          <w:color w:val="auto"/>
        </w:rPr>
        <w:t>By:</w:t>
        <w:tab/>
        <w:t>/s/ Gary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17145</wp:posOffset>
            </wp:positionV>
            <wp:extent cx="26638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GARY DEAN</w:t>
      </w:r>
    </w:p>
    <w:p>
      <w:pPr>
        <w:spacing w:after="0" w:line="26"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7"/>
          <w:szCs w:val="17"/>
          <w:color w:val="auto"/>
        </w:rPr>
        <w:t>Its:</w:t>
        <w:tab/>
        <w:t>VP-RE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9525</wp:posOffset>
            </wp:positionV>
            <wp:extent cx="26638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A-1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CURRENT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[Floor Plan of Current Premises]</w:t>
      </w:r>
    </w:p>
    <w:p>
      <w:pPr>
        <w:sectPr>
          <w:pgSz w:w="11900" w:h="16838" w:orient="portrait"/>
          <w:cols w:equalWidth="0" w:num="1">
            <w:col w:w="9019"/>
          </w:cols>
          <w:pgMar w:left="1440" w:top="127" w:right="1440"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136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A-2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EXPANSION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Level Floor Plan]</w:t>
      </w:r>
    </w:p>
    <w:p>
      <w:pPr>
        <w:sectPr>
          <w:pgSz w:w="11900" w:h="16838" w:orient="portrait"/>
          <w:cols w:equalWidth="0" w:num="1">
            <w:col w:w="9019"/>
          </w:cols>
          <w:pgMar w:left="1440" w:top="1440" w:right="1440"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6894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CITY OF SOUTH SAN FRANCISCO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1</w:t>
      </w:r>
      <w:r>
        <w:rPr>
          <w:rFonts w:ascii="Arial" w:cs="Arial" w:eastAsia="Arial" w:hAnsi="Arial"/>
          <w:sz w:val="17"/>
          <w:szCs w:val="17"/>
          <w:color w:val="auto"/>
        </w:rPr>
        <w:t>:</w:t>
      </w:r>
    </w:p>
    <w:p>
      <w:pPr>
        <w:spacing w:after="0" w:line="2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PARCEL C, AS SHOWN ON THAT CERTAIN MAP ENTITLED, “PARCEL MAP 98-044 LANDS OF SIERRA POINT, LLC, CITY OF SOUTH SAN FRANCISCO”, FILED IN THE OFFICE OF THE COUNTY RECORDER OF SAN MATEO COUNTY, STATE OF CALIFORNIA, ON AUGUST 6, 1999, IN BOOK 71 OF PARCEL MAPS, AT PAGE(S) 71 AND 72.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2</w:t>
      </w:r>
      <w:r>
        <w:rPr>
          <w:rFonts w:ascii="Arial" w:cs="Arial" w:eastAsia="Arial" w:hAnsi="Arial"/>
          <w:sz w:val="17"/>
          <w:szCs w:val="17"/>
          <w:color w:val="auto"/>
        </w:rPr>
        <w:t>:</w:t>
      </w:r>
    </w:p>
    <w:p>
      <w:pPr>
        <w:spacing w:after="0" w:line="22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THOSE CERTAIN ACCESS EASEMENTS AS DESCRIBED IN THE FIRST AMENDMENT TO AMENDED AND RESTATED DECLARATION OF COVENANTS, CONDITIONS AND RESTRICTIONS FOR SIERRA POINT RECORDED AUGUST 6, 1999, AS DOCUMENT NO. 1999-134787, AND RERECORDED OCTOBER 20 1999, AS DOCUMENT NO. 1999-176057.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ASSESSOR’S PARCEL NO. 015-010-570 JOINT PLANT NO. 015-001-010-02.04A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Work Letter – Landlord Build</w:t>
      </w:r>
      <w:r>
        <w:rPr>
          <w:sz w:val="20"/>
          <w:szCs w:val="20"/>
          <w:color w:val="auto"/>
        </w:rPr>
        <w:tab/>
      </w:r>
      <w:r>
        <w:rPr>
          <w:rFonts w:ascii="Arial" w:cs="Arial" w:eastAsia="Arial" w:hAnsi="Arial"/>
          <w:sz w:val="15"/>
          <w:szCs w:val="15"/>
          <w:b w:val="1"/>
          <w:bCs w:val="1"/>
          <w:color w:val="auto"/>
        </w:rPr>
        <w:t>7000 Shoreline/Veracyte</w:t>
      </w:r>
    </w:p>
    <w:p>
      <w:pPr>
        <w:sectPr>
          <w:pgSz w:w="11900" w:h="16838" w:orient="portrait"/>
          <w:cols w:equalWidth="0" w:num="1">
            <w:col w:w="11420"/>
          </w:cols>
          <w:pgMar w:left="240" w:top="1440" w:right="239" w:bottom="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7"/>
          <w:szCs w:val="17"/>
          <w:b w:val="1"/>
          <w:bCs w:val="1"/>
          <w:color w:val="auto"/>
        </w:rPr>
        <w:t>EXHIBIT C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160" w:firstLine="629"/>
        <w:spacing w:after="0" w:line="302" w:lineRule="auto"/>
        <w:rPr>
          <w:sz w:val="20"/>
          <w:szCs w:val="20"/>
          <w:color w:val="auto"/>
        </w:rPr>
      </w:pPr>
      <w:r>
        <w:rPr>
          <w:rFonts w:ascii="Arial" w:cs="Arial" w:eastAsia="Arial" w:hAnsi="Arial"/>
          <w:sz w:val="16"/>
          <w:szCs w:val="16"/>
          <w:color w:val="auto"/>
        </w:rPr>
        <w:t>THIS WORK LETTER (this “</w:t>
      </w:r>
      <w:r>
        <w:rPr>
          <w:rFonts w:ascii="Arial" w:cs="Arial" w:eastAsia="Arial" w:hAnsi="Arial"/>
          <w:sz w:val="16"/>
          <w:szCs w:val="16"/>
          <w:b w:val="1"/>
          <w:bCs w:val="1"/>
          <w:color w:val="auto"/>
        </w:rPr>
        <w:t>Work Letter</w:t>
      </w:r>
      <w:r>
        <w:rPr>
          <w:rFonts w:ascii="Arial" w:cs="Arial" w:eastAsia="Arial" w:hAnsi="Arial"/>
          <w:sz w:val="16"/>
          <w:szCs w:val="16"/>
          <w:color w:val="auto"/>
        </w:rPr>
        <w:t>”) is made and entered into by and between ARE-SAN FRANCISCO NO. 17,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VERACYTE, INC.,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Agreement by and between Landlord and Tenant. Any initially capitalized terms used but not defined herein shall have the meanings given them in the Lease.</w:t>
      </w:r>
    </w:p>
    <w:p>
      <w:pPr>
        <w:spacing w:after="0" w:line="144" w:lineRule="exact"/>
        <w:rPr>
          <w:sz w:val="20"/>
          <w:szCs w:val="20"/>
          <w:color w:val="auto"/>
        </w:rPr>
      </w:pPr>
    </w:p>
    <w:p>
      <w:pPr>
        <w:ind w:left="1260" w:hanging="626"/>
        <w:spacing w:after="0"/>
        <w:tabs>
          <w:tab w:leader="none" w:pos="126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General Requirements.</w:t>
      </w:r>
    </w:p>
    <w:p>
      <w:pPr>
        <w:spacing w:after="0" w:line="224" w:lineRule="exact"/>
        <w:rPr>
          <w:sz w:val="20"/>
          <w:szCs w:val="20"/>
          <w:color w:val="auto"/>
        </w:rPr>
      </w:pPr>
    </w:p>
    <w:p>
      <w:pPr>
        <w:ind w:right="200" w:firstLine="634"/>
        <w:spacing w:after="0" w:line="287" w:lineRule="auto"/>
        <w:tabs>
          <w:tab w:leader="none" w:pos="1256"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Tenant’s Authorized Representative. </w:t>
      </w:r>
      <w:r>
        <w:rPr>
          <w:rFonts w:ascii="Arial" w:cs="Arial" w:eastAsia="Arial" w:hAnsi="Arial"/>
          <w:sz w:val="16"/>
          <w:szCs w:val="16"/>
          <w:color w:val="auto"/>
        </w:rPr>
        <w:t>Tenant designates Anne E. Sissel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 authorized to act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58" w:lineRule="exact"/>
        <w:rPr>
          <w:rFonts w:ascii="Arial" w:cs="Arial" w:eastAsia="Arial" w:hAnsi="Arial"/>
          <w:sz w:val="16"/>
          <w:szCs w:val="16"/>
          <w:color w:val="auto"/>
        </w:rPr>
      </w:pPr>
    </w:p>
    <w:p>
      <w:pPr>
        <w:ind w:right="140" w:firstLine="634"/>
        <w:spacing w:after="0" w:line="287" w:lineRule="auto"/>
        <w:tabs>
          <w:tab w:leader="none" w:pos="1266"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Radika Bunton, Todd Miller and Catie Paton (any such individual acting alone,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any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140" w:firstLine="634"/>
        <w:spacing w:after="0" w:line="270" w:lineRule="auto"/>
        <w:tabs>
          <w:tab w:leader="none" w:pos="1269"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 xml:space="preserve">Architects, Consultants and Contractors. </w:t>
      </w:r>
      <w:r>
        <w:rPr>
          <w:rFonts w:ascii="Arial" w:cs="Arial" w:eastAsia="Arial" w:hAnsi="Arial"/>
          <w:sz w:val="17"/>
          <w:szCs w:val="17"/>
          <w:color w:val="auto"/>
        </w:rPr>
        <w:t>Landlord and Tenant hereby acknowledge and agree that: (i) BN Builders shall be the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w:t>
      </w:r>
      <w:r>
        <w:rPr>
          <w:rFonts w:ascii="Arial" w:cs="Arial" w:eastAsia="Arial" w:hAnsi="Arial"/>
          <w:sz w:val="17"/>
          <w:szCs w:val="17"/>
          <w:b w:val="1"/>
          <w:bCs w:val="1"/>
          <w:color w:val="auto"/>
        </w:rPr>
        <w:t>General Contractor</w:t>
      </w:r>
      <w:r>
        <w:rPr>
          <w:rFonts w:ascii="Arial" w:cs="Arial" w:eastAsia="Arial" w:hAnsi="Arial"/>
          <w:sz w:val="17"/>
          <w:szCs w:val="17"/>
          <w:color w:val="auto"/>
        </w:rPr>
        <w:t>”) for the Tenant Improvements, (ii) any subcontractors for the Tenant Improvements shall be selected by Landlord, subject to Tenant’s approval, which approval shall not be unreasonably withheld, conditioned or delayed, and (iii) Dowler Gruman Architects shall be the architect (the “</w:t>
      </w:r>
      <w:r>
        <w:rPr>
          <w:rFonts w:ascii="Arial" w:cs="Arial" w:eastAsia="Arial" w:hAnsi="Arial"/>
          <w:sz w:val="17"/>
          <w:szCs w:val="17"/>
          <w:b w:val="1"/>
          <w:bCs w:val="1"/>
          <w:color w:val="auto"/>
        </w:rPr>
        <w:t>TI</w:t>
      </w:r>
      <w:r>
        <w:rPr>
          <w:rFonts w:ascii="Arial" w:cs="Arial" w:eastAsia="Arial" w:hAnsi="Arial"/>
          <w:sz w:val="17"/>
          <w:szCs w:val="17"/>
          <w:color w:val="auto"/>
        </w:rPr>
        <w:t xml:space="preserve"> </w:t>
      </w:r>
      <w:r>
        <w:rPr>
          <w:rFonts w:ascii="Arial" w:cs="Arial" w:eastAsia="Arial" w:hAnsi="Arial"/>
          <w:sz w:val="17"/>
          <w:szCs w:val="17"/>
          <w:b w:val="1"/>
          <w:bCs w:val="1"/>
          <w:color w:val="auto"/>
        </w:rPr>
        <w:t>Architect</w:t>
      </w:r>
      <w:r>
        <w:rPr>
          <w:rFonts w:ascii="Arial" w:cs="Arial" w:eastAsia="Arial" w:hAnsi="Arial"/>
          <w:sz w:val="17"/>
          <w:szCs w:val="17"/>
          <w:color w:val="auto"/>
        </w:rPr>
        <w:t>”) for the Tenant Improvements.</w:t>
      </w:r>
    </w:p>
    <w:p>
      <w:pPr>
        <w:spacing w:after="0" w:line="169" w:lineRule="exact"/>
        <w:rPr>
          <w:sz w:val="20"/>
          <w:szCs w:val="20"/>
          <w:color w:val="auto"/>
        </w:rPr>
      </w:pPr>
    </w:p>
    <w:p>
      <w:pPr>
        <w:ind w:left="1260" w:hanging="626"/>
        <w:spacing w:after="0"/>
        <w:tabs>
          <w:tab w:leader="none" w:pos="1260" w:val="left"/>
        </w:tabs>
        <w:numPr>
          <w:ilvl w:val="0"/>
          <w:numId w:val="159"/>
        </w:numPr>
        <w:rPr>
          <w:rFonts w:ascii="Arial" w:cs="Arial" w:eastAsia="Arial" w:hAnsi="Arial"/>
          <w:sz w:val="17"/>
          <w:szCs w:val="17"/>
          <w:color w:val="auto"/>
        </w:rPr>
      </w:pPr>
      <w:r>
        <w:rPr>
          <w:rFonts w:ascii="Arial" w:cs="Arial" w:eastAsia="Arial" w:hAnsi="Arial"/>
          <w:sz w:val="17"/>
          <w:szCs w:val="17"/>
          <w:b w:val="1"/>
          <w:bCs w:val="1"/>
          <w:color w:val="auto"/>
        </w:rPr>
        <w:t>Tenant Improvements.</w:t>
      </w:r>
    </w:p>
    <w:p>
      <w:pPr>
        <w:spacing w:after="0" w:line="224" w:lineRule="exact"/>
        <w:rPr>
          <w:sz w:val="20"/>
          <w:szCs w:val="20"/>
          <w:color w:val="auto"/>
        </w:rPr>
      </w:pPr>
    </w:p>
    <w:p>
      <w:pPr>
        <w:ind w:right="60" w:firstLine="634"/>
        <w:spacing w:after="0" w:line="261" w:lineRule="auto"/>
        <w:tabs>
          <w:tab w:leader="none" w:pos="1256"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Tenant Improvements Defined. </w:t>
      </w:r>
      <w:r>
        <w:rPr>
          <w:rFonts w:ascii="Arial" w:cs="Arial" w:eastAsia="Arial" w:hAnsi="Arial"/>
          <w:sz w:val="17"/>
          <w:szCs w:val="17"/>
          <w:color w:val="auto"/>
        </w:rPr>
        <w:t>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all improvements to the Project as shown on the TI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Construction Drawings, as defined in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below, constructed pursuant to this Work Letter. The Tenant Improvements are further described on the construction budget attached hereto as Schedule 2. Other than Landlord’s Work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 obligation whatsoever with respect to the finishing of the Premises for Tenant’s use and occupancy. Landlord and Tenant acknowledge and agree that Landlord will be performing the Tenant Improvements during Tenant’s occupancy of the Premises. Tenant shall permit access to the Premises at all reasonable times to allow Landlord to perform the Tenant Improvements. The completion of the Tenant Improvements may have a material adverse effect on Tenant’s use and quiet enjoyment of the Premises and the operation of Tenant’s business at the Premises, including, without limitation, the creation of dust, noise and vibrations, none of which shall constitute a constructive eviction of Tenant, an interruption of Tenant’s use and quiet enjoyment of the Premises or result in any offset or abatement of Rent whatsoever. Notwithstanding anything to the contrary set forth herein, Landlord shall have no liability to Tenant for any Claims resulting from, arising out of or related to the performance of the Tenant Improvements.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34"/>
        <w:spacing w:after="0" w:line="270" w:lineRule="auto"/>
        <w:tabs>
          <w:tab w:leader="none" w:pos="1266" w:val="left"/>
        </w:tabs>
        <w:numPr>
          <w:ilvl w:val="1"/>
          <w:numId w:val="161"/>
        </w:numPr>
        <w:rPr>
          <w:rFonts w:ascii="Arial" w:cs="Arial" w:eastAsia="Arial" w:hAnsi="Arial"/>
          <w:sz w:val="17"/>
          <w:szCs w:val="17"/>
          <w:color w:val="auto"/>
        </w:rPr>
      </w:pPr>
      <w:r>
        <w:rPr>
          <w:rFonts w:ascii="Arial" w:cs="Arial" w:eastAsia="Arial" w:hAnsi="Arial"/>
          <w:sz w:val="17"/>
          <w:szCs w:val="17"/>
          <w:b w:val="1"/>
          <w:bCs w:val="1"/>
          <w:color w:val="auto"/>
        </w:rPr>
        <w:t xml:space="preserve">Tenant’s Space Plans. </w:t>
      </w:r>
      <w:r>
        <w:rPr>
          <w:rFonts w:ascii="Arial" w:cs="Arial" w:eastAsia="Arial" w:hAnsi="Arial"/>
          <w:sz w:val="17"/>
          <w:szCs w:val="17"/>
          <w:color w:val="auto"/>
        </w:rPr>
        <w:t>Landlord and Tenant acknowledge and agree that the plan prepared by the TI Architect attached to this Work Letter as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1 the “</w:t>
      </w:r>
      <w:r>
        <w:rPr>
          <w:rFonts w:ascii="Arial" w:cs="Arial" w:eastAsia="Arial" w:hAnsi="Arial"/>
          <w:sz w:val="17"/>
          <w:szCs w:val="17"/>
          <w:b w:val="1"/>
          <w:bCs w:val="1"/>
          <w:color w:val="auto"/>
        </w:rPr>
        <w:t>Space Plan</w:t>
      </w:r>
      <w:r>
        <w:rPr>
          <w:rFonts w:ascii="Arial" w:cs="Arial" w:eastAsia="Arial" w:hAnsi="Arial"/>
          <w:sz w:val="17"/>
          <w:szCs w:val="17"/>
          <w:color w:val="auto"/>
        </w:rPr>
        <w:t>”) has been approved by both Landlord and Tenant. Landlord and Tenant further acknowledge and agree that any changes to the Space Plan requested by Tenant (other than de minimus changes which are consistent generally with the Space Plan) constitute a Change Request the cost of which changes shall be paid for by Tenant.</w:t>
      </w:r>
    </w:p>
    <w:p>
      <w:pPr>
        <w:spacing w:after="0" w:line="169" w:lineRule="exact"/>
        <w:rPr>
          <w:rFonts w:ascii="Arial" w:cs="Arial" w:eastAsia="Arial" w:hAnsi="Arial"/>
          <w:sz w:val="17"/>
          <w:szCs w:val="17"/>
          <w:color w:val="auto"/>
        </w:rPr>
      </w:pPr>
    </w:p>
    <w:p>
      <w:pPr>
        <w:ind w:right="60" w:firstLine="634"/>
        <w:spacing w:after="0" w:line="292" w:lineRule="auto"/>
        <w:tabs>
          <w:tab w:leader="none" w:pos="1269" w:val="left"/>
        </w:tabs>
        <w:numPr>
          <w:ilvl w:val="1"/>
          <w:numId w:val="161"/>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and Tenant have agreed upon construction plans, specifications and drawings for the Tenant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the Space Plan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Tenant shall be solely responsible for ensuring that the TI Construction Drawings reflect Tenant’s requirements for the Tenant Improvements.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53" w:lineRule="exact"/>
        <w:rPr>
          <w:rFonts w:ascii="Arial" w:cs="Arial" w:eastAsia="Arial" w:hAnsi="Arial"/>
          <w:sz w:val="16"/>
          <w:szCs w:val="16"/>
          <w:color w:val="auto"/>
        </w:rPr>
      </w:pPr>
    </w:p>
    <w:p>
      <w:pPr>
        <w:ind w:right="160" w:firstLine="634"/>
        <w:spacing w:after="0" w:line="304" w:lineRule="auto"/>
        <w:tabs>
          <w:tab w:leader="none" w:pos="1266" w:val="left"/>
        </w:tabs>
        <w:numPr>
          <w:ilvl w:val="1"/>
          <w:numId w:val="161"/>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Upon any dispute regarding the design of the Tenant Improvements, which is not settled within 10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notice of such dispute is delivered by one party to the other, Tenant may make the final decision regarding the design of the Tenant Improvements, provided</w:t>
      </w:r>
    </w:p>
    <w:p>
      <w:pPr>
        <w:ind w:right="60" w:firstLine="5"/>
        <w:spacing w:after="0" w:line="263" w:lineRule="auto"/>
        <w:tabs>
          <w:tab w:leader="none" w:pos="20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Building systems. Any changes to the TI Construction Drawings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74" w:lineRule="exact"/>
        <w:rPr>
          <w:sz w:val="20"/>
          <w:szCs w:val="20"/>
          <w:color w:val="auto"/>
        </w:rPr>
      </w:pPr>
    </w:p>
    <w:p>
      <w:pPr>
        <w:ind w:left="1260" w:hanging="626"/>
        <w:spacing w:after="0"/>
        <w:tabs>
          <w:tab w:leader="none" w:pos="1260" w:val="left"/>
        </w:tabs>
        <w:numPr>
          <w:ilvl w:val="0"/>
          <w:numId w:val="163"/>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p>
    <w:p>
      <w:pPr>
        <w:spacing w:after="0" w:line="224" w:lineRule="exact"/>
        <w:rPr>
          <w:sz w:val="20"/>
          <w:szCs w:val="20"/>
          <w:color w:val="auto"/>
        </w:rPr>
      </w:pPr>
    </w:p>
    <w:p>
      <w:pPr>
        <w:ind w:left="1260" w:hanging="626"/>
        <w:spacing w:after="0"/>
        <w:tabs>
          <w:tab w:leader="none" w:pos="1260"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Landlord’s Work. </w:t>
      </w:r>
      <w:r>
        <w:rPr>
          <w:rFonts w:ascii="Arial" w:cs="Arial" w:eastAsia="Arial" w:hAnsi="Arial"/>
          <w:sz w:val="16"/>
          <w:szCs w:val="16"/>
          <w:color w:val="auto"/>
        </w:rPr>
        <w:t>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designing, permitting and constructing the Tenant</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Improvements.</w:t>
      </w:r>
    </w:p>
    <w:p>
      <w:pPr>
        <w:spacing w:after="0" w:line="206" w:lineRule="exact"/>
        <w:rPr>
          <w:rFonts w:ascii="Arial" w:cs="Arial" w:eastAsia="Arial" w:hAnsi="Arial"/>
          <w:sz w:val="16"/>
          <w:szCs w:val="16"/>
          <w:color w:val="auto"/>
        </w:rPr>
      </w:pPr>
    </w:p>
    <w:p>
      <w:pPr>
        <w:ind w:firstLine="634"/>
        <w:spacing w:after="0" w:line="285" w:lineRule="auto"/>
        <w:tabs>
          <w:tab w:leader="none" w:pos="1266"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and Permitting. </w:t>
      </w:r>
      <w:r>
        <w:rPr>
          <w:rFonts w:ascii="Arial" w:cs="Arial" w:eastAsia="Arial" w:hAnsi="Arial"/>
          <w:sz w:val="16"/>
          <w:szCs w:val="16"/>
          <w:color w:val="auto"/>
        </w:rPr>
        <w:t>Landlord shall promptly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by Landlord.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57" w:lineRule="exact"/>
        <w:rPr>
          <w:rFonts w:ascii="Arial" w:cs="Arial" w:eastAsia="Arial" w:hAnsi="Arial"/>
          <w:sz w:val="16"/>
          <w:szCs w:val="16"/>
          <w:color w:val="auto"/>
        </w:rPr>
      </w:pPr>
    </w:p>
    <w:p>
      <w:pPr>
        <w:ind w:right="20" w:firstLine="634"/>
        <w:spacing w:after="0" w:line="311" w:lineRule="auto"/>
        <w:tabs>
          <w:tab w:leader="none" w:pos="1269"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 xml:space="preserve">Completion of Landlord’s Work. </w:t>
      </w:r>
      <w:r>
        <w:rPr>
          <w:rFonts w:ascii="Arial" w:cs="Arial" w:eastAsia="Arial" w:hAnsi="Arial"/>
          <w:sz w:val="15"/>
          <w:szCs w:val="15"/>
          <w:color w:val="auto"/>
        </w:rPr>
        <w:t>Landlord shall substantially complete or cause to be substantially completed Landlord’s Work in a good and</w:t>
      </w:r>
      <w:r>
        <w:rPr>
          <w:rFonts w:ascii="Arial" w:cs="Arial" w:eastAsia="Arial" w:hAnsi="Arial"/>
          <w:sz w:val="15"/>
          <w:szCs w:val="15"/>
          <w:b w:val="1"/>
          <w:bCs w:val="1"/>
          <w:color w:val="auto"/>
        </w:rPr>
        <w:t xml:space="preserve"> </w:t>
      </w:r>
      <w:r>
        <w:rPr>
          <w:rFonts w:ascii="Arial" w:cs="Arial" w:eastAsia="Arial" w:hAnsi="Arial"/>
          <w:sz w:val="15"/>
          <w:szCs w:val="15"/>
          <w:color w:val="auto"/>
        </w:rPr>
        <w:t>workmanlike manner, in accordance with the TI Permit subject, in each case, to Minor Variations and normal “punch list” items of a non-material nature that do not interfere with the use of the Premises (“</w:t>
      </w:r>
      <w:r>
        <w:rPr>
          <w:rFonts w:ascii="Arial" w:cs="Arial" w:eastAsia="Arial" w:hAnsi="Arial"/>
          <w:sz w:val="15"/>
          <w:szCs w:val="15"/>
          <w:b w:val="1"/>
          <w:bCs w:val="1"/>
          <w:color w:val="auto"/>
        </w:rPr>
        <w:t>Substantial Completion</w:t>
      </w:r>
      <w:r>
        <w:rPr>
          <w:rFonts w:ascii="Arial" w:cs="Arial" w:eastAsia="Arial" w:hAnsi="Arial"/>
          <w:sz w:val="15"/>
          <w:szCs w:val="15"/>
          <w:color w:val="auto"/>
        </w:rPr>
        <w:t>” or “</w:t>
      </w:r>
      <w:r>
        <w:rPr>
          <w:rFonts w:ascii="Arial" w:cs="Arial" w:eastAsia="Arial" w:hAnsi="Arial"/>
          <w:sz w:val="15"/>
          <w:szCs w:val="15"/>
          <w:b w:val="1"/>
          <w:bCs w:val="1"/>
          <w:color w:val="auto"/>
        </w:rPr>
        <w:t>Substantially Complete</w:t>
      </w:r>
      <w:r>
        <w:rPr>
          <w:rFonts w:ascii="Arial" w:cs="Arial" w:eastAsia="Arial" w:hAnsi="Arial"/>
          <w:sz w:val="15"/>
          <w:szCs w:val="15"/>
          <w:color w:val="auto"/>
        </w:rPr>
        <w:t>”). Substantial Completion shall not include completion of the Cased Opening (as hereinafter defined) which shall be completed in accordance with Section 7 below. Upon Substantial Completion of Landlord’s Work, Landlord shall require the TI Architect and the General Contractor to execute and deliver, for the benefit of Tenant and Landlord, a Certificate of Substantial Completion in</w:t>
      </w:r>
    </w:p>
    <w:p>
      <w:pPr>
        <w:sectPr>
          <w:pgSz w:w="11900" w:h="16838" w:orient="portrait"/>
          <w:cols w:equalWidth="0" w:num="1">
            <w:col w:w="11420"/>
          </w:cols>
          <w:pgMar w:left="240" w:top="121" w:right="239" w:bottom="0" w:gutter="0" w:footer="0" w:header="0"/>
        </w:sectPr>
      </w:pPr>
    </w:p>
    <w:bookmarkStart w:id="206" w:name="page207"/>
    <w:bookmarkEnd w:id="206"/>
    <w:p>
      <w:pPr>
        <w:spacing w:after="0" w:line="8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non-material field deviations or conditions encountered during the construction of Landlord’s Work.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firstLine="634"/>
        <w:spacing w:after="0" w:line="270" w:lineRule="auto"/>
        <w:tabs>
          <w:tab w:leader="none" w:pos="1266"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TI Construction Drawings, the option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at Landlord’s sole and absolute discretion. As to all building materials and equipment that Landlord is obligated to supply under this Work Letter, Landlord shall select the manufacturer thereof in its sole and absolute discretion unless a manufacturer is expressly specified in the approved TI Construction Drawings.</w:t>
      </w:r>
    </w:p>
    <w:p>
      <w:pPr>
        <w:spacing w:after="0" w:line="169" w:lineRule="exact"/>
        <w:rPr>
          <w:rFonts w:ascii="Arial" w:cs="Arial" w:eastAsia="Arial" w:hAnsi="Arial"/>
          <w:sz w:val="17"/>
          <w:szCs w:val="17"/>
          <w:color w:val="auto"/>
        </w:rPr>
      </w:pPr>
    </w:p>
    <w:p>
      <w:pPr>
        <w:ind w:firstLine="634"/>
        <w:spacing w:after="0" w:line="279" w:lineRule="auto"/>
        <w:tabs>
          <w:tab w:leader="none" w:pos="1269"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Defects. </w:t>
      </w:r>
      <w:r>
        <w:rPr>
          <w:rFonts w:ascii="Arial" w:cs="Arial" w:eastAsia="Arial" w:hAnsi="Arial"/>
          <w:sz w:val="16"/>
          <w:szCs w:val="16"/>
          <w:color w:val="auto"/>
        </w:rPr>
        <w:t>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70"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by Tenant. Landlord shall promptly undertake and complete, or cause to be completed, all punch list items.</w:t>
      </w:r>
    </w:p>
    <w:p>
      <w:pPr>
        <w:spacing w:after="0" w:line="130" w:lineRule="exact"/>
        <w:rPr>
          <w:sz w:val="20"/>
          <w:szCs w:val="20"/>
          <w:color w:val="auto"/>
        </w:rPr>
      </w:pPr>
    </w:p>
    <w:p>
      <w:pPr>
        <w:ind w:right="40" w:firstLine="634"/>
        <w:spacing w:after="0" w:line="297" w:lineRule="auto"/>
        <w:tabs>
          <w:tab w:leader="none" w:pos="1263" w:val="left"/>
        </w:tabs>
        <w:numPr>
          <w:ilvl w:val="0"/>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Tenant Delay. </w:t>
      </w:r>
      <w:r>
        <w:rPr>
          <w:rFonts w:ascii="Arial" w:cs="Arial" w:eastAsia="Arial" w:hAnsi="Arial"/>
          <w:sz w:val="17"/>
          <w:szCs w:val="17"/>
          <w:color w:val="auto"/>
        </w:rPr>
        <w:t>For purposes of this Lease, “</w:t>
      </w:r>
      <w:r>
        <w:rPr>
          <w:rFonts w:ascii="Arial" w:cs="Arial" w:eastAsia="Arial" w:hAnsi="Arial"/>
          <w:sz w:val="17"/>
          <w:szCs w:val="17"/>
          <w:b w:val="1"/>
          <w:bCs w:val="1"/>
          <w:color w:val="auto"/>
        </w:rPr>
        <w:t>Tenant Delay</w:t>
      </w:r>
      <w:r>
        <w:rPr>
          <w:rFonts w:ascii="Arial" w:cs="Arial" w:eastAsia="Arial" w:hAnsi="Arial"/>
          <w:sz w:val="17"/>
          <w:szCs w:val="17"/>
          <w:color w:val="auto"/>
        </w:rPr>
        <w:t>” shall mean actual delay in the Substantial Completion of Landlord’s Work caused by</w:t>
      </w:r>
      <w:r>
        <w:rPr>
          <w:rFonts w:ascii="Arial" w:cs="Arial" w:eastAsia="Arial" w:hAnsi="Arial"/>
          <w:sz w:val="17"/>
          <w:szCs w:val="17"/>
          <w:b w:val="1"/>
          <w:bCs w:val="1"/>
          <w:color w:val="auto"/>
        </w:rPr>
        <w:t xml:space="preserve"> </w:t>
      </w:r>
      <w:r>
        <w:rPr>
          <w:rFonts w:ascii="Arial" w:cs="Arial" w:eastAsia="Arial" w:hAnsi="Arial"/>
          <w:sz w:val="17"/>
          <w:szCs w:val="17"/>
          <w:color w:val="auto"/>
        </w:rPr>
        <w:t>any one or more of the following:</w:t>
      </w:r>
    </w:p>
    <w:p>
      <w:pPr>
        <w:spacing w:after="0" w:line="151" w:lineRule="exact"/>
        <w:rPr>
          <w:rFonts w:ascii="Arial" w:cs="Arial" w:eastAsia="Arial" w:hAnsi="Arial"/>
          <w:sz w:val="17"/>
          <w:szCs w:val="17"/>
          <w:color w:val="auto"/>
        </w:rPr>
      </w:pPr>
    </w:p>
    <w:p>
      <w:pPr>
        <w:ind w:left="640" w:right="300" w:firstLine="623"/>
        <w:spacing w:after="0" w:line="289" w:lineRule="auto"/>
        <w:tabs>
          <w:tab w:leader="none" w:pos="191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Tenant’s Representative was not available to give or receive any Communication or to take any other action required to be taken by Tenant hereunder within the time periods set forth herein;</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Tenant’s request for Change Requests (as defined in Section 4(a) below) whether or not any such Change Requests are actually</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performed;</w:t>
      </w:r>
    </w:p>
    <w:p>
      <w:pPr>
        <w:spacing w:after="0" w:line="212" w:lineRule="exact"/>
        <w:rPr>
          <w:rFonts w:ascii="Arial" w:cs="Arial" w:eastAsia="Arial" w:hAnsi="Arial"/>
          <w:sz w:val="16"/>
          <w:szCs w:val="16"/>
          <w:color w:val="auto"/>
        </w:rPr>
      </w:pPr>
    </w:p>
    <w:p>
      <w:pPr>
        <w:ind w:left="1940" w:hanging="677"/>
        <w:spacing w:after="0"/>
        <w:tabs>
          <w:tab w:leader="none" w:pos="194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224" w:lineRule="exact"/>
        <w:rPr>
          <w:rFonts w:ascii="Arial" w:cs="Arial" w:eastAsia="Arial" w:hAnsi="Arial"/>
          <w:sz w:val="17"/>
          <w:szCs w:val="17"/>
          <w:color w:val="auto"/>
        </w:rPr>
      </w:pPr>
    </w:p>
    <w:p>
      <w:pPr>
        <w:ind w:left="640" w:right="60" w:firstLine="623"/>
        <w:spacing w:after="0" w:line="289" w:lineRule="auto"/>
        <w:tabs>
          <w:tab w:leader="none" w:pos="191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TI Costs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60" w:firstLine="623"/>
        <w:spacing w:after="0" w:line="289" w:lineRule="auto"/>
        <w:tabs>
          <w:tab w:leader="none" w:pos="193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than one (1) day after Landlord’s notice thereof to Tenant.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Substantial Completion of Landlord’s Work is delayed for any of the foregoing reasons, then Landlord shall cause the TI Architect to certify the date on which the Tenant Improvements would have been completed but for such Tenant Delay and such certified date shall be the date of Substantial Completion. Upon request, Landlord will advise Tenant if any materials, finishes or installations which are requested as part of any Change Request are likely to require unusually long lead times.</w:t>
      </w:r>
    </w:p>
    <w:p>
      <w:pPr>
        <w:spacing w:after="0" w:line="170" w:lineRule="exact"/>
        <w:rPr>
          <w:sz w:val="20"/>
          <w:szCs w:val="20"/>
          <w:color w:val="auto"/>
        </w:rPr>
      </w:pPr>
    </w:p>
    <w:p>
      <w:pPr>
        <w:ind w:right="120" w:firstLine="634"/>
        <w:spacing w:after="0" w:line="277" w:lineRule="auto"/>
        <w:tabs>
          <w:tab w:leader="none" w:pos="1258"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Changes. </w:t>
      </w:r>
      <w:r>
        <w:rPr>
          <w:rFonts w:ascii="Arial" w:cs="Arial" w:eastAsia="Arial" w:hAnsi="Arial"/>
          <w:sz w:val="17"/>
          <w:szCs w:val="17"/>
          <w:color w:val="auto"/>
        </w:rPr>
        <w:t>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sz w:val="20"/>
          <w:szCs w:val="20"/>
          <w:color w:val="auto"/>
        </w:rPr>
      </w:pPr>
    </w:p>
    <w:p>
      <w:pPr>
        <w:ind w:right="40" w:firstLine="634"/>
        <w:spacing w:after="0" w:line="262" w:lineRule="auto"/>
        <w:tabs>
          <w:tab w:leader="none" w:pos="1256" w:val="left"/>
        </w:tabs>
        <w:numPr>
          <w:ilvl w:val="0"/>
          <w:numId w:val="169"/>
        </w:numPr>
        <w:rPr>
          <w:rFonts w:ascii="Arial" w:cs="Arial" w:eastAsia="Arial" w:hAnsi="Arial"/>
          <w:sz w:val="17"/>
          <w:szCs w:val="17"/>
          <w:color w:val="auto"/>
        </w:rPr>
      </w:pPr>
      <w:r>
        <w:rPr>
          <w:rFonts w:ascii="Arial" w:cs="Arial" w:eastAsia="Arial" w:hAnsi="Arial"/>
          <w:sz w:val="17"/>
          <w:szCs w:val="17"/>
          <w:b w:val="1"/>
          <w:bCs w:val="1"/>
          <w:color w:val="auto"/>
        </w:rPr>
        <w:t xml:space="preserve">Tenant’s Request For Changes. </w:t>
      </w:r>
      <w:r>
        <w:rPr>
          <w:rFonts w:ascii="Arial" w:cs="Arial" w:eastAsia="Arial" w:hAnsi="Arial"/>
          <w:sz w:val="17"/>
          <w:szCs w:val="17"/>
          <w:color w:val="auto"/>
        </w:rPr>
        <w:t>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Landlord in writing in substantially the same form as the AIA standard change order form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by Tenant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w:t>
      </w:r>
    </w:p>
    <w:p>
      <w:pPr>
        <w:spacing w:after="0" w:line="176" w:lineRule="exact"/>
        <w:rPr>
          <w:rFonts w:ascii="Arial" w:cs="Arial" w:eastAsia="Arial" w:hAnsi="Arial"/>
          <w:sz w:val="17"/>
          <w:szCs w:val="17"/>
          <w:color w:val="auto"/>
        </w:rPr>
      </w:pPr>
    </w:p>
    <w:p>
      <w:pPr>
        <w:ind w:right="40" w:firstLine="634"/>
        <w:spacing w:after="0" w:line="368" w:lineRule="auto"/>
        <w:tabs>
          <w:tab w:leader="none" w:pos="1266" w:val="left"/>
        </w:tabs>
        <w:numPr>
          <w:ilvl w:val="0"/>
          <w:numId w:val="169"/>
        </w:numPr>
        <w:rPr>
          <w:rFonts w:ascii="Arial" w:cs="Arial" w:eastAsia="Arial" w:hAnsi="Arial"/>
          <w:sz w:val="15"/>
          <w:szCs w:val="15"/>
          <w:color w:val="auto"/>
        </w:rPr>
      </w:pPr>
      <w:r>
        <w:rPr>
          <w:rFonts w:ascii="Arial" w:cs="Arial" w:eastAsia="Arial" w:hAnsi="Arial"/>
          <w:sz w:val="15"/>
          <w:szCs w:val="15"/>
          <w:b w:val="1"/>
          <w:bCs w:val="1"/>
          <w:color w:val="auto"/>
        </w:rPr>
        <w:t xml:space="preserve">Implementation of Changes. </w:t>
      </w:r>
      <w:r>
        <w:rPr>
          <w:rFonts w:ascii="Arial" w:cs="Arial" w:eastAsia="Arial" w:hAnsi="Arial"/>
          <w:sz w:val="15"/>
          <w:szCs w:val="15"/>
          <w:color w:val="auto"/>
        </w:rPr>
        <w:t>If Tenant: (i) approves in writing the cost or savings and the estimated extension in the time for completion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Work, if any, and (ii) deposits with Landlord any Excess TI Costs required in connection with such Change, Landlord shall cause the approved Change</w:t>
      </w:r>
    </w:p>
    <w:p>
      <w:pPr>
        <w:sectPr>
          <w:pgSz w:w="11900" w:h="16923" w:orient="portrait"/>
          <w:cols w:equalWidth="0" w:num="1">
            <w:col w:w="11400"/>
          </w:cols>
          <w:pgMar w:left="240" w:top="121" w:right="259" w:bottom="0" w:gutter="0" w:footer="0" w:header="0"/>
        </w:sectPr>
      </w:pPr>
    </w:p>
    <w:bookmarkStart w:id="207" w:name="page208"/>
    <w:bookmarkEnd w:id="207"/>
    <w:p>
      <w:pPr>
        <w:spacing w:after="0"/>
        <w:rPr>
          <w:sz w:val="20"/>
          <w:szCs w:val="20"/>
          <w:color w:val="auto"/>
        </w:rPr>
      </w:pPr>
      <w:r>
        <w:rPr>
          <w:rFonts w:ascii="Arial" w:cs="Arial" w:eastAsia="Arial" w:hAnsi="Arial"/>
          <w:sz w:val="17"/>
          <w:szCs w:val="17"/>
          <w:color w:val="auto"/>
        </w:rPr>
        <w:t>to be instituted.</w:t>
      </w:r>
    </w:p>
    <w:p>
      <w:pPr>
        <w:spacing w:after="0" w:line="218" w:lineRule="exact"/>
        <w:rPr>
          <w:sz w:val="20"/>
          <w:szCs w:val="20"/>
          <w:color w:val="auto"/>
        </w:rPr>
      </w:pPr>
    </w:p>
    <w:p>
      <w:pPr>
        <w:ind w:left="1260" w:hanging="626"/>
        <w:spacing w:after="0"/>
        <w:tabs>
          <w:tab w:leader="none" w:pos="1260"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24" w:lineRule="exact"/>
        <w:rPr>
          <w:sz w:val="20"/>
          <w:szCs w:val="20"/>
          <w:color w:val="auto"/>
        </w:rPr>
      </w:pPr>
    </w:p>
    <w:p>
      <w:pPr>
        <w:ind w:firstLine="634"/>
        <w:spacing w:after="0" w:line="285" w:lineRule="auto"/>
        <w:tabs>
          <w:tab w:leader="none" w:pos="1256"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TI Costs. </w:t>
      </w:r>
      <w:r>
        <w:rPr>
          <w:rFonts w:ascii="Arial" w:cs="Arial" w:eastAsia="Arial" w:hAnsi="Arial"/>
          <w:sz w:val="16"/>
          <w:szCs w:val="16"/>
          <w:color w:val="auto"/>
        </w:rPr>
        <w:t>Except as otherwise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below, Landlord shall be responsible for the payment of design, permits and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 connection with the construction of the Tenant Improvements, including, without limitation, the cost of electrical power and other utilities used in connection with the construction of the Tenant Improvements, the cost of preparing the TI Construction Drawings and the Space Plans and Landlord’s out-of-pocket expenses and all of Landlord’s project management fees (collectively, “</w:t>
      </w:r>
      <w:r>
        <w:rPr>
          <w:rFonts w:ascii="Arial" w:cs="Arial" w:eastAsia="Arial" w:hAnsi="Arial"/>
          <w:sz w:val="16"/>
          <w:szCs w:val="16"/>
          <w:b w:val="1"/>
          <w:bCs w:val="1"/>
          <w:color w:val="auto"/>
        </w:rPr>
        <w:t>TI Costs</w:t>
      </w:r>
      <w:r>
        <w:rPr>
          <w:rFonts w:ascii="Arial" w:cs="Arial" w:eastAsia="Arial" w:hAnsi="Arial"/>
          <w:sz w:val="16"/>
          <w:szCs w:val="16"/>
          <w:color w:val="auto"/>
        </w:rPr>
        <w:t>”). Notwithstanding anything to the contrary contained herein, in no event shall Landlord be required to pay for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57" w:lineRule="exact"/>
        <w:rPr>
          <w:rFonts w:ascii="Arial" w:cs="Arial" w:eastAsia="Arial" w:hAnsi="Arial"/>
          <w:sz w:val="16"/>
          <w:szCs w:val="16"/>
          <w:color w:val="auto"/>
        </w:rPr>
      </w:pPr>
    </w:p>
    <w:p>
      <w:pPr>
        <w:ind w:right="80" w:firstLine="634"/>
        <w:spacing w:after="0" w:line="265" w:lineRule="auto"/>
        <w:tabs>
          <w:tab w:leader="none" w:pos="1266"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 xml:space="preserve">Excess TI Costs. </w:t>
      </w:r>
      <w:r>
        <w:rPr>
          <w:rFonts w:ascii="Arial" w:cs="Arial" w:eastAsia="Arial" w:hAnsi="Arial"/>
          <w:sz w:val="17"/>
          <w:szCs w:val="17"/>
          <w:color w:val="auto"/>
        </w:rPr>
        <w:t>Notwithstanding anything to the contrary contained herein, Tenant acknowledges and agrees that, Landlord shall have no</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bear any costs arising from or related to (i) Tenant’s Changes to the Space Plan or TI Construction Drawings, and the cost of Changes and Change Requests and (ii) Tenant Delay (collectively, “</w:t>
      </w:r>
      <w:r>
        <w:rPr>
          <w:rFonts w:ascii="Arial" w:cs="Arial" w:eastAsia="Arial" w:hAnsi="Arial"/>
          <w:sz w:val="17"/>
          <w:szCs w:val="17"/>
          <w:b w:val="1"/>
          <w:bCs w:val="1"/>
          <w:color w:val="auto"/>
        </w:rPr>
        <w:t>Excess TI Costs</w:t>
      </w:r>
      <w:r>
        <w:rPr>
          <w:rFonts w:ascii="Arial" w:cs="Arial" w:eastAsia="Arial" w:hAnsi="Arial"/>
          <w:sz w:val="17"/>
          <w:szCs w:val="17"/>
          <w:color w:val="auto"/>
        </w:rPr>
        <w:t>”). Upon Landlord’s request from time to time, Tenant shall deposit with Landlord, as a condition precedent to Landlord’s obligation to complete the Tenant Improvements, 100% of the Excess TI Costs. If Tenant fails to deposit any Excess TI Costs with Landlord, Landlord shall have all of the rights and remedies set forth in the Lease for nonpayment of Rent (including, but not limited to, the right to interest at the Default Rate and the right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assess a late charge). For purposes of any litigation instituted with regard to such amounts, those amounts will be deemed Rent under the Lease.</w:t>
      </w:r>
    </w:p>
    <w:p>
      <w:pPr>
        <w:spacing w:after="0" w:line="218" w:lineRule="exact"/>
        <w:rPr>
          <w:sz w:val="20"/>
          <w:szCs w:val="20"/>
          <w:color w:val="auto"/>
        </w:rPr>
      </w:pPr>
    </w:p>
    <w:p>
      <w:pPr>
        <w:ind w:right="280" w:firstLine="634"/>
        <w:spacing w:after="0" w:line="297" w:lineRule="auto"/>
        <w:tabs>
          <w:tab w:leader="none" w:pos="1258"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 xml:space="preserve">No Interference. </w:t>
      </w:r>
      <w:r>
        <w:rPr>
          <w:rFonts w:ascii="Arial" w:cs="Arial" w:eastAsia="Arial" w:hAnsi="Arial"/>
          <w:sz w:val="17"/>
          <w:szCs w:val="17"/>
          <w:color w:val="auto"/>
        </w:rPr>
        <w:t>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w:t>
      </w:r>
    </w:p>
    <w:p>
      <w:pPr>
        <w:spacing w:after="0" w:line="145" w:lineRule="exact"/>
        <w:rPr>
          <w:rFonts w:ascii="Arial" w:cs="Arial" w:eastAsia="Arial" w:hAnsi="Arial"/>
          <w:sz w:val="17"/>
          <w:szCs w:val="17"/>
          <w:color w:val="auto"/>
        </w:rPr>
      </w:pPr>
    </w:p>
    <w:p>
      <w:pPr>
        <w:ind w:right="340" w:firstLine="634"/>
        <w:spacing w:after="0" w:line="297" w:lineRule="auto"/>
        <w:tabs>
          <w:tab w:leader="none" w:pos="1258"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of Opening. </w:t>
      </w:r>
      <w:r>
        <w:rPr>
          <w:rFonts w:ascii="Arial" w:cs="Arial" w:eastAsia="Arial" w:hAnsi="Arial"/>
          <w:sz w:val="17"/>
          <w:szCs w:val="17"/>
          <w:color w:val="auto"/>
        </w:rPr>
        <w:t>Landlord shall construct, at Landlord’s expense, a cased opening between the suites in the location shown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Space Plan (the “</w:t>
      </w:r>
      <w:r>
        <w:rPr>
          <w:rFonts w:ascii="Arial" w:cs="Arial" w:eastAsia="Arial" w:hAnsi="Arial"/>
          <w:sz w:val="17"/>
          <w:szCs w:val="17"/>
          <w:b w:val="1"/>
          <w:bCs w:val="1"/>
          <w:color w:val="auto"/>
        </w:rPr>
        <w:t>Cased Opening</w:t>
      </w:r>
      <w:r>
        <w:rPr>
          <w:rFonts w:ascii="Arial" w:cs="Arial" w:eastAsia="Arial" w:hAnsi="Arial"/>
          <w:sz w:val="17"/>
          <w:szCs w:val="17"/>
          <w:color w:val="auto"/>
        </w:rPr>
        <w:t>”) after September 1, 2010 and before October 1, 2010.</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20" w:firstLine="634"/>
        <w:spacing w:after="0" w:line="297" w:lineRule="auto"/>
        <w:tabs>
          <w:tab w:leader="none" w:pos="1256"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or delay such consent or approval, unless expressly set forth herein to the contrary.</w:t>
      </w:r>
    </w:p>
    <w:p>
      <w:pPr>
        <w:spacing w:after="0" w:line="145" w:lineRule="exact"/>
        <w:rPr>
          <w:rFonts w:ascii="Arial" w:cs="Arial" w:eastAsia="Arial" w:hAnsi="Arial"/>
          <w:sz w:val="17"/>
          <w:szCs w:val="17"/>
          <w:color w:val="auto"/>
        </w:rPr>
      </w:pPr>
    </w:p>
    <w:p>
      <w:pPr>
        <w:ind w:right="580" w:firstLine="634"/>
        <w:spacing w:after="0" w:line="297" w:lineRule="auto"/>
        <w:tabs>
          <w:tab w:leader="none" w:pos="1266"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Tenant unless in writing signed by Landlord and Tenant.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 TO WORK LETTER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SPACE PLAN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[Second Floor - East Wing Floor Plan]</w:t>
      </w:r>
    </w:p>
    <w:p>
      <w:pPr>
        <w:sectPr>
          <w:pgSz w:w="11900" w:h="16838" w:orient="portrait"/>
          <w:cols w:equalWidth="0" w:num="1">
            <w:col w:w="11400"/>
          </w:cols>
          <w:pgMar w:left="240" w:top="127" w:right="25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8606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786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2 TO WORK LETTER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CONSTRUCTION BUDGET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180"/>
        <w:spacing w:after="0"/>
        <w:rPr>
          <w:sz w:val="20"/>
          <w:szCs w:val="20"/>
          <w:color w:val="auto"/>
        </w:rPr>
      </w:pPr>
      <w:r>
        <w:rPr>
          <w:rFonts w:ascii="Arial" w:cs="Arial" w:eastAsia="Arial" w:hAnsi="Arial"/>
          <w:sz w:val="17"/>
          <w:szCs w:val="17"/>
          <w:b w:val="1"/>
          <w:bCs w:val="1"/>
          <w:color w:val="auto"/>
        </w:rPr>
        <w:t>CONFIDENTIAL</w:t>
      </w:r>
    </w:p>
    <w:p>
      <w:pPr>
        <w:sectPr>
          <w:pgSz w:w="11900" w:h="16883" w:orient="portrait"/>
          <w:cols w:equalWidth="0" w:num="1">
            <w:col w:w="11420"/>
          </w:cols>
          <w:pgMar w:left="240" w:top="1440" w:right="239"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[BNB NorCal Logo]</w:t>
      </w:r>
    </w:p>
    <w:p>
      <w:pPr>
        <w:spacing w:after="0" w:line="205" w:lineRule="exact"/>
        <w:rPr>
          <w:sz w:val="20"/>
          <w:szCs w:val="20"/>
          <w:color w:val="auto"/>
        </w:rPr>
      </w:pPr>
    </w:p>
    <w:p>
      <w:pPr>
        <w:sectPr>
          <w:pgSz w:w="11900" w:h="16883" w:orient="portrait"/>
          <w:cols w:equalWidth="0" w:num="2">
            <w:col w:w="9260" w:space="720"/>
            <w:col w:w="1440"/>
          </w:cols>
          <w:pgMar w:left="240" w:top="1440"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PROJECT: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CLIENT: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ARCH: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Veracyte - CLIA Lab Build-Out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Veracyte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DGA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BNB PROJECT NO.: TBD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January 28, 2010</w:t>
      </w:r>
    </w:p>
    <w:p>
      <w:pPr>
        <w:sectPr>
          <w:pgSz w:w="11900" w:h="16883" w:orient="portrait"/>
          <w:cols w:equalWidth="0" w:num="3">
            <w:col w:w="780" w:space="300"/>
            <w:col w:w="5540" w:space="720"/>
            <w:col w:w="4080"/>
          </w:cols>
          <w:pgMar w:left="240" w:top="1440" w:right="239" w:bottom="0" w:gutter="0" w:footer="0" w:header="0"/>
          <w:type w:val="continuous"/>
        </w:sectPr>
      </w:pPr>
    </w:p>
    <w:bookmarkStart w:id="209" w:name="page210"/>
    <w:bookmarkEnd w:id="209"/>
    <w:p>
      <w:pPr>
        <w:ind w:left="520"/>
        <w:spacing w:after="0"/>
        <w:rPr>
          <w:sz w:val="20"/>
          <w:szCs w:val="20"/>
          <w:color w:val="auto"/>
        </w:rPr>
      </w:pPr>
      <w:r>
        <w:rPr>
          <w:rFonts w:ascii="Arial" w:cs="Arial" w:eastAsia="Arial" w:hAnsi="Arial"/>
          <w:sz w:val="17"/>
          <w:szCs w:val="17"/>
          <w:color w:val="auto"/>
        </w:rPr>
        <w:t>Attached is the revised pricing for the Veracyte CLIA Lab Renovation.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revised pricing is based on the January 25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design meeting and updated Permit Set drawings dated 1.27.10</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Summary of changes:</w:t>
      </w:r>
    </w:p>
    <w:p>
      <w:pPr>
        <w:spacing w:after="0" w:line="224" w:lineRule="exact"/>
        <w:rPr>
          <w:sz w:val="20"/>
          <w:szCs w:val="20"/>
          <w:color w:val="auto"/>
        </w:rPr>
      </w:pPr>
    </w:p>
    <w:p>
      <w:pPr>
        <w:ind w:left="1080" w:right="4360"/>
        <w:spacing w:after="0" w:line="264" w:lineRule="auto"/>
        <w:rPr>
          <w:sz w:val="20"/>
          <w:szCs w:val="20"/>
          <w:color w:val="auto"/>
        </w:rPr>
      </w:pPr>
      <w:r>
        <w:rPr>
          <w:rFonts w:ascii="Arial" w:cs="Arial" w:eastAsia="Arial" w:hAnsi="Arial"/>
          <w:sz w:val="17"/>
          <w:szCs w:val="17"/>
          <w:color w:val="auto"/>
        </w:rPr>
        <w:t>Temp. protection cost have been reduced to reflect work performed by Superintendent Cost of Interior demo has been reduced</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Layout &amp; Survey, Final clean, and Caulking will be performed by Superintendant</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Insulation in new walls has been deleted</w:t>
      </w:r>
    </w:p>
    <w:p>
      <w:pPr>
        <w:spacing w:after="0" w:line="14" w:lineRule="exact"/>
        <w:rPr>
          <w:sz w:val="20"/>
          <w:szCs w:val="20"/>
          <w:color w:val="auto"/>
        </w:rPr>
      </w:pPr>
    </w:p>
    <w:p>
      <w:pPr>
        <w:ind w:left="1080" w:right="2700"/>
        <w:spacing w:after="0" w:line="257" w:lineRule="auto"/>
        <w:rPr>
          <w:sz w:val="20"/>
          <w:szCs w:val="20"/>
          <w:color w:val="auto"/>
        </w:rPr>
      </w:pPr>
      <w:r>
        <w:rPr>
          <w:rFonts w:ascii="Arial" w:cs="Arial" w:eastAsia="Arial" w:hAnsi="Arial"/>
          <w:sz w:val="17"/>
          <w:szCs w:val="17"/>
          <w:color w:val="auto"/>
        </w:rPr>
        <w:t>Ceiling, Flooring and Painting scopes were reviewed and remain the same. Painting scope was discussed with subcontractor and was bld at new walls only (corner to corner) to match existing.</w:t>
      </w:r>
    </w:p>
    <w:p>
      <w:pPr>
        <w:spacing w:after="0" w:line="1" w:lineRule="exact"/>
        <w:rPr>
          <w:sz w:val="20"/>
          <w:szCs w:val="20"/>
          <w:color w:val="auto"/>
        </w:rPr>
      </w:pPr>
    </w:p>
    <w:p>
      <w:pPr>
        <w:ind w:left="1080" w:right="3500"/>
        <w:spacing w:after="0" w:line="257" w:lineRule="auto"/>
        <w:rPr>
          <w:sz w:val="20"/>
          <w:szCs w:val="20"/>
          <w:color w:val="auto"/>
        </w:rPr>
      </w:pPr>
      <w:r>
        <w:rPr>
          <w:rFonts w:ascii="Arial" w:cs="Arial" w:eastAsia="Arial" w:hAnsi="Arial"/>
          <w:sz w:val="17"/>
          <w:szCs w:val="17"/>
          <w:color w:val="auto"/>
        </w:rPr>
        <w:t>Cost of relocating 2 fire extinguisher cabinets and 1 new cabinet will performed by superintendant Elevator protection will be performed by Superintendant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Plumbing scope was reduced with the deletion of vacuum and two sinks (In rooms 223 and 229)</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Fire Alarm quote from DFP (current building fire alarm vendor)</w:t>
      </w:r>
    </w:p>
    <w:p>
      <w:pPr>
        <w:spacing w:after="0" w:line="14" w:lineRule="exact"/>
        <w:rPr>
          <w:sz w:val="20"/>
          <w:szCs w:val="20"/>
          <w:color w:val="auto"/>
        </w:rPr>
      </w:pPr>
    </w:p>
    <w:p>
      <w:pPr>
        <w:ind w:left="1080" w:right="300"/>
        <w:spacing w:after="0" w:line="257" w:lineRule="auto"/>
        <w:rPr>
          <w:sz w:val="20"/>
          <w:szCs w:val="20"/>
          <w:color w:val="auto"/>
        </w:rPr>
      </w:pPr>
      <w:r>
        <w:rPr>
          <w:rFonts w:ascii="Arial" w:cs="Arial" w:eastAsia="Arial" w:hAnsi="Arial"/>
          <w:sz w:val="17"/>
          <w:szCs w:val="17"/>
          <w:color w:val="auto"/>
        </w:rPr>
        <w:t>Detailed backup for Project Management and Special Requirement line items has been included; Project Management was reduced by removing Principal’s time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Permit Fee Allowance has been deleted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Contingency Allowance of 2% has been added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Electrical scope added additional light fixtures and power</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 for new celling in rm 224</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Lab casework priced as used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5"/>
          </w:tcPr>
          <w:p>
            <w:pPr>
              <w:spacing w:after="0"/>
              <w:rPr>
                <w:sz w:val="20"/>
                <w:szCs w:val="20"/>
                <w:color w:val="auto"/>
              </w:rPr>
            </w:pPr>
            <w:r>
              <w:rPr>
                <w:rFonts w:ascii="Arial" w:cs="Arial" w:eastAsia="Arial" w:hAnsi="Arial"/>
                <w:sz w:val="17"/>
                <w:szCs w:val="17"/>
                <w:color w:val="auto"/>
              </w:rPr>
              <w:t>BN Builders, Inc. - Confidential</w:t>
            </w:r>
          </w:p>
        </w:tc>
        <w:tc>
          <w:tcPr>
            <w:tcW w:w="2340" w:type="dxa"/>
            <w:vAlign w:val="bottom"/>
            <w:gridSpan w:val="5"/>
          </w:tcPr>
          <w:p>
            <w:pPr>
              <w:jc w:val="center"/>
              <w:ind w:right="500"/>
              <w:spacing w:after="0"/>
              <w:rPr>
                <w:sz w:val="20"/>
                <w:szCs w:val="20"/>
                <w:color w:val="auto"/>
              </w:rPr>
            </w:pPr>
            <w:r>
              <w:rPr>
                <w:rFonts w:ascii="Arial" w:cs="Arial" w:eastAsia="Arial" w:hAnsi="Arial"/>
                <w:sz w:val="17"/>
                <w:szCs w:val="17"/>
                <w:color w:val="auto"/>
                <w:w w:val="94"/>
              </w:rPr>
              <w:t>Estimate Detail</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440" w:type="dxa"/>
            <w:vAlign w:val="bottom"/>
            <w:tcBorders>
              <w:bottom w:val="single" w:sz="8" w:color="010101"/>
            </w:tcBorders>
            <w:gridSpan w:val="2"/>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5"/>
          </w:tcPr>
          <w:p>
            <w:pPr>
              <w:spacing w:after="0"/>
              <w:rPr>
                <w:sz w:val="20"/>
                <w:szCs w:val="20"/>
                <w:color w:val="auto"/>
              </w:rPr>
            </w:pPr>
            <w:r>
              <w:rPr>
                <w:rFonts w:ascii="Arial" w:cs="Arial" w:eastAsia="Arial" w:hAnsi="Arial"/>
                <w:sz w:val="17"/>
                <w:szCs w:val="17"/>
                <w:color w:val="auto"/>
              </w:rPr>
              <w:t>FINAL PRICING - OPTION F</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PROJECT:</w:t>
            </w:r>
          </w:p>
        </w:tc>
        <w:tc>
          <w:tcPr>
            <w:tcW w:w="120" w:type="dxa"/>
            <w:vAlign w:val="bottom"/>
          </w:tcPr>
          <w:p>
            <w:pPr>
              <w:spacing w:after="0"/>
              <w:rPr>
                <w:sz w:val="24"/>
                <w:szCs w:val="24"/>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LOCATION:</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ARCHITECT:</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OWNER:</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DATE:</w:t>
            </w:r>
          </w:p>
        </w:tc>
        <w:tc>
          <w:tcPr>
            <w:tcW w:w="120" w:type="dxa"/>
            <w:vAlign w:val="bottom"/>
          </w:tcPr>
          <w:p>
            <w:pPr>
              <w:spacing w:after="0"/>
              <w:rPr>
                <w:sz w:val="19"/>
                <w:szCs w:val="19"/>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January 28, 2010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20" w:type="dxa"/>
            <w:vAlign w:val="bottom"/>
          </w:tcPr>
          <w:p>
            <w:pPr>
              <w:spacing w:after="0"/>
              <w:rPr>
                <w:sz w:val="20"/>
                <w:szCs w:val="20"/>
                <w:color w:val="auto"/>
              </w:rPr>
            </w:pPr>
            <w:r>
              <w:rPr>
                <w:rFonts w:ascii="Arial" w:cs="Arial" w:eastAsia="Arial" w:hAnsi="Arial"/>
                <w:sz w:val="14"/>
                <w:szCs w:val="14"/>
                <w:b w:val="1"/>
                <w:bCs w:val="1"/>
                <w:color w:val="auto"/>
              </w:rPr>
              <w:t>Sys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System Description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77"/>
              </w:rPr>
              <w:t>Costs</w:t>
            </w:r>
          </w:p>
        </w:tc>
        <w:tc>
          <w:tcPr>
            <w:tcW w:w="280" w:type="dxa"/>
            <w:vAlign w:val="bottom"/>
          </w:tcPr>
          <w:p>
            <w:pPr>
              <w:spacing w:after="0"/>
              <w:rPr>
                <w:sz w:val="24"/>
                <w:szCs w:val="24"/>
                <w:color w:val="auto"/>
              </w:rPr>
            </w:pPr>
          </w:p>
        </w:tc>
        <w:tc>
          <w:tcPr>
            <w:tcW w:w="9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0"/>
              </w:rPr>
              <w:t>Cost/SF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 AREA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3,300 sf</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Sitework</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Foundations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Substructure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Superstructure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0.12</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Exterior Skin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1.52</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6.000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Roofing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7.000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Interior Construction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50,086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15.18</w:t>
            </w:r>
          </w:p>
        </w:tc>
        <w:tc>
          <w:tcPr>
            <w:tcW w:w="80" w:type="dxa"/>
            <w:vAlign w:val="bottom"/>
          </w:tcPr>
          <w:p>
            <w:pPr>
              <w:spacing w:after="0"/>
              <w:rPr>
                <w:sz w:val="18"/>
                <w:szCs w:val="18"/>
                <w:color w:val="auto"/>
              </w:rPr>
            </w:pP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Special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25,915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7.85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Conveying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Fire Protection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4,800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1.45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11.000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Plumbing &amp; Process Piping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27,230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8.25</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12.000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HVAC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40,550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13.000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Electrical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39,390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11.94</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14.000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Project Management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40,560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Special Requirements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10,083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3.06</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360" w:type="dxa"/>
            <w:vAlign w:val="bottom"/>
            <w:gridSpan w:val="3"/>
            <w:vMerge w:val="restart"/>
            <w:shd w:val="clear" w:color="auto" w:fill="CCEEFF"/>
          </w:tcPr>
          <w:p>
            <w:pPr>
              <w:spacing w:after="0"/>
              <w:rPr>
                <w:sz w:val="20"/>
                <w:szCs w:val="20"/>
                <w:color w:val="auto"/>
              </w:rPr>
            </w:pPr>
            <w:r>
              <w:rPr>
                <w:rFonts w:ascii="Arial" w:cs="Arial" w:eastAsia="Arial" w:hAnsi="Arial"/>
                <w:sz w:val="17"/>
                <w:szCs w:val="17"/>
                <w:color w:val="auto"/>
              </w:rPr>
              <w:t>SUBTOTAL</w:t>
            </w: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360" w:type="dxa"/>
            <w:vAlign w:val="bottom"/>
            <w:gridSpan w:val="3"/>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244,014</w:t>
            </w:r>
          </w:p>
        </w:tc>
        <w:tc>
          <w:tcPr>
            <w:tcW w:w="2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73.94</w:t>
            </w: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Liability Insurance &amp; Fee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14,641</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4.44</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i w:val="1"/>
                <w:iCs w:val="1"/>
                <w:color w:val="auto"/>
              </w:rPr>
              <w:t>Contingency (2%)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5,173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1.57</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Preconstruction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0.78</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 CONSTRUCTION COSTS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266,328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80.71</w:t>
            </w:r>
          </w:p>
        </w:tc>
        <w:tc>
          <w:tcPr>
            <w:tcW w:w="8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80" w:type="dxa"/>
            <w:vAlign w:val="bottom"/>
            <w:tcBorders>
              <w:bottom w:val="single" w:sz="8" w:color="010101"/>
            </w:tcBorders>
            <w:gridSpan w:val="3"/>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5"/>
          </w:tcPr>
          <w:p>
            <w:pPr>
              <w:spacing w:after="0"/>
              <w:rPr>
                <w:sz w:val="20"/>
                <w:szCs w:val="20"/>
                <w:color w:val="auto"/>
              </w:rPr>
            </w:pPr>
            <w:r>
              <w:rPr>
                <w:rFonts w:ascii="Arial" w:cs="Arial" w:eastAsia="Arial" w:hAnsi="Arial"/>
                <w:sz w:val="17"/>
                <w:szCs w:val="17"/>
                <w:color w:val="auto"/>
              </w:rPr>
              <w:t>ESTIMATE BACK-UP</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PROJECT:</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CITY:</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CLIENT:</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10"/>
          </w:tcPr>
          <w:p>
            <w:pPr>
              <w:ind w:left="20"/>
              <w:spacing w:after="0"/>
              <w:rPr>
                <w:sz w:val="20"/>
                <w:szCs w:val="20"/>
                <w:color w:val="auto"/>
              </w:rPr>
            </w:pPr>
            <w:r>
              <w:rPr>
                <w:rFonts w:ascii="Arial" w:cs="Arial" w:eastAsia="Arial" w:hAnsi="Arial"/>
                <w:sz w:val="17"/>
                <w:szCs w:val="17"/>
                <w:color w:val="auto"/>
              </w:rPr>
              <w:t>BNB PROJECT NO.: TBD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ARCH:</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gridSpan w:val="14"/>
          </w:tcPr>
          <w:p>
            <w:pPr>
              <w:jc w:val="center"/>
              <w:ind w:right="1060"/>
              <w:spacing w:after="0"/>
              <w:rPr>
                <w:sz w:val="20"/>
                <w:szCs w:val="20"/>
                <w:color w:val="auto"/>
              </w:rPr>
            </w:pPr>
            <w:r>
              <w:rPr>
                <w:rFonts w:ascii="Arial" w:cs="Arial" w:eastAsia="Arial" w:hAnsi="Arial"/>
                <w:sz w:val="17"/>
                <w:szCs w:val="17"/>
                <w:color w:val="auto"/>
                <w:w w:val="96"/>
              </w:rPr>
              <w:t>DATE: January 28, 2010</w:t>
            </w:r>
          </w:p>
        </w:tc>
        <w:tc>
          <w:tcPr>
            <w:tcW w:w="0" w:type="dxa"/>
            <w:vAlign w:val="bottom"/>
          </w:tcPr>
          <w:p>
            <w:pPr>
              <w:spacing w:after="0"/>
              <w:rPr>
                <w:sz w:val="1"/>
                <w:szCs w:val="1"/>
                <w:color w:val="auto"/>
              </w:rPr>
            </w:pPr>
          </w:p>
        </w:tc>
      </w:tr>
      <w:tr>
        <w:trPr>
          <w:trHeight w:val="354"/>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System No.</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Qty.</w:t>
            </w:r>
          </w:p>
        </w:tc>
        <w:tc>
          <w:tcPr>
            <w:tcW w:w="160" w:type="dxa"/>
            <w:vAlign w:val="bottom"/>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5"/>
              </w:rPr>
              <w:t>Unit</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 Cost</w:t>
            </w: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Comments</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-6602730</wp:posOffset>
            </wp:positionV>
            <wp:extent cx="12700"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-6602730</wp:posOffset>
            </wp:positionV>
            <wp:extent cx="12700"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-1408430</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-1408430</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10" w:name="page211"/>
    <w:bookmarkEnd w:id="210"/>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SITEWORK</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tcBorders>
              <w:right w:val="single" w:sz="8" w:color="CCEEFF"/>
            </w:tcBorders>
            <w:gridSpan w:val="3"/>
            <w:shd w:val="clear" w:color="auto" w:fill="CCEEFF"/>
          </w:tcPr>
          <w:p>
            <w:pPr>
              <w:ind w:left="1680"/>
              <w:spacing w:after="0" w:line="171" w:lineRule="exact"/>
              <w:rPr>
                <w:sz w:val="20"/>
                <w:szCs w:val="20"/>
                <w:color w:val="auto"/>
              </w:rPr>
            </w:pPr>
            <w:r>
              <w:rPr>
                <w:rFonts w:ascii="Arial" w:cs="Arial" w:eastAsia="Arial" w:hAnsi="Arial"/>
                <w:sz w:val="17"/>
                <w:szCs w:val="17"/>
                <w:color w:val="auto"/>
              </w:rPr>
              <w:t>0.010</w:t>
            </w:r>
          </w:p>
        </w:tc>
        <w:tc>
          <w:tcPr>
            <w:tcW w:w="29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Sitework</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70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None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7"/>
                <w:szCs w:val="17"/>
                <w:color w:val="auto"/>
                <w:w w:val="90"/>
              </w:rPr>
              <w:t>Is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9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13"/>
            <w:vMerge w:val="restart"/>
          </w:tcPr>
          <w:p>
            <w:pPr>
              <w:spacing w:after="0"/>
              <w:rPr>
                <w:sz w:val="20"/>
                <w:szCs w:val="20"/>
                <w:color w:val="auto"/>
              </w:rPr>
            </w:pPr>
            <w:r>
              <w:rPr>
                <w:rFonts w:ascii="Arial" w:cs="Arial" w:eastAsia="Arial" w:hAnsi="Arial"/>
                <w:sz w:val="17"/>
                <w:szCs w:val="17"/>
                <w:color w:val="auto"/>
              </w:rPr>
              <w:t>SUBTOTAL SITEWORK</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80" w:type="dxa"/>
            <w:vAlign w:val="bottom"/>
            <w:gridSpan w:val="13"/>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spacing w:after="0" w:line="171" w:lineRule="exact"/>
              <w:rPr>
                <w:sz w:val="20"/>
                <w:szCs w:val="20"/>
                <w:color w:val="auto"/>
              </w:rPr>
            </w:pPr>
            <w:r>
              <w:rPr>
                <w:rFonts w:ascii="Arial" w:cs="Arial" w:eastAsia="Arial" w:hAnsi="Arial"/>
                <w:sz w:val="17"/>
                <w:szCs w:val="17"/>
                <w:color w:val="auto"/>
              </w:rPr>
              <w:t>2.000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FOUNDATIONS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gridSpan w:val="3"/>
          </w:tcPr>
          <w:p>
            <w:pPr>
              <w:ind w:left="1680"/>
              <w:spacing w:after="0" w:line="171" w:lineRule="exact"/>
              <w:rPr>
                <w:sz w:val="20"/>
                <w:szCs w:val="20"/>
                <w:color w:val="auto"/>
              </w:rPr>
            </w:pPr>
            <w:r>
              <w:rPr>
                <w:rFonts w:ascii="Arial" w:cs="Arial" w:eastAsia="Arial" w:hAnsi="Arial"/>
                <w:sz w:val="17"/>
                <w:szCs w:val="17"/>
                <w:color w:val="auto"/>
              </w:rPr>
              <w:t>0.010</w:t>
            </w: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Foundations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60"/>
              <w:spacing w:after="0"/>
              <w:rPr>
                <w:sz w:val="20"/>
                <w:szCs w:val="20"/>
                <w:color w:val="auto"/>
              </w:rPr>
            </w:pPr>
            <w:r>
              <w:rPr>
                <w:rFonts w:ascii="Arial" w:cs="Arial" w:eastAsia="Arial" w:hAnsi="Arial"/>
                <w:sz w:val="17"/>
                <w:szCs w:val="17"/>
                <w:color w:val="auto"/>
                <w:w w:val="90"/>
              </w:rPr>
              <w:t>Is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98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auto"/>
              </w:rPr>
              <w:t>SUBTOTAL FOUNDATIONS</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3.000</w:t>
            </w: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9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SUBSTRUCTURE</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tcBorders>
              <w:right w:val="single" w:sz="8" w:color="CCEEFF"/>
            </w:tcBorders>
            <w:gridSpan w:val="3"/>
            <w:shd w:val="clear" w:color="auto" w:fill="CCEEFF"/>
          </w:tcPr>
          <w:p>
            <w:pPr>
              <w:ind w:left="1680"/>
              <w:spacing w:after="0" w:line="171" w:lineRule="exact"/>
              <w:rPr>
                <w:sz w:val="20"/>
                <w:szCs w:val="20"/>
                <w:color w:val="auto"/>
              </w:rPr>
            </w:pPr>
            <w:r>
              <w:rPr>
                <w:rFonts w:ascii="Arial" w:cs="Arial" w:eastAsia="Arial" w:hAnsi="Arial"/>
                <w:sz w:val="17"/>
                <w:szCs w:val="17"/>
                <w:color w:val="auto"/>
              </w:rPr>
              <w:t>3.010</w:t>
            </w:r>
          </w:p>
        </w:tc>
        <w:tc>
          <w:tcPr>
            <w:tcW w:w="29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Laout &amp; Survey</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right w:val="single" w:sz="8" w:color="auto"/>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None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7"/>
                <w:szCs w:val="17"/>
                <w:color w:val="auto"/>
                <w:w w:val="94"/>
              </w:rPr>
              <w:t>sqft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9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13"/>
            <w:vMerge w:val="restart"/>
          </w:tcPr>
          <w:p>
            <w:pPr>
              <w:spacing w:after="0"/>
              <w:rPr>
                <w:sz w:val="20"/>
                <w:szCs w:val="20"/>
                <w:color w:val="auto"/>
              </w:rPr>
            </w:pPr>
            <w:r>
              <w:rPr>
                <w:rFonts w:ascii="Arial" w:cs="Arial" w:eastAsia="Arial" w:hAnsi="Arial"/>
                <w:sz w:val="17"/>
                <w:szCs w:val="17"/>
                <w:color w:val="auto"/>
              </w:rPr>
              <w:t>SUBTOTAL SUBSTRUCTURE</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80" w:type="dxa"/>
            <w:vAlign w:val="bottom"/>
            <w:gridSpan w:val="13"/>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spacing w:after="0" w:line="171" w:lineRule="exact"/>
              <w:rPr>
                <w:sz w:val="20"/>
                <w:szCs w:val="20"/>
                <w:color w:val="auto"/>
              </w:rPr>
            </w:pPr>
            <w:r>
              <w:rPr>
                <w:rFonts w:ascii="Arial" w:cs="Arial" w:eastAsia="Arial" w:hAnsi="Arial"/>
                <w:sz w:val="17"/>
                <w:szCs w:val="17"/>
                <w:color w:val="auto"/>
              </w:rPr>
              <w:t>4.000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SUPERSTRUCTURE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gridSpan w:val="3"/>
          </w:tcPr>
          <w:p>
            <w:pPr>
              <w:ind w:left="1680"/>
              <w:spacing w:after="0" w:line="171" w:lineRule="exact"/>
              <w:rPr>
                <w:sz w:val="20"/>
                <w:szCs w:val="20"/>
                <w:color w:val="auto"/>
              </w:rPr>
            </w:pPr>
            <w:r>
              <w:rPr>
                <w:rFonts w:ascii="Arial" w:cs="Arial" w:eastAsia="Arial" w:hAnsi="Arial"/>
                <w:sz w:val="17"/>
                <w:szCs w:val="17"/>
                <w:color w:val="auto"/>
              </w:rPr>
              <w:t>4.010</w:t>
            </w: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Layout &amp; Survey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80"/>
              <w:spacing w:after="0"/>
              <w:rPr>
                <w:sz w:val="20"/>
                <w:szCs w:val="20"/>
                <w:color w:val="auto"/>
              </w:rPr>
            </w:pPr>
            <w:r>
              <w:rPr>
                <w:rFonts w:ascii="Arial" w:cs="Arial" w:eastAsia="Arial" w:hAnsi="Arial"/>
                <w:sz w:val="17"/>
                <w:szCs w:val="17"/>
                <w:color w:val="auto"/>
                <w:w w:val="94"/>
              </w:rPr>
              <w:t>sqft</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20" w:type="dxa"/>
            <w:vAlign w:val="bottom"/>
            <w:gridSpan w:val="16"/>
          </w:tcPr>
          <w:p>
            <w:pPr>
              <w:ind w:left="1680"/>
              <w:spacing w:after="0" w:line="171" w:lineRule="exact"/>
              <w:rPr>
                <w:sz w:val="20"/>
                <w:szCs w:val="20"/>
                <w:color w:val="auto"/>
              </w:rPr>
            </w:pPr>
            <w:r>
              <w:rPr>
                <w:rFonts w:ascii="Arial" w:cs="Arial" w:eastAsia="Arial" w:hAnsi="Arial"/>
                <w:sz w:val="17"/>
                <w:szCs w:val="17"/>
                <w:color w:val="auto"/>
              </w:rPr>
              <w:t>4.060  Metal Deck Concrete Fill</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60"/>
              <w:spacing w:after="0"/>
              <w:rPr>
                <w:sz w:val="20"/>
                <w:szCs w:val="20"/>
                <w:color w:val="auto"/>
              </w:rPr>
            </w:pPr>
            <w:r>
              <w:rPr>
                <w:rFonts w:ascii="Arial" w:cs="Arial" w:eastAsia="Arial" w:hAnsi="Arial"/>
                <w:sz w:val="17"/>
                <w:szCs w:val="17"/>
                <w:color w:val="auto"/>
                <w:w w:val="90"/>
              </w:rPr>
              <w:t>Is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gridSpan w:val="3"/>
          </w:tcPr>
          <w:p>
            <w:pPr>
              <w:ind w:left="1680"/>
              <w:spacing w:after="0" w:line="171" w:lineRule="exact"/>
              <w:rPr>
                <w:sz w:val="20"/>
                <w:szCs w:val="20"/>
                <w:color w:val="auto"/>
              </w:rPr>
            </w:pPr>
            <w:r>
              <w:rPr>
                <w:rFonts w:ascii="Arial" w:cs="Arial" w:eastAsia="Arial" w:hAnsi="Arial"/>
                <w:sz w:val="17"/>
                <w:szCs w:val="17"/>
                <w:color w:val="auto"/>
              </w:rPr>
              <w:t>4.200</w:t>
            </w: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Rough Carpentry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See Interiors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60"/>
              <w:spacing w:after="0"/>
              <w:rPr>
                <w:sz w:val="20"/>
                <w:szCs w:val="20"/>
                <w:color w:val="auto"/>
              </w:rPr>
            </w:pPr>
            <w:r>
              <w:rPr>
                <w:rFonts w:ascii="Arial" w:cs="Arial" w:eastAsia="Arial" w:hAnsi="Arial"/>
                <w:sz w:val="17"/>
                <w:szCs w:val="17"/>
                <w:color w:val="auto"/>
                <w:w w:val="90"/>
              </w:rPr>
              <w:t>Is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gridSpan w:val="3"/>
          </w:tcPr>
          <w:p>
            <w:pPr>
              <w:ind w:left="1680"/>
              <w:spacing w:after="0" w:line="171" w:lineRule="exact"/>
              <w:rPr>
                <w:sz w:val="20"/>
                <w:szCs w:val="20"/>
                <w:color w:val="auto"/>
              </w:rPr>
            </w:pPr>
            <w:r>
              <w:rPr>
                <w:rFonts w:ascii="Arial" w:cs="Arial" w:eastAsia="Arial" w:hAnsi="Arial"/>
                <w:sz w:val="17"/>
                <w:szCs w:val="17"/>
                <w:color w:val="auto"/>
              </w:rPr>
              <w:t>4.250</w:t>
            </w: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Fireproofing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Fireproof - Patching</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214"/>
              <w:spacing w:after="0"/>
              <w:rPr>
                <w:sz w:val="20"/>
                <w:szCs w:val="20"/>
                <w:color w:val="auto"/>
              </w:rPr>
            </w:pPr>
            <w:r>
              <w:rPr>
                <w:rFonts w:ascii="Arial" w:cs="Arial" w:eastAsia="Arial" w:hAnsi="Arial"/>
                <w:sz w:val="17"/>
                <w:szCs w:val="17"/>
                <w:color w:val="auto"/>
                <w:w w:val="92"/>
              </w:rPr>
              <w:t>0.5</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80"/>
              <w:spacing w:after="0"/>
              <w:rPr>
                <w:sz w:val="20"/>
                <w:szCs w:val="20"/>
                <w:color w:val="auto"/>
              </w:rPr>
            </w:pPr>
            <w:r>
              <w:rPr>
                <w:rFonts w:ascii="Arial" w:cs="Arial" w:eastAsia="Arial" w:hAnsi="Arial"/>
                <w:sz w:val="17"/>
                <w:szCs w:val="17"/>
                <w:color w:val="auto"/>
                <w:w w:val="92"/>
              </w:rPr>
              <w:t>md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400.00 Allowance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400</w:t>
            </w: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98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auto"/>
              </w:rPr>
              <w:t>SUBTOTAL SUPERSTRUCTURE</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400</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9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EXTERIOR SKIN</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tcBorders>
              <w:right w:val="single" w:sz="8" w:color="CCEEFF"/>
            </w:tcBorders>
            <w:gridSpan w:val="3"/>
            <w:shd w:val="clear" w:color="auto" w:fill="CCEEFF"/>
          </w:tcPr>
          <w:p>
            <w:pPr>
              <w:ind w:left="1680"/>
              <w:spacing w:after="0" w:line="171" w:lineRule="exact"/>
              <w:rPr>
                <w:sz w:val="20"/>
                <w:szCs w:val="20"/>
                <w:color w:val="auto"/>
              </w:rPr>
            </w:pPr>
            <w:r>
              <w:rPr>
                <w:rFonts w:ascii="Arial" w:cs="Arial" w:eastAsia="Arial" w:hAnsi="Arial"/>
                <w:sz w:val="17"/>
                <w:szCs w:val="17"/>
                <w:color w:val="auto"/>
              </w:rPr>
              <w:t>5.290</w:t>
            </w:r>
          </w:p>
        </w:tc>
        <w:tc>
          <w:tcPr>
            <w:tcW w:w="29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Exterior Skin</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right w:val="single" w:sz="8" w:color="auto"/>
            </w:tcBorders>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Remove Window for Fume Hoods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7"/>
                <w:szCs w:val="17"/>
                <w:color w:val="auto"/>
                <w:w w:val="90"/>
              </w:rPr>
              <w:t>Is</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3"/>
          </w:tcPr>
          <w:p>
            <w:pPr>
              <w:jc w:val="right"/>
              <w:ind w:right="380"/>
              <w:spacing w:after="0"/>
              <w:rPr>
                <w:sz w:val="20"/>
                <w:szCs w:val="20"/>
                <w:color w:val="auto"/>
              </w:rPr>
            </w:pPr>
            <w:r>
              <w:rPr>
                <w:rFonts w:ascii="Arial" w:cs="Arial" w:eastAsia="Arial" w:hAnsi="Arial"/>
                <w:sz w:val="17"/>
                <w:szCs w:val="17"/>
                <w:color w:val="auto"/>
              </w:rPr>
              <w:t>5,000 Allowance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9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13"/>
            <w:vMerge w:val="restart"/>
          </w:tcPr>
          <w:p>
            <w:pPr>
              <w:spacing w:after="0"/>
              <w:rPr>
                <w:sz w:val="20"/>
                <w:szCs w:val="20"/>
                <w:color w:val="auto"/>
              </w:rPr>
            </w:pPr>
            <w:r>
              <w:rPr>
                <w:rFonts w:ascii="Arial" w:cs="Arial" w:eastAsia="Arial" w:hAnsi="Arial"/>
                <w:sz w:val="17"/>
                <w:szCs w:val="17"/>
                <w:color w:val="auto"/>
              </w:rPr>
              <w:t>SUBTOTAL EXTERIOR SKIN</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80" w:type="dxa"/>
            <w:vAlign w:val="bottom"/>
            <w:gridSpan w:val="13"/>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5,000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spacing w:after="0" w:line="171" w:lineRule="exact"/>
              <w:rPr>
                <w:sz w:val="20"/>
                <w:szCs w:val="20"/>
                <w:color w:val="auto"/>
              </w:rPr>
            </w:pPr>
            <w:r>
              <w:rPr>
                <w:rFonts w:ascii="Arial" w:cs="Arial" w:eastAsia="Arial" w:hAnsi="Arial"/>
                <w:sz w:val="17"/>
                <w:szCs w:val="17"/>
                <w:color w:val="auto"/>
              </w:rPr>
              <w:t>6.000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ROOFING SYSTEMS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gridSpan w:val="3"/>
          </w:tcPr>
          <w:p>
            <w:pPr>
              <w:ind w:left="1680"/>
              <w:spacing w:after="0" w:line="171" w:lineRule="exact"/>
              <w:rPr>
                <w:sz w:val="20"/>
                <w:szCs w:val="20"/>
                <w:color w:val="auto"/>
              </w:rPr>
            </w:pPr>
            <w:r>
              <w:rPr>
                <w:rFonts w:ascii="Arial" w:cs="Arial" w:eastAsia="Arial" w:hAnsi="Arial"/>
                <w:sz w:val="17"/>
                <w:szCs w:val="17"/>
                <w:color w:val="auto"/>
              </w:rPr>
              <w:t>6.020</w:t>
            </w:r>
          </w:p>
        </w:tc>
        <w:tc>
          <w:tcPr>
            <w:tcW w:w="2980" w:type="dxa"/>
            <w:vAlign w:val="bottom"/>
            <w:gridSpan w:val="13"/>
          </w:tcPr>
          <w:p>
            <w:pPr>
              <w:spacing w:after="0" w:line="171" w:lineRule="exact"/>
              <w:rPr>
                <w:sz w:val="20"/>
                <w:szCs w:val="20"/>
                <w:color w:val="auto"/>
              </w:rPr>
            </w:pPr>
            <w:r>
              <w:rPr>
                <w:rFonts w:ascii="Arial" w:cs="Arial" w:eastAsia="Arial" w:hAnsi="Arial"/>
                <w:sz w:val="17"/>
                <w:szCs w:val="17"/>
                <w:color w:val="auto"/>
              </w:rPr>
              <w:t>Insulation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9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460"/>
              <w:spacing w:after="0"/>
              <w:rPr>
                <w:sz w:val="20"/>
                <w:szCs w:val="20"/>
                <w:color w:val="auto"/>
              </w:rPr>
            </w:pPr>
            <w:r>
              <w:rPr>
                <w:rFonts w:ascii="Arial" w:cs="Arial" w:eastAsia="Arial" w:hAnsi="Arial"/>
                <w:sz w:val="17"/>
                <w:szCs w:val="17"/>
                <w:color w:val="auto"/>
                <w:w w:val="90"/>
              </w:rPr>
              <w:t>Is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15"/>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System No.</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11"/>
          </w:tcPr>
          <w:p>
            <w:pPr>
              <w:ind w:left="4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 Cost</w:t>
            </w: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2020" w:type="dxa"/>
            <w:vAlign w:val="bottom"/>
            <w:gridSpan w:val="3"/>
          </w:tcPr>
          <w:p>
            <w:pPr>
              <w:ind w:left="6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gridSpan w:val="16"/>
            <w:shd w:val="clear" w:color="auto" w:fill="CCEEFF"/>
          </w:tcPr>
          <w:p>
            <w:pPr>
              <w:ind w:left="1300"/>
              <w:spacing w:after="0" w:line="171" w:lineRule="exact"/>
              <w:rPr>
                <w:sz w:val="20"/>
                <w:szCs w:val="20"/>
                <w:color w:val="auto"/>
              </w:rPr>
            </w:pPr>
            <w:r>
              <w:rPr>
                <w:rFonts w:ascii="Arial" w:cs="Arial" w:eastAsia="Arial" w:hAnsi="Arial"/>
                <w:sz w:val="17"/>
                <w:szCs w:val="17"/>
                <w:color w:val="auto"/>
              </w:rPr>
              <w:t>6.060  Built-up Roofing</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3"/>
              </w:rPr>
              <w:t>None</w:t>
            </w: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rPr>
              <w:t>0</w:t>
            </w: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7"/>
                <w:szCs w:val="17"/>
                <w:color w:val="auto"/>
              </w:rPr>
              <w:t>0.00</w:t>
            </w:r>
          </w:p>
        </w:tc>
        <w:tc>
          <w:tcPr>
            <w:tcW w:w="92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7"/>
                <w:szCs w:val="17"/>
                <w:color w:val="auto"/>
              </w:rPr>
              <w:t>0</w:t>
            </w: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14"/>
            <w:vMerge w:val="restart"/>
          </w:tcPr>
          <w:p>
            <w:pPr>
              <w:spacing w:after="0"/>
              <w:rPr>
                <w:sz w:val="20"/>
                <w:szCs w:val="20"/>
                <w:color w:val="auto"/>
              </w:rPr>
            </w:pPr>
            <w:r>
              <w:rPr>
                <w:rFonts w:ascii="Arial" w:cs="Arial" w:eastAsia="Arial" w:hAnsi="Arial"/>
                <w:sz w:val="17"/>
                <w:szCs w:val="17"/>
                <w:color w:val="auto"/>
              </w:rPr>
              <w:t>SUBTOTAL ROOFING SYSTEMS</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14"/>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shd w:val="clear" w:color="auto" w:fill="CCEEFF"/>
          </w:tcPr>
          <w:p>
            <w:pPr>
              <w:ind w:left="1300"/>
              <w:spacing w:after="0" w:line="171" w:lineRule="exact"/>
              <w:rPr>
                <w:sz w:val="20"/>
                <w:szCs w:val="20"/>
                <w:color w:val="auto"/>
              </w:rPr>
            </w:pPr>
            <w:r>
              <w:rPr>
                <w:rFonts w:ascii="Arial" w:cs="Arial" w:eastAsia="Arial" w:hAnsi="Arial"/>
                <w:sz w:val="17"/>
                <w:szCs w:val="17"/>
                <w:color w:val="auto"/>
                <w:w w:val="89"/>
              </w:rPr>
              <w:t>7.000</w:t>
            </w:r>
          </w:p>
        </w:tc>
        <w:tc>
          <w:tcPr>
            <w:tcW w:w="120" w:type="dxa"/>
            <w:vAlign w:val="bottom"/>
            <w:shd w:val="clear" w:color="auto" w:fill="CCEEFF"/>
          </w:tcPr>
          <w:p>
            <w:pPr>
              <w:spacing w:after="0"/>
              <w:rPr>
                <w:sz w:val="16"/>
                <w:szCs w:val="16"/>
                <w:color w:val="auto"/>
              </w:rPr>
            </w:pPr>
          </w:p>
        </w:tc>
        <w:tc>
          <w:tcPr>
            <w:tcW w:w="340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INTERIOR CONSTRUCTION</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ind w:left="1300"/>
              <w:spacing w:after="0" w:line="171" w:lineRule="exact"/>
              <w:rPr>
                <w:sz w:val="20"/>
                <w:szCs w:val="20"/>
                <w:color w:val="auto"/>
              </w:rPr>
            </w:pPr>
            <w:r>
              <w:rPr>
                <w:rFonts w:ascii="Arial" w:cs="Arial" w:eastAsia="Arial" w:hAnsi="Arial"/>
                <w:sz w:val="17"/>
                <w:szCs w:val="17"/>
                <w:color w:val="auto"/>
                <w:w w:val="89"/>
              </w:rPr>
              <w:t>7.005</w:t>
            </w:r>
          </w:p>
        </w:tc>
        <w:tc>
          <w:tcPr>
            <w:tcW w:w="120" w:type="dxa"/>
            <w:vAlign w:val="bottom"/>
            <w:shd w:val="clear" w:color="auto" w:fill="CCEEFF"/>
          </w:tcPr>
          <w:p>
            <w:pPr>
              <w:spacing w:after="0"/>
              <w:rPr>
                <w:sz w:val="14"/>
                <w:szCs w:val="14"/>
                <w:color w:val="auto"/>
              </w:rPr>
            </w:pPr>
          </w:p>
        </w:tc>
        <w:tc>
          <w:tcPr>
            <w:tcW w:w="340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Temp. Protection</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tcBorders>
              <w:right w:val="single" w:sz="8" w:color="auto"/>
            </w:tcBorders>
            <w:shd w:val="clear" w:color="auto" w:fill="000000"/>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4"/>
          </w:tcPr>
          <w:p>
            <w:pPr>
              <w:spacing w:after="0"/>
              <w:rPr>
                <w:sz w:val="20"/>
                <w:szCs w:val="20"/>
                <w:color w:val="auto"/>
              </w:rPr>
            </w:pPr>
            <w:r>
              <w:rPr>
                <w:rFonts w:ascii="Arial" w:cs="Arial" w:eastAsia="Arial" w:hAnsi="Arial"/>
                <w:sz w:val="17"/>
                <w:szCs w:val="17"/>
                <w:color w:val="auto"/>
              </w:rPr>
              <w:t>Temp Protection - Initial Set-up</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1,860.00</w:t>
            </w: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1,860</w:t>
            </w:r>
          </w:p>
        </w:tc>
        <w:tc>
          <w:tcPr>
            <w:tcW w:w="8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Arial" w:cs="Arial" w:eastAsia="Arial" w:hAnsi="Arial"/>
                <w:sz w:val="17"/>
                <w:szCs w:val="17"/>
                <w:color w:val="auto"/>
              </w:rPr>
              <w:t>2MD + $500Mtl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Temp. Protection - Weekly Maintenance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wk</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ind w:left="1300"/>
              <w:spacing w:after="0" w:line="171" w:lineRule="exact"/>
              <w:rPr>
                <w:sz w:val="20"/>
                <w:szCs w:val="20"/>
                <w:color w:val="auto"/>
              </w:rPr>
            </w:pPr>
            <w:r>
              <w:rPr>
                <w:rFonts w:ascii="Arial" w:cs="Arial" w:eastAsia="Arial" w:hAnsi="Arial"/>
                <w:sz w:val="17"/>
                <w:szCs w:val="17"/>
                <w:color w:val="auto"/>
                <w:w w:val="89"/>
              </w:rPr>
              <w:t>7.010</w:t>
            </w:r>
          </w:p>
        </w:tc>
        <w:tc>
          <w:tcPr>
            <w:tcW w:w="120" w:type="dxa"/>
            <w:vAlign w:val="bottom"/>
          </w:tcPr>
          <w:p>
            <w:pPr>
              <w:spacing w:after="0"/>
              <w:rPr>
                <w:sz w:val="14"/>
                <w:szCs w:val="14"/>
                <w:color w:val="auto"/>
              </w:rPr>
            </w:pPr>
          </w:p>
        </w:tc>
        <w:tc>
          <w:tcPr>
            <w:tcW w:w="3400" w:type="dxa"/>
            <w:vAlign w:val="bottom"/>
            <w:gridSpan w:val="14"/>
          </w:tcPr>
          <w:p>
            <w:pPr>
              <w:spacing w:after="0" w:line="171" w:lineRule="exact"/>
              <w:rPr>
                <w:sz w:val="20"/>
                <w:szCs w:val="20"/>
                <w:color w:val="auto"/>
              </w:rPr>
            </w:pPr>
            <w:r>
              <w:rPr>
                <w:rFonts w:ascii="Arial" w:cs="Arial" w:eastAsia="Arial" w:hAnsi="Arial"/>
                <w:sz w:val="17"/>
                <w:szCs w:val="17"/>
                <w:color w:val="auto"/>
              </w:rPr>
              <w:t>Interior Demolition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Demo &amp; Remove Lab Casework &amp; Hooc</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4,580.00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4,580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4"/>
          </w:tcPr>
          <w:p>
            <w:pPr>
              <w:spacing w:after="0"/>
              <w:rPr>
                <w:sz w:val="20"/>
                <w:szCs w:val="20"/>
                <w:color w:val="auto"/>
              </w:rPr>
            </w:pPr>
            <w:r>
              <w:rPr>
                <w:rFonts w:ascii="Arial" w:cs="Arial" w:eastAsia="Arial" w:hAnsi="Arial"/>
                <w:sz w:val="17"/>
                <w:szCs w:val="17"/>
                <w:color w:val="auto"/>
              </w:rPr>
              <w:t>Selective Demo Interiors</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6,100.00</w:t>
            </w:r>
          </w:p>
        </w:tc>
        <w:tc>
          <w:tcPr>
            <w:tcW w:w="3020" w:type="dxa"/>
            <w:vAlign w:val="bottom"/>
            <w:gridSpan w:val="7"/>
          </w:tcPr>
          <w:p>
            <w:pPr>
              <w:ind w:left="400"/>
              <w:spacing w:after="0"/>
              <w:rPr>
                <w:sz w:val="20"/>
                <w:szCs w:val="20"/>
                <w:color w:val="auto"/>
              </w:rPr>
            </w:pPr>
            <w:r>
              <w:rPr>
                <w:rFonts w:ascii="Arial" w:cs="Arial" w:eastAsia="Arial" w:hAnsi="Arial"/>
                <w:sz w:val="17"/>
                <w:szCs w:val="17"/>
                <w:color w:val="auto"/>
              </w:rPr>
              <w:t>6,100  2 laborers 1 week + tools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Dumpsters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-2923540</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-2923540</wp:posOffset>
            </wp:positionV>
            <wp:extent cx="12700"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97" w:orient="portrait"/>
          <w:cols w:equalWidth="0" w:num="1">
            <w:col w:w="11460"/>
          </w:cols>
          <w:pgMar w:left="240" w:top="324" w:right="199" w:bottom="0" w:gutter="0" w:footer="0" w:header="0"/>
        </w:sectPr>
      </w:pPr>
    </w:p>
    <w:bookmarkStart w:id="211" w:name="page212"/>
    <w:bookmarkEnd w:id="211"/>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12,180</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7.020</w:t>
            </w:r>
          </w:p>
        </w:tc>
        <w:tc>
          <w:tcPr>
            <w:tcW w:w="120" w:type="dxa"/>
            <w:vAlign w:val="bottom"/>
          </w:tcPr>
          <w:p>
            <w:pPr>
              <w:spacing w:after="0"/>
              <w:rPr>
                <w:sz w:val="15"/>
                <w:szCs w:val="15"/>
                <w:color w:val="auto"/>
              </w:rPr>
            </w:pPr>
          </w:p>
        </w:tc>
        <w:tc>
          <w:tcPr>
            <w:tcW w:w="1220" w:type="dxa"/>
            <w:vAlign w:val="bottom"/>
            <w:tcBorders>
              <w:bottom w:val="single" w:sz="8" w:color="auto"/>
            </w:tcBorders>
            <w:gridSpan w:val="5"/>
          </w:tcPr>
          <w:p>
            <w:pPr>
              <w:spacing w:after="0" w:line="171" w:lineRule="exact"/>
              <w:rPr>
                <w:sz w:val="20"/>
                <w:szCs w:val="20"/>
                <w:color w:val="auto"/>
              </w:rPr>
            </w:pPr>
            <w:r>
              <w:rPr>
                <w:rFonts w:ascii="Arial" w:cs="Arial" w:eastAsia="Arial" w:hAnsi="Arial"/>
                <w:sz w:val="17"/>
                <w:szCs w:val="17"/>
                <w:color w:val="auto"/>
                <w:w w:val="96"/>
              </w:rPr>
              <w:t>Layout &amp; Survey</w:t>
            </w:r>
          </w:p>
        </w:tc>
        <w:tc>
          <w:tcPr>
            <w:tcW w:w="21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Layout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7.030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Final Clean-up</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Final Clean-up</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7.040</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line="171" w:lineRule="exact"/>
              <w:rPr>
                <w:sz w:val="20"/>
                <w:szCs w:val="20"/>
                <w:color w:val="auto"/>
              </w:rPr>
            </w:pPr>
            <w:r>
              <w:rPr>
                <w:rFonts w:ascii="Arial" w:cs="Arial" w:eastAsia="Arial" w:hAnsi="Arial"/>
                <w:sz w:val="17"/>
                <w:szCs w:val="17"/>
                <w:color w:val="auto"/>
                <w:w w:val="89"/>
              </w:rPr>
              <w:t>Concrete</w:t>
            </w:r>
          </w:p>
        </w:tc>
        <w:tc>
          <w:tcPr>
            <w:tcW w:w="276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Slab Patch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7.070</w:t>
            </w:r>
          </w:p>
        </w:tc>
        <w:tc>
          <w:tcPr>
            <w:tcW w:w="120" w:type="dxa"/>
            <w:vAlign w:val="bottom"/>
          </w:tcPr>
          <w:p>
            <w:pPr>
              <w:spacing w:after="0"/>
              <w:rPr>
                <w:sz w:val="15"/>
                <w:szCs w:val="15"/>
                <w:color w:val="auto"/>
              </w:rPr>
            </w:pPr>
          </w:p>
        </w:tc>
        <w:tc>
          <w:tcPr>
            <w:tcW w:w="1440" w:type="dxa"/>
            <w:vAlign w:val="bottom"/>
            <w:tcBorders>
              <w:bottom w:val="single" w:sz="8" w:color="auto"/>
            </w:tcBorders>
            <w:gridSpan w:val="7"/>
          </w:tcPr>
          <w:p>
            <w:pPr>
              <w:spacing w:after="0" w:line="171" w:lineRule="exact"/>
              <w:rPr>
                <w:sz w:val="20"/>
                <w:szCs w:val="20"/>
                <w:color w:val="auto"/>
              </w:rPr>
            </w:pPr>
            <w:r>
              <w:rPr>
                <w:rFonts w:ascii="Arial" w:cs="Arial" w:eastAsia="Arial" w:hAnsi="Arial"/>
                <w:sz w:val="17"/>
                <w:szCs w:val="17"/>
                <w:color w:val="auto"/>
              </w:rPr>
              <w:t>Metal Fabrications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7.090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Rough Carpentry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Rough Carpentry &amp; Backing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7.100</w:t>
            </w:r>
          </w:p>
        </w:tc>
        <w:tc>
          <w:tcPr>
            <w:tcW w:w="120" w:type="dxa"/>
            <w:vAlign w:val="bottom"/>
          </w:tcPr>
          <w:p>
            <w:pPr>
              <w:spacing w:after="0"/>
              <w:rPr>
                <w:sz w:val="15"/>
                <w:szCs w:val="15"/>
                <w:color w:val="auto"/>
              </w:rPr>
            </w:pPr>
          </w:p>
        </w:tc>
        <w:tc>
          <w:tcPr>
            <w:tcW w:w="1980" w:type="dxa"/>
            <w:vAlign w:val="bottom"/>
            <w:tcBorders>
              <w:bottom w:val="single" w:sz="8" w:color="auto"/>
            </w:tcBorders>
            <w:gridSpan w:val="9"/>
          </w:tcPr>
          <w:p>
            <w:pPr>
              <w:spacing w:after="0" w:line="171" w:lineRule="exact"/>
              <w:rPr>
                <w:sz w:val="20"/>
                <w:szCs w:val="20"/>
                <w:color w:val="auto"/>
              </w:rPr>
            </w:pPr>
            <w:r>
              <w:rPr>
                <w:rFonts w:ascii="Arial" w:cs="Arial" w:eastAsia="Arial" w:hAnsi="Arial"/>
                <w:sz w:val="17"/>
                <w:szCs w:val="17"/>
                <w:color w:val="auto"/>
                <w:w w:val="97"/>
              </w:rPr>
              <w:t>Finish Carpentry / Millwork</w:t>
            </w:r>
          </w:p>
        </w:tc>
        <w:tc>
          <w:tcPr>
            <w:tcW w:w="14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20" w:type="dxa"/>
            <w:vAlign w:val="bottom"/>
            <w:gridSpan w:val="2"/>
          </w:tcPr>
          <w:p>
            <w:pPr>
              <w:jc w:val="right"/>
              <w:ind w:right="120"/>
              <w:spacing w:after="0" w:line="171" w:lineRule="exact"/>
              <w:rPr>
                <w:sz w:val="20"/>
                <w:szCs w:val="20"/>
                <w:color w:val="auto"/>
              </w:rPr>
            </w:pPr>
            <w:r>
              <w:rPr>
                <w:rFonts w:ascii="Arial" w:cs="Arial" w:eastAsia="Arial" w:hAnsi="Arial"/>
                <w:sz w:val="17"/>
                <w:szCs w:val="17"/>
                <w:color w:val="auto"/>
              </w:rPr>
              <w:t>7.110</w:t>
            </w:r>
          </w:p>
        </w:tc>
        <w:tc>
          <w:tcPr>
            <w:tcW w:w="2100" w:type="dxa"/>
            <w:vAlign w:val="bottom"/>
            <w:tcBorders>
              <w:bottom w:val="single" w:sz="8" w:color="auto"/>
            </w:tcBorders>
            <w:gridSpan w:val="10"/>
          </w:tcPr>
          <w:p>
            <w:pPr>
              <w:spacing w:after="0" w:line="171" w:lineRule="exact"/>
              <w:rPr>
                <w:sz w:val="20"/>
                <w:szCs w:val="20"/>
                <w:color w:val="auto"/>
              </w:rPr>
            </w:pPr>
            <w:r>
              <w:rPr>
                <w:rFonts w:ascii="Arial" w:cs="Arial" w:eastAsia="Arial" w:hAnsi="Arial"/>
                <w:sz w:val="17"/>
                <w:szCs w:val="17"/>
                <w:color w:val="auto"/>
                <w:w w:val="95"/>
              </w:rPr>
              <w:t>Waterproofing / Damproofing</w:t>
            </w:r>
          </w:p>
        </w:tc>
        <w:tc>
          <w:tcPr>
            <w:tcW w:w="13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7.120</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7"/>
                <w:szCs w:val="17"/>
                <w:color w:val="auto"/>
                <w:w w:val="93"/>
              </w:rPr>
              <w:t>Insulation</w:t>
            </w:r>
          </w:p>
        </w:tc>
        <w:tc>
          <w:tcPr>
            <w:tcW w:w="270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7.130</w:t>
            </w:r>
          </w:p>
        </w:tc>
        <w:tc>
          <w:tcPr>
            <w:tcW w:w="120" w:type="dxa"/>
            <w:vAlign w:val="bottom"/>
          </w:tcPr>
          <w:p>
            <w:pPr>
              <w:spacing w:after="0"/>
              <w:rPr>
                <w:sz w:val="15"/>
                <w:szCs w:val="15"/>
                <w:color w:val="auto"/>
              </w:rPr>
            </w:pPr>
          </w:p>
        </w:tc>
        <w:tc>
          <w:tcPr>
            <w:tcW w:w="1440" w:type="dxa"/>
            <w:vAlign w:val="bottom"/>
            <w:tcBorders>
              <w:bottom w:val="single" w:sz="8" w:color="auto"/>
            </w:tcBorders>
            <w:gridSpan w:val="7"/>
          </w:tcPr>
          <w:p>
            <w:pPr>
              <w:spacing w:after="0" w:line="171" w:lineRule="exact"/>
              <w:rPr>
                <w:sz w:val="20"/>
                <w:szCs w:val="20"/>
                <w:color w:val="auto"/>
              </w:rPr>
            </w:pPr>
            <w:r>
              <w:rPr>
                <w:rFonts w:ascii="Arial" w:cs="Arial" w:eastAsia="Arial" w:hAnsi="Arial"/>
                <w:sz w:val="17"/>
                <w:szCs w:val="17"/>
                <w:color w:val="auto"/>
                <w:w w:val="93"/>
              </w:rPr>
              <w:t>Caulking &amp; sealants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Caulking &amp; Sealants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2"/>
              </w:rPr>
              <w:t>md</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13"/>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00" w:type="dxa"/>
            <w:vAlign w:val="bottom"/>
            <w:tcBorders>
              <w:bottom w:val="single" w:sz="8" w:color="010101"/>
            </w:tcBorders>
            <w:gridSpan w:val="2"/>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8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6"/>
              </w:rPr>
              <w:t>System No.</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ind w:left="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ind w:left="6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7.150</w:t>
            </w:r>
          </w:p>
        </w:tc>
        <w:tc>
          <w:tcPr>
            <w:tcW w:w="120" w:type="dxa"/>
            <w:vAlign w:val="bottom"/>
            <w:shd w:val="clear" w:color="auto" w:fill="CCEEFF"/>
          </w:tcPr>
          <w:p>
            <w:pPr>
              <w:spacing w:after="0"/>
              <w:rPr>
                <w:sz w:val="14"/>
                <w:szCs w:val="14"/>
                <w:color w:val="auto"/>
              </w:rPr>
            </w:pPr>
          </w:p>
        </w:tc>
        <w:tc>
          <w:tcPr>
            <w:tcW w:w="340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Doors/Frames/Hardware</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Save &amp; Re-Install Doors, Frames &amp; Harc</w:t>
            </w:r>
          </w:p>
        </w:tc>
        <w:tc>
          <w:tcPr>
            <w:tcW w:w="820" w:type="dxa"/>
            <w:vAlign w:val="bottom"/>
          </w:tcPr>
          <w:p>
            <w:pPr>
              <w:jc w:val="center"/>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320.00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1,280</w:t>
            </w:r>
          </w:p>
        </w:tc>
        <w:tc>
          <w:tcPr>
            <w:tcW w:w="2020" w:type="dxa"/>
            <w:vAlign w:val="bottom"/>
            <w:gridSpan w:val="2"/>
          </w:tcPr>
          <w:p>
            <w:pPr>
              <w:spacing w:after="0"/>
              <w:rPr>
                <w:sz w:val="20"/>
                <w:szCs w:val="20"/>
                <w:color w:val="auto"/>
              </w:rPr>
            </w:pPr>
            <w:r>
              <w:rPr>
                <w:rFonts w:ascii="Arial" w:cs="Arial" w:eastAsia="Arial" w:hAnsi="Arial"/>
                <w:sz w:val="17"/>
                <w:szCs w:val="17"/>
                <w:color w:val="auto"/>
              </w:rPr>
              <w:t>2 MDs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New Door, Frame, Hardware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Card Readers / Electrified Hardware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allow</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tcPr>
          <w:p>
            <w:pPr>
              <w:spacing w:after="0"/>
              <w:rPr>
                <w:sz w:val="20"/>
                <w:szCs w:val="20"/>
                <w:color w:val="auto"/>
              </w:rPr>
            </w:pPr>
            <w:r>
              <w:rPr>
                <w:rFonts w:ascii="Arial" w:cs="Arial" w:eastAsia="Arial" w:hAnsi="Arial"/>
                <w:sz w:val="17"/>
                <w:szCs w:val="17"/>
                <w:color w:val="auto"/>
              </w:rPr>
              <w:t>Required, 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Re-Keying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7.220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Glass &amp; Glazing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New Flase Mullions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Alumn Window Frames &amp; Glazing</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Glazing at Sidelights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Glazing at Door Lites Allowance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7.240</w:t>
            </w:r>
          </w:p>
        </w:tc>
        <w:tc>
          <w:tcPr>
            <w:tcW w:w="120" w:type="dxa"/>
            <w:vAlign w:val="bottom"/>
            <w:shd w:val="clear" w:color="auto" w:fill="CCEEFF"/>
          </w:tcPr>
          <w:p>
            <w:pPr>
              <w:spacing w:after="0"/>
              <w:rPr>
                <w:sz w:val="14"/>
                <w:szCs w:val="14"/>
                <w:color w:val="auto"/>
              </w:rPr>
            </w:pPr>
          </w:p>
        </w:tc>
        <w:tc>
          <w:tcPr>
            <w:tcW w:w="340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Framing &amp; Drywall</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Framing &amp; Drywall</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980" w:type="dxa"/>
            <w:vAlign w:val="bottom"/>
          </w:tcPr>
          <w:p>
            <w:pPr>
              <w:jc w:val="right"/>
              <w:spacing w:after="0"/>
              <w:rPr>
                <w:sz w:val="20"/>
                <w:szCs w:val="20"/>
                <w:color w:val="auto"/>
              </w:rPr>
            </w:pPr>
            <w:r>
              <w:rPr>
                <w:rFonts w:ascii="Arial" w:cs="Arial" w:eastAsia="Arial" w:hAnsi="Arial"/>
                <w:sz w:val="17"/>
                <w:szCs w:val="17"/>
                <w:color w:val="auto"/>
              </w:rPr>
              <w:t>10,500.00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10,500</w:t>
            </w:r>
          </w:p>
        </w:tc>
        <w:tc>
          <w:tcPr>
            <w:tcW w:w="2020" w:type="dxa"/>
            <w:vAlign w:val="bottom"/>
            <w:gridSpan w:val="2"/>
          </w:tcPr>
          <w:p>
            <w:pPr>
              <w:spacing w:after="0"/>
              <w:rPr>
                <w:sz w:val="20"/>
                <w:szCs w:val="20"/>
                <w:color w:val="auto"/>
              </w:rPr>
            </w:pPr>
            <w:r>
              <w:rPr>
                <w:rFonts w:ascii="Arial" w:cs="Arial" w:eastAsia="Arial" w:hAnsi="Arial"/>
                <w:sz w:val="17"/>
                <w:szCs w:val="17"/>
                <w:color w:val="auto"/>
              </w:rPr>
              <w:t>D&amp;R Paquette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Wall 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 required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Rated Opening Modifications</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3,500.00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Patching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7.250</w:t>
            </w:r>
          </w:p>
        </w:tc>
        <w:tc>
          <w:tcPr>
            <w:tcW w:w="120" w:type="dxa"/>
            <w:vAlign w:val="bottom"/>
          </w:tcPr>
          <w:p>
            <w:pPr>
              <w:spacing w:after="0"/>
              <w:rPr>
                <w:sz w:val="15"/>
                <w:szCs w:val="15"/>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Ceramic Tile / Stone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top w:val="single" w:sz="8" w:color="auto"/>
              <w:right w:val="single" w:sz="8" w:color="CCEEFF"/>
            </w:tcBorders>
            <w:gridSpan w:val="7"/>
            <w:shd w:val="clear" w:color="auto" w:fill="CCEEFF"/>
          </w:tcPr>
          <w:p>
            <w:pPr>
              <w:spacing w:after="0"/>
              <w:rPr>
                <w:sz w:val="20"/>
                <w:szCs w:val="20"/>
                <w:color w:val="auto"/>
              </w:rPr>
            </w:pPr>
            <w:r>
              <w:rPr>
                <w:rFonts w:ascii="Arial" w:cs="Arial" w:eastAsia="Arial" w:hAnsi="Arial"/>
                <w:sz w:val="17"/>
                <w:szCs w:val="17"/>
                <w:color w:val="auto"/>
              </w:rPr>
              <w:t>None</w:t>
            </w:r>
          </w:p>
        </w:tc>
        <w:tc>
          <w:tcPr>
            <w:tcW w:w="1960" w:type="dxa"/>
            <w:vAlign w:val="bottom"/>
            <w:gridSpan w:val="6"/>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7.280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Acoustical Ceiling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Cut-Back for New Walls &amp; Selective Der</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2x4 - Vinyl Rock or Enviroguard</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480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2,160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Patching / Tile Replace Allowance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7.290</w:t>
            </w:r>
          </w:p>
        </w:tc>
        <w:tc>
          <w:tcPr>
            <w:tcW w:w="120" w:type="dxa"/>
            <w:vAlign w:val="bottom"/>
          </w:tcPr>
          <w:p>
            <w:pPr>
              <w:spacing w:after="0"/>
              <w:rPr>
                <w:sz w:val="15"/>
                <w:szCs w:val="15"/>
                <w:color w:val="auto"/>
              </w:rPr>
            </w:pPr>
          </w:p>
        </w:tc>
        <w:tc>
          <w:tcPr>
            <w:tcW w:w="2480" w:type="dxa"/>
            <w:vAlign w:val="bottom"/>
            <w:tcBorders>
              <w:bottom w:val="single" w:sz="8" w:color="auto"/>
            </w:tcBorders>
            <w:gridSpan w:val="11"/>
          </w:tcPr>
          <w:p>
            <w:pPr>
              <w:spacing w:after="0" w:line="171" w:lineRule="exact"/>
              <w:rPr>
                <w:sz w:val="20"/>
                <w:szCs w:val="20"/>
                <w:color w:val="auto"/>
              </w:rPr>
            </w:pPr>
            <w:r>
              <w:rPr>
                <w:rFonts w:ascii="Arial" w:cs="Arial" w:eastAsia="Arial" w:hAnsi="Arial"/>
                <w:sz w:val="17"/>
                <w:szCs w:val="17"/>
                <w:color w:val="auto"/>
                <w:w w:val="93"/>
              </w:rPr>
              <w:t>Acoustical Panels / Wall Coverings</w:t>
            </w:r>
          </w:p>
        </w:tc>
        <w:tc>
          <w:tcPr>
            <w:tcW w:w="9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-5195570</wp:posOffset>
            </wp:positionV>
            <wp:extent cx="12700"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-5195570</wp:posOffset>
            </wp:positionV>
            <wp:extent cx="12700"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22" w:orient="portrait"/>
          <w:cols w:equalWidth="0" w:num="1">
            <w:col w:w="11460"/>
          </w:cols>
          <w:pgMar w:left="240" w:top="127" w:right="199" w:bottom="0" w:gutter="0" w:footer="0" w:header="0"/>
        </w:sectPr>
      </w:pPr>
    </w:p>
    <w:bookmarkStart w:id="212" w:name="page213"/>
    <w:bookmarkEnd w:id="2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7.330  Resilient Flooring / Carpeting</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7"/>
                <w:szCs w:val="17"/>
                <w:color w:val="auto"/>
              </w:rPr>
              <w:t>VCT</w:t>
            </w:r>
          </w:p>
        </w:tc>
        <w:tc>
          <w:tcPr>
            <w:tcW w:w="1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4,595.00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Preston Borg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Carpet</w:t>
            </w:r>
          </w:p>
        </w:tc>
        <w:tc>
          <w:tcPr>
            <w:tcW w:w="600" w:type="dxa"/>
            <w:vAlign w:val="bottom"/>
            <w:gridSpan w:val="2"/>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Sheet Vinyl Welded</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Vapor Emission Reduction Syst.</w:t>
            </w:r>
          </w:p>
        </w:tc>
        <w:tc>
          <w:tcPr>
            <w:tcW w:w="600" w:type="dxa"/>
            <w:vAlign w:val="bottom"/>
            <w:gridSpan w:val="2"/>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Misc. Patch &amp; Repair @ (E) Floor</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20" w:type="dxa"/>
            <w:vAlign w:val="bottom"/>
            <w:gridSpan w:val="4"/>
          </w:tcPr>
          <w:p>
            <w:pPr>
              <w:ind w:left="1300"/>
              <w:spacing w:after="0" w:line="171" w:lineRule="exact"/>
              <w:rPr>
                <w:sz w:val="20"/>
                <w:szCs w:val="20"/>
                <w:color w:val="auto"/>
              </w:rPr>
            </w:pPr>
            <w:r>
              <w:rPr>
                <w:rFonts w:ascii="Arial" w:cs="Arial" w:eastAsia="Arial" w:hAnsi="Arial"/>
                <w:sz w:val="17"/>
                <w:szCs w:val="17"/>
                <w:color w:val="auto"/>
              </w:rPr>
              <w:t>7.360</w:t>
            </w:r>
          </w:p>
        </w:tc>
        <w:tc>
          <w:tcPr>
            <w:tcW w:w="1180" w:type="dxa"/>
            <w:vAlign w:val="bottom"/>
            <w:tcBorders>
              <w:bottom w:val="single" w:sz="8" w:color="auto"/>
            </w:tcBorders>
            <w:gridSpan w:val="4"/>
          </w:tcPr>
          <w:p>
            <w:pPr>
              <w:spacing w:after="0" w:line="171" w:lineRule="exact"/>
              <w:rPr>
                <w:sz w:val="20"/>
                <w:szCs w:val="20"/>
                <w:color w:val="auto"/>
              </w:rPr>
            </w:pPr>
            <w:r>
              <w:rPr>
                <w:rFonts w:ascii="Arial" w:cs="Arial" w:eastAsia="Arial" w:hAnsi="Arial"/>
                <w:sz w:val="17"/>
                <w:szCs w:val="17"/>
                <w:color w:val="auto"/>
                <w:w w:val="90"/>
              </w:rPr>
              <w:t>Special Coatings</w:t>
            </w:r>
          </w:p>
        </w:tc>
        <w:tc>
          <w:tcPr>
            <w:tcW w:w="2120" w:type="dxa"/>
            <w:vAlign w:val="bottom"/>
            <w:gridSpan w:val="10"/>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Epoxy Flooring</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820" w:type="dxa"/>
            <w:vAlign w:val="bottom"/>
            <w:gridSpan w:val="4"/>
          </w:tcPr>
          <w:p>
            <w:pPr>
              <w:ind w:left="1300"/>
              <w:spacing w:after="0" w:line="171" w:lineRule="exact"/>
              <w:rPr>
                <w:sz w:val="20"/>
                <w:szCs w:val="20"/>
                <w:color w:val="auto"/>
              </w:rPr>
            </w:pPr>
            <w:r>
              <w:rPr>
                <w:rFonts w:ascii="Arial" w:cs="Arial" w:eastAsia="Arial" w:hAnsi="Arial"/>
                <w:sz w:val="17"/>
                <w:szCs w:val="17"/>
                <w:color w:val="auto"/>
              </w:rPr>
              <w:t>7.370</w:t>
            </w:r>
          </w:p>
        </w:tc>
        <w:tc>
          <w:tcPr>
            <w:tcW w:w="3300" w:type="dxa"/>
            <w:vAlign w:val="bottom"/>
            <w:gridSpan w:val="14"/>
          </w:tcPr>
          <w:p>
            <w:pPr>
              <w:spacing w:after="0" w:line="171" w:lineRule="exact"/>
              <w:rPr>
                <w:sz w:val="20"/>
                <w:szCs w:val="20"/>
                <w:color w:val="auto"/>
              </w:rPr>
            </w:pPr>
            <w:r>
              <w:rPr>
                <w:rFonts w:ascii="Arial" w:cs="Arial" w:eastAsia="Arial" w:hAnsi="Arial"/>
                <w:sz w:val="17"/>
                <w:szCs w:val="17"/>
                <w:color w:val="auto"/>
              </w:rPr>
              <w:t>Painting</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Painting</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5,046.00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5,046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C&amp;O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7.390  Visual Display Boards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Makerboard / Caulktrays / Wall Talker</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7.440  Corner &amp; Wall Guards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7"/>
                <w:szCs w:val="17"/>
                <w:color w:val="auto"/>
                <w:w w:val="98"/>
              </w:rPr>
              <w:t>Corner &amp; Wall Guard</w:t>
            </w:r>
          </w:p>
        </w:tc>
        <w:tc>
          <w:tcPr>
            <w:tcW w:w="1720" w:type="dxa"/>
            <w:vAlign w:val="bottom"/>
            <w:gridSpan w:val="6"/>
            <w:shd w:val="clear" w:color="auto" w:fill="CCEEFF"/>
          </w:tcPr>
          <w:p>
            <w:pPr>
              <w:spacing w:after="0"/>
              <w:rPr>
                <w:sz w:val="19"/>
                <w:szCs w:val="19"/>
                <w:color w:val="auto"/>
              </w:rPr>
            </w:pP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gridSpan w:val="3"/>
          </w:tcPr>
          <w:p>
            <w:pPr>
              <w:jc w:val="right"/>
              <w:ind w:right="25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82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System No.</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7"/>
          </w:tcPr>
          <w:p>
            <w:pPr>
              <w:ind w:left="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400" w:type="dxa"/>
            <w:vAlign w:val="bottom"/>
            <w:gridSpan w:val="5"/>
          </w:tcPr>
          <w:p>
            <w:pPr>
              <w:ind w:left="220"/>
              <w:spacing w:after="0"/>
              <w:rPr>
                <w:sz w:val="20"/>
                <w:szCs w:val="20"/>
                <w:color w:val="auto"/>
              </w:rPr>
            </w:pPr>
            <w:r>
              <w:rPr>
                <w:rFonts w:ascii="Arial" w:cs="Arial" w:eastAsia="Arial" w:hAnsi="Arial"/>
                <w:sz w:val="14"/>
                <w:szCs w:val="14"/>
                <w:b w:val="1"/>
                <w:bCs w:val="1"/>
                <w:color w:val="auto"/>
              </w:rPr>
              <w:t>Unit Cost</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3"/>
            <w:shd w:val="clear" w:color="auto" w:fill="CCEEFF"/>
          </w:tcPr>
          <w:p>
            <w:pPr>
              <w:ind w:left="1100"/>
              <w:spacing w:after="0" w:line="171" w:lineRule="exact"/>
              <w:rPr>
                <w:sz w:val="20"/>
                <w:szCs w:val="20"/>
                <w:color w:val="auto"/>
              </w:rPr>
            </w:pPr>
            <w:r>
              <w:rPr>
                <w:rFonts w:ascii="Arial" w:cs="Arial" w:eastAsia="Arial" w:hAnsi="Arial"/>
                <w:sz w:val="17"/>
                <w:szCs w:val="17"/>
                <w:color w:val="auto"/>
              </w:rPr>
              <w:t>7.447</w:t>
            </w:r>
          </w:p>
        </w:tc>
        <w:tc>
          <w:tcPr>
            <w:tcW w:w="1380" w:type="dxa"/>
            <w:vAlign w:val="bottom"/>
            <w:tcBorders>
              <w:bottom w:val="single" w:sz="8" w:color="auto"/>
            </w:tcBorders>
            <w:gridSpan w:val="7"/>
            <w:shd w:val="clear" w:color="auto" w:fill="CCEEFF"/>
          </w:tcPr>
          <w:p>
            <w:pPr>
              <w:spacing w:after="0" w:line="171" w:lineRule="exact"/>
              <w:rPr>
                <w:sz w:val="20"/>
                <w:szCs w:val="20"/>
                <w:color w:val="auto"/>
              </w:rPr>
            </w:pPr>
            <w:r>
              <w:rPr>
                <w:rFonts w:ascii="Arial" w:cs="Arial" w:eastAsia="Arial" w:hAnsi="Arial"/>
                <w:sz w:val="17"/>
                <w:szCs w:val="17"/>
                <w:color w:val="auto"/>
                <w:w w:val="95"/>
              </w:rPr>
              <w:t>Identifying Devices</w:t>
            </w:r>
          </w:p>
        </w:tc>
        <w:tc>
          <w:tcPr>
            <w:tcW w:w="2060" w:type="dxa"/>
            <w:vAlign w:val="bottom"/>
            <w:tcBorders>
              <w:bottom w:val="single" w:sz="8" w:color="CCEEFF"/>
            </w:tcBorders>
            <w:gridSpan w:val="8"/>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Interior Signage</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Code Signage Allowance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40" w:type="dxa"/>
            <w:vAlign w:val="bottom"/>
            <w:gridSpan w:val="17"/>
          </w:tcPr>
          <w:p>
            <w:pPr>
              <w:ind w:left="720"/>
              <w:spacing w:after="0" w:line="171" w:lineRule="exact"/>
              <w:rPr>
                <w:sz w:val="20"/>
                <w:szCs w:val="20"/>
                <w:color w:val="auto"/>
              </w:rPr>
            </w:pPr>
            <w:r>
              <w:rPr>
                <w:rFonts w:ascii="Arial" w:cs="Arial" w:eastAsia="Arial" w:hAnsi="Arial"/>
                <w:sz w:val="17"/>
                <w:szCs w:val="17"/>
                <w:color w:val="auto"/>
              </w:rPr>
              <w:t>7.449  Fire Protection Specialties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Fire Extinguishers / Cabinets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superintendent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7.570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Projection Screens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None</w:t>
            </w:r>
          </w:p>
        </w:tc>
        <w:tc>
          <w:tcPr>
            <w:tcW w:w="2140" w:type="dxa"/>
            <w:vAlign w:val="bottom"/>
            <w:gridSpan w:val="11"/>
            <w:shd w:val="clear" w:color="auto" w:fill="CCEEFF"/>
          </w:tcPr>
          <w:p>
            <w:pPr>
              <w:spacing w:after="0"/>
              <w:rPr>
                <w:sz w:val="19"/>
                <w:szCs w:val="19"/>
                <w:color w:val="auto"/>
              </w:rPr>
            </w:pP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7.580</w:t>
            </w:r>
          </w:p>
        </w:tc>
        <w:tc>
          <w:tcPr>
            <w:tcW w:w="1360" w:type="dxa"/>
            <w:vAlign w:val="bottom"/>
            <w:tcBorders>
              <w:bottom w:val="single" w:sz="8" w:color="auto"/>
            </w:tcBorders>
            <w:gridSpan w:val="6"/>
          </w:tcPr>
          <w:p>
            <w:pPr>
              <w:spacing w:after="0" w:line="171" w:lineRule="exact"/>
              <w:rPr>
                <w:sz w:val="20"/>
                <w:szCs w:val="20"/>
                <w:color w:val="auto"/>
              </w:rPr>
            </w:pPr>
            <w:r>
              <w:rPr>
                <w:rFonts w:ascii="Arial" w:cs="Arial" w:eastAsia="Arial" w:hAnsi="Arial"/>
                <w:sz w:val="17"/>
                <w:szCs w:val="17"/>
                <w:color w:val="auto"/>
                <w:w w:val="94"/>
              </w:rPr>
              <w:t>Window Coverings</w:t>
            </w:r>
          </w:p>
        </w:tc>
        <w:tc>
          <w:tcPr>
            <w:tcW w:w="2080" w:type="dxa"/>
            <w:vAlign w:val="bottom"/>
            <w:gridSpan w:val="9"/>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 INTERIOR CONSTRUCTION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50,086</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gridSpan w:val="2"/>
          </w:tcPr>
          <w:p>
            <w:pPr>
              <w:spacing w:after="0" w:line="171" w:lineRule="exact"/>
              <w:rPr>
                <w:sz w:val="20"/>
                <w:szCs w:val="20"/>
                <w:color w:val="auto"/>
              </w:rPr>
            </w:pPr>
            <w:r>
              <w:rPr>
                <w:rFonts w:ascii="Arial" w:cs="Arial" w:eastAsia="Arial" w:hAnsi="Arial"/>
                <w:sz w:val="17"/>
                <w:szCs w:val="17"/>
                <w:color w:val="auto"/>
              </w:rPr>
              <w:t>8.</w:t>
            </w:r>
            <w:r>
              <w:rPr>
                <w:rFonts w:ascii="Arial" w:cs="Arial" w:eastAsia="Arial" w:hAnsi="Arial"/>
                <w:sz w:val="17"/>
                <w:szCs w:val="17"/>
                <w:u w:val="single" w:color="auto"/>
                <w:color w:val="auto"/>
              </w:rPr>
              <w:t>000</w:t>
            </w:r>
          </w:p>
        </w:tc>
        <w:tc>
          <w:tcPr>
            <w:tcW w:w="180" w:type="dxa"/>
            <w:vAlign w:val="bottom"/>
          </w:tcPr>
          <w:p>
            <w:pPr>
              <w:spacing w:after="0"/>
              <w:rPr>
                <w:sz w:val="15"/>
                <w:szCs w:val="15"/>
                <w:color w:val="auto"/>
              </w:rPr>
            </w:pP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SPECIAL EQUIPMENT</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8.050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Audio Visual</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None</w:t>
            </w:r>
          </w:p>
        </w:tc>
        <w:tc>
          <w:tcPr>
            <w:tcW w:w="2520" w:type="dxa"/>
            <w:vAlign w:val="bottom"/>
            <w:gridSpan w:val="12"/>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8.110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Laboratory Equipment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Gas Manifolds / Change Over Panels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Veracyte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7"/>
                <w:szCs w:val="17"/>
                <w:color w:val="auto"/>
              </w:rPr>
              <w:t>Subtotal</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740" w:type="dxa"/>
            <w:vAlign w:val="bottom"/>
            <w:gridSpan w:val="17"/>
            <w:shd w:val="clear" w:color="auto" w:fill="CCEEFF"/>
          </w:tcPr>
          <w:p>
            <w:pPr>
              <w:ind w:left="720"/>
              <w:spacing w:after="0" w:line="171" w:lineRule="exact"/>
              <w:rPr>
                <w:sz w:val="20"/>
                <w:szCs w:val="20"/>
                <w:color w:val="auto"/>
              </w:rPr>
            </w:pPr>
            <w:r>
              <w:rPr>
                <w:rFonts w:ascii="Arial" w:cs="Arial" w:eastAsia="Arial" w:hAnsi="Arial"/>
                <w:sz w:val="17"/>
                <w:szCs w:val="17"/>
                <w:color w:val="auto"/>
              </w:rPr>
              <w:t>8.120  Laboratory Casework &amp; Hoods</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0" w:type="dxa"/>
            <w:vAlign w:val="bottom"/>
            <w:tcBorders>
              <w:top w:val="single" w:sz="8" w:color="auto"/>
            </w:tcBorders>
            <w:gridSpan w:val="13"/>
          </w:tcPr>
          <w:p>
            <w:pPr>
              <w:spacing w:after="0"/>
              <w:rPr>
                <w:sz w:val="20"/>
                <w:szCs w:val="20"/>
                <w:color w:val="auto"/>
              </w:rPr>
            </w:pPr>
            <w:r>
              <w:rPr>
                <w:rFonts w:ascii="Arial" w:cs="Arial" w:eastAsia="Arial" w:hAnsi="Arial"/>
                <w:sz w:val="17"/>
                <w:szCs w:val="17"/>
                <w:color w:val="auto"/>
              </w:rPr>
              <w:t>Used Lab Casework</w:t>
            </w:r>
          </w:p>
        </w:tc>
        <w:tc>
          <w:tcPr>
            <w:tcW w:w="124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CCEEFF"/>
            </w:tcBorders>
            <w:gridSpan w:val="3"/>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7"/>
                <w:szCs w:val="17"/>
                <w:color w:val="auto"/>
              </w:rPr>
              <w:t>23,005.00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7"/>
                <w:szCs w:val="17"/>
                <w:color w:val="auto"/>
              </w:rPr>
              <w:t>23,005</w:t>
            </w: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Re-Install Fume Hoods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 reuse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Re-Install (E) Casework &amp; Sinks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Stainless Steel Ceiling Panels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480.00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960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Relocate BSC’s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640.00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New Reagent Racks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New Wall Shelving</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175.00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Umbilicals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Misc. Filler Pnls, Fixtures &amp; Turrets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Shop Drawings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25,915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8.200</w:t>
            </w:r>
          </w:p>
        </w:tc>
        <w:tc>
          <w:tcPr>
            <w:tcW w:w="1580" w:type="dxa"/>
            <w:vAlign w:val="bottom"/>
            <w:tcBorders>
              <w:bottom w:val="single" w:sz="8" w:color="auto"/>
            </w:tcBorders>
            <w:gridSpan w:val="8"/>
          </w:tcPr>
          <w:p>
            <w:pPr>
              <w:spacing w:after="0" w:line="171" w:lineRule="exact"/>
              <w:rPr>
                <w:sz w:val="20"/>
                <w:szCs w:val="20"/>
                <w:color w:val="auto"/>
              </w:rPr>
            </w:pPr>
            <w:r>
              <w:rPr>
                <w:rFonts w:ascii="Arial" w:cs="Arial" w:eastAsia="Arial" w:hAnsi="Arial"/>
                <w:sz w:val="17"/>
                <w:szCs w:val="17"/>
                <w:color w:val="auto"/>
                <w:w w:val="93"/>
              </w:rPr>
              <w:t>Environmental Rooms</w:t>
            </w:r>
          </w:p>
        </w:tc>
        <w:tc>
          <w:tcPr>
            <w:tcW w:w="1860" w:type="dxa"/>
            <w:vAlign w:val="bottom"/>
            <w:gridSpan w:val="7"/>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720"/>
              <w:spacing w:after="0" w:line="171" w:lineRule="exact"/>
              <w:rPr>
                <w:sz w:val="20"/>
                <w:szCs w:val="20"/>
                <w:color w:val="auto"/>
              </w:rPr>
            </w:pPr>
            <w:r>
              <w:rPr>
                <w:rFonts w:ascii="Arial" w:cs="Arial" w:eastAsia="Arial" w:hAnsi="Arial"/>
                <w:sz w:val="17"/>
                <w:szCs w:val="17"/>
                <w:color w:val="auto"/>
              </w:rPr>
              <w:t>8.250  Chemical Storage Building</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1540" w:type="dxa"/>
            <w:vAlign w:val="bottom"/>
            <w:gridSpan w:val="3"/>
            <w:shd w:val="clear" w:color="auto" w:fill="CCEEFF"/>
          </w:tcPr>
          <w:p>
            <w:pPr>
              <w:spacing w:after="0"/>
              <w:rPr>
                <w:sz w:val="19"/>
                <w:szCs w:val="19"/>
                <w:color w:val="auto"/>
              </w:rPr>
            </w:pP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-7078980</wp:posOffset>
            </wp:positionV>
            <wp:extent cx="12700"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-7078980</wp:posOffset>
            </wp:positionV>
            <wp:extent cx="12700"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4"/>
          </w:tcPr>
          <w:p>
            <w:pPr>
              <w:jc w:val="right"/>
              <w:ind w:right="180"/>
              <w:spacing w:after="0" w:line="171" w:lineRule="exact"/>
              <w:rPr>
                <w:sz w:val="20"/>
                <w:szCs w:val="20"/>
                <w:color w:val="auto"/>
              </w:rPr>
            </w:pPr>
            <w:r>
              <w:rPr>
                <w:rFonts w:ascii="Arial" w:cs="Arial" w:eastAsia="Arial" w:hAnsi="Arial"/>
                <w:sz w:val="17"/>
                <w:szCs w:val="17"/>
                <w:color w:val="auto"/>
              </w:rPr>
              <w:t>8.260</w:t>
            </w:r>
          </w:p>
        </w:tc>
        <w:tc>
          <w:tcPr>
            <w:tcW w:w="3880" w:type="dxa"/>
            <w:vAlign w:val="bottom"/>
            <w:gridSpan w:val="13"/>
          </w:tcPr>
          <w:p>
            <w:pPr>
              <w:spacing w:after="0" w:line="171" w:lineRule="exact"/>
              <w:rPr>
                <w:sz w:val="20"/>
                <w:szCs w:val="20"/>
                <w:color w:val="auto"/>
              </w:rPr>
            </w:pPr>
            <w:r>
              <w:rPr>
                <w:rFonts w:ascii="Arial" w:cs="Arial" w:eastAsia="Arial" w:hAnsi="Arial"/>
                <w:sz w:val="17"/>
                <w:szCs w:val="17"/>
                <w:color w:val="auto"/>
              </w:rPr>
              <w:t>High Density Storage</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7"/>
                <w:szCs w:val="17"/>
                <w:color w:val="auto"/>
              </w:rPr>
              <w:t>None</w:t>
            </w:r>
          </w:p>
        </w:tc>
        <w:tc>
          <w:tcPr>
            <w:tcW w:w="2380" w:type="dxa"/>
            <w:vAlign w:val="bottom"/>
            <w:gridSpan w:val="6"/>
            <w:shd w:val="clear" w:color="auto" w:fill="CCEEFF"/>
          </w:tcPr>
          <w:p>
            <w:pPr>
              <w:spacing w:after="0"/>
              <w:rPr>
                <w:sz w:val="19"/>
                <w:szCs w:val="19"/>
                <w:color w:val="auto"/>
              </w:rPr>
            </w:pP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SUBTOTAL SPECIAL EQUIPMENT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25,915</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9.</w:t>
            </w:r>
            <w:r>
              <w:rPr>
                <w:rFonts w:ascii="Arial" w:cs="Arial" w:eastAsia="Arial" w:hAnsi="Arial"/>
                <w:sz w:val="17"/>
                <w:szCs w:val="17"/>
                <w:u w:val="single" w:color="auto"/>
                <w:color w:val="auto"/>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CONVEYING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9.200</w:t>
            </w:r>
          </w:p>
        </w:tc>
        <w:tc>
          <w:tcPr>
            <w:tcW w:w="66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90"/>
              </w:rPr>
              <w:t>Elevators</w:t>
            </w:r>
          </w:p>
        </w:tc>
        <w:tc>
          <w:tcPr>
            <w:tcW w:w="3220" w:type="dxa"/>
            <w:vAlign w:val="bottom"/>
            <w:tcBorders>
              <w:bottom w:val="single" w:sz="8" w:color="CCEEFF"/>
            </w:tcBorders>
            <w:gridSpan w:val="11"/>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Temp Protection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SUBTOTAL CONVEYING SYSTEMS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10.010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Design &amp; Precon</w:t>
            </w:r>
          </w:p>
        </w:tc>
        <w:tc>
          <w:tcPr>
            <w:tcW w:w="2220" w:type="dxa"/>
            <w:vAlign w:val="bottom"/>
            <w:tcBorders>
              <w:top w:val="single" w:sz="8" w:color="CCEEFF"/>
            </w:tcBorders>
            <w:gridSpan w:val="5"/>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Fire Protection System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4,800</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auto"/>
              </w:rPr>
              <w:t>TOTAL FIRE PROTECTION</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w w:val="84"/>
              </w:rPr>
              <w:t>11.</w:t>
            </w:r>
            <w:r>
              <w:rPr>
                <w:rFonts w:ascii="Arial" w:cs="Arial" w:eastAsia="Arial" w:hAnsi="Arial"/>
                <w:sz w:val="17"/>
                <w:szCs w:val="17"/>
                <w:u w:val="single" w:color="auto"/>
                <w:color w:val="auto"/>
                <w:w w:val="84"/>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PLUMBING &amp; PROCESS PIPING</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tcBorders>
              <w:bottom w:val="single" w:sz="8" w:color="CCEEFF"/>
            </w:tcBorders>
            <w:gridSpan w:val="3"/>
            <w:shd w:val="clear" w:color="auto" w:fill="CCEEFF"/>
          </w:tcPr>
          <w:p>
            <w:pPr>
              <w:jc w:val="right"/>
              <w:spacing w:after="0" w:line="171" w:lineRule="exact"/>
              <w:rPr>
                <w:sz w:val="20"/>
                <w:szCs w:val="20"/>
                <w:color w:val="auto"/>
              </w:rPr>
            </w:pPr>
            <w:r>
              <w:rPr>
                <w:rFonts w:ascii="Arial" w:cs="Arial" w:eastAsia="Arial" w:hAnsi="Arial"/>
                <w:sz w:val="17"/>
                <w:szCs w:val="17"/>
                <w:color w:val="auto"/>
              </w:rPr>
              <w:t>11.001</w:t>
            </w:r>
          </w:p>
        </w:tc>
        <w:tc>
          <w:tcPr>
            <w:tcW w:w="1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auto"/>
            </w:tcBorders>
            <w:gridSpan w:val="10"/>
            <w:shd w:val="clear" w:color="auto" w:fill="CCEEFF"/>
          </w:tcPr>
          <w:p>
            <w:pPr>
              <w:spacing w:after="0" w:line="171" w:lineRule="exact"/>
              <w:rPr>
                <w:sz w:val="20"/>
                <w:szCs w:val="20"/>
                <w:color w:val="auto"/>
              </w:rPr>
            </w:pPr>
            <w:r>
              <w:rPr>
                <w:rFonts w:ascii="Arial" w:cs="Arial" w:eastAsia="Arial" w:hAnsi="Arial"/>
                <w:sz w:val="17"/>
                <w:szCs w:val="17"/>
                <w:color w:val="auto"/>
                <w:w w:val="93"/>
              </w:rPr>
              <w:t>Plumbing &amp; Process Piping</w:t>
            </w:r>
          </w:p>
        </w:tc>
        <w:tc>
          <w:tcPr>
            <w:tcW w:w="194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Plumbing &amp; Process Piping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35,900.00</w:t>
            </w:r>
          </w:p>
        </w:tc>
        <w:tc>
          <w:tcPr>
            <w:tcW w:w="1020" w:type="dxa"/>
            <w:vAlign w:val="bottom"/>
          </w:tcPr>
          <w:p>
            <w:pPr>
              <w:jc w:val="right"/>
              <w:spacing w:after="0"/>
              <w:rPr>
                <w:sz w:val="20"/>
                <w:szCs w:val="20"/>
                <w:color w:val="auto"/>
              </w:rPr>
            </w:pPr>
            <w:r>
              <w:rPr>
                <w:rFonts w:ascii="Arial" w:cs="Arial" w:eastAsia="Arial" w:hAnsi="Arial"/>
                <w:sz w:val="17"/>
                <w:szCs w:val="17"/>
                <w:color w:val="auto"/>
              </w:rPr>
              <w:t>27,230.00</w:t>
            </w:r>
          </w:p>
        </w:tc>
        <w:tc>
          <w:tcPr>
            <w:tcW w:w="20" w:type="dxa"/>
            <w:vAlign w:val="bottom"/>
          </w:tcPr>
          <w:p>
            <w:pPr>
              <w:spacing w:after="0"/>
              <w:rPr>
                <w:sz w:val="18"/>
                <w:szCs w:val="18"/>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KDS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PLUMBING &amp; PROCESS PIPING</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27,230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12.</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12.001</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Design &amp; Preconstruction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HVAC &amp; Control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39,950.00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39,950</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Western Allied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Relocate existing DP Guage to RM 230</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600</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40,550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H.V.A.C.</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40,550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ELECTRICAL</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13.001</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92"/>
              </w:rPr>
              <w:t>Electrical Systems</w:t>
            </w:r>
          </w:p>
        </w:tc>
        <w:tc>
          <w:tcPr>
            <w:tcW w:w="2580" w:type="dxa"/>
            <w:vAlign w:val="bottom"/>
            <w:tcBorders>
              <w:bottom w:val="single" w:sz="8" w:color="CCEEFF"/>
            </w:tcBorders>
            <w:gridSpan w:val="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Electrical Design &amp; Precon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Electrical</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31,725.00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31,725</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TL Electric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additional lighting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Additional scope per 1/25/10 design mtg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2,115.00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2,115</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33,840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13.060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Alarm</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Fire Alarm Design and Install</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5,550.00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5,550.00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DFP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Security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None</w:t>
            </w:r>
          </w:p>
        </w:tc>
        <w:tc>
          <w:tcPr>
            <w:tcW w:w="2680" w:type="dxa"/>
            <w:vAlign w:val="bottom"/>
            <w:tcBorders>
              <w:top w:val="single" w:sz="8" w:color="CCEEFF"/>
            </w:tcBorders>
            <w:gridSpan w:val="8"/>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89"/>
              </w:rPr>
              <w:t>Tele/Data Systems</w:t>
            </w:r>
          </w:p>
        </w:tc>
        <w:tc>
          <w:tcPr>
            <w:tcW w:w="2580" w:type="dxa"/>
            <w:vAlign w:val="bottom"/>
            <w:tcBorders>
              <w:bottom w:val="single" w:sz="8" w:color="CCEEFF"/>
            </w:tcBorders>
            <w:gridSpan w:val="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ELECTRICAL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39,390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gridSpan w:val="2"/>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-9067165</wp:posOffset>
            </wp:positionV>
            <wp:extent cx="12700"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-9067165</wp:posOffset>
            </wp:positionV>
            <wp:extent cx="12700"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-476250</wp:posOffset>
            </wp:positionV>
            <wp:extent cx="12700"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-476250</wp:posOffset>
            </wp:positionV>
            <wp:extent cx="12700"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18415"/>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14.</w:t>
            </w:r>
            <w:r>
              <w:rPr>
                <w:rFonts w:ascii="Arial" w:cs="Arial" w:eastAsia="Arial" w:hAnsi="Arial"/>
                <w:sz w:val="17"/>
                <w:szCs w:val="17"/>
                <w:u w:val="single" w:color="auto"/>
                <w:color w:val="auto"/>
              </w:rPr>
              <w:t>000</w:t>
            </w: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PROJECT MANAGEMENT</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3"/>
              <w:spacing w:after="0" w:line="171" w:lineRule="exact"/>
              <w:rPr>
                <w:sz w:val="20"/>
                <w:szCs w:val="20"/>
                <w:color w:val="auto"/>
              </w:rPr>
            </w:pPr>
            <w:r>
              <w:rPr>
                <w:rFonts w:ascii="Arial" w:cs="Arial" w:eastAsia="Arial" w:hAnsi="Arial"/>
                <w:sz w:val="17"/>
                <w:szCs w:val="17"/>
                <w:color w:val="auto"/>
              </w:rPr>
              <w:t>14.010</w:t>
            </w: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Project Management</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Project Management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40,560.00</w:t>
            </w: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40,560</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breakdow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33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Subtotal</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8"/>
              </w:rPr>
              <w:t>40,560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PROJECT MANAGEMENT</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40,560</w:t>
            </w:r>
          </w:p>
        </w:tc>
        <w:tc>
          <w:tcPr>
            <w:tcW w:w="2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15.</w:t>
            </w:r>
            <w:r>
              <w:rPr>
                <w:rFonts w:ascii="Arial" w:cs="Arial" w:eastAsia="Arial" w:hAnsi="Arial"/>
                <w:sz w:val="17"/>
                <w:szCs w:val="17"/>
                <w:u w:val="single" w:color="auto"/>
                <w:color w:val="auto"/>
              </w:rPr>
              <w:t>000</w:t>
            </w:r>
          </w:p>
        </w:tc>
        <w:tc>
          <w:tcPr>
            <w:tcW w:w="900" w:type="dxa"/>
            <w:vAlign w:val="bottom"/>
            <w:shd w:val="clear" w:color="auto" w:fill="CCEEFF"/>
          </w:tcPr>
          <w:p>
            <w:pPr>
              <w:spacing w:after="0"/>
              <w:rPr>
                <w:sz w:val="16"/>
                <w:szCs w:val="16"/>
                <w:color w:val="auto"/>
              </w:rPr>
            </w:pP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SPECIAL REQUIREMENTS</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3"/>
              <w:spacing w:after="0" w:line="171" w:lineRule="exact"/>
              <w:rPr>
                <w:sz w:val="20"/>
                <w:szCs w:val="20"/>
                <w:color w:val="auto"/>
              </w:rPr>
            </w:pPr>
            <w:r>
              <w:rPr>
                <w:rFonts w:ascii="Arial" w:cs="Arial" w:eastAsia="Arial" w:hAnsi="Arial"/>
                <w:sz w:val="17"/>
                <w:szCs w:val="17"/>
                <w:color w:val="auto"/>
              </w:rPr>
              <w:t>15.010</w:t>
            </w: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Special Requirements</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Special Requirements</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10,083.00</w:t>
            </w: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10,083</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breakdow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Permit Fees</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allow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0</w:t>
            </w:r>
          </w:p>
        </w:tc>
        <w:tc>
          <w:tcPr>
            <w:tcW w:w="2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Subtotal</w:t>
            </w:r>
          </w:p>
        </w:tc>
        <w:tc>
          <w:tcPr>
            <w:tcW w:w="1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w w:val="88"/>
              </w:rPr>
              <w:t>10,083</w:t>
            </w:r>
          </w:p>
        </w:tc>
        <w:tc>
          <w:tcPr>
            <w:tcW w:w="10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TOTAL SPECIAL REQUIREMENTS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10,083</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0" w:type="dxa"/>
            <w:vAlign w:val="bottom"/>
            <w:tcBorders>
              <w:bottom w:val="single" w:sz="8" w:color="010101"/>
            </w:tcBorders>
            <w:gridSpan w:val="2"/>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1700" w:type="dxa"/>
            <w:vAlign w:val="bottom"/>
            <w:gridSpan w:val="4"/>
          </w:tcPr>
          <w:p>
            <w:pPr>
              <w:spacing w:after="0"/>
              <w:rPr>
                <w:sz w:val="20"/>
                <w:szCs w:val="20"/>
                <w:color w:val="auto"/>
              </w:rPr>
            </w:pPr>
            <w:r>
              <w:rPr>
                <w:rFonts w:ascii="Arial" w:cs="Arial" w:eastAsia="Arial" w:hAnsi="Arial"/>
                <w:sz w:val="17"/>
                <w:szCs w:val="17"/>
                <w:color w:val="auto"/>
              </w:rPr>
              <w:t>CLARIFICATIONS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680"/>
              <w:spacing w:after="0"/>
              <w:rPr>
                <w:sz w:val="20"/>
                <w:szCs w:val="20"/>
                <w:color w:val="auto"/>
              </w:rPr>
            </w:pPr>
            <w:r>
              <w:rPr>
                <w:rFonts w:ascii="Arial" w:cs="Arial" w:eastAsia="Arial" w:hAnsi="Arial"/>
                <w:sz w:val="17"/>
                <w:szCs w:val="17"/>
                <w:color w:val="auto"/>
              </w:rPr>
              <w:t>[BNB NorCal Logo]</w:t>
            </w:r>
          </w:p>
        </w:tc>
        <w:tc>
          <w:tcPr>
            <w:tcW w:w="0" w:type="dxa"/>
            <w:vAlign w:val="bottom"/>
          </w:tcPr>
          <w:p>
            <w:pPr>
              <w:spacing w:after="0"/>
              <w:rPr>
                <w:sz w:val="1"/>
                <w:szCs w:val="1"/>
                <w:color w:val="auto"/>
              </w:rPr>
            </w:pPr>
          </w:p>
        </w:tc>
      </w:tr>
      <w:tr>
        <w:trPr>
          <w:trHeight w:val="408"/>
        </w:trPr>
        <w:tc>
          <w:tcPr>
            <w:tcW w:w="5040" w:type="dxa"/>
            <w:vAlign w:val="bottom"/>
            <w:gridSpan w:val="9"/>
          </w:tcPr>
          <w:p>
            <w:pPr>
              <w:spacing w:after="0"/>
              <w:rPr>
                <w:sz w:val="20"/>
                <w:szCs w:val="20"/>
                <w:color w:val="auto"/>
              </w:rPr>
            </w:pPr>
            <w:r>
              <w:rPr>
                <w:rFonts w:ascii="Arial" w:cs="Arial" w:eastAsia="Arial" w:hAnsi="Arial"/>
                <w:sz w:val="17"/>
                <w:szCs w:val="17"/>
                <w:color w:val="auto"/>
              </w:rPr>
              <w:t>PROJECT:  Veraoyte - CLIA Lab Build-Out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7"/>
                <w:szCs w:val="17"/>
                <w:color w:val="auto"/>
              </w:rPr>
              <w:t>CITY:</w:t>
            </w:r>
          </w:p>
        </w:tc>
        <w:tc>
          <w:tcPr>
            <w:tcW w:w="4240" w:type="dxa"/>
            <w:vAlign w:val="bottom"/>
            <w:gridSpan w:val="6"/>
          </w:tcPr>
          <w:p>
            <w:pPr>
              <w:ind w:left="140"/>
              <w:spacing w:after="0"/>
              <w:rPr>
                <w:sz w:val="20"/>
                <w:szCs w:val="20"/>
                <w:color w:val="auto"/>
              </w:rPr>
            </w:pPr>
            <w:r>
              <w:rPr>
                <w:rFonts w:ascii="Arial" w:cs="Arial" w:eastAsia="Arial" w:hAnsi="Arial"/>
                <w:sz w:val="17"/>
                <w:szCs w:val="17"/>
                <w:color w:val="auto"/>
              </w:rPr>
              <w:t>South San Francisco, CA</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7"/>
                <w:szCs w:val="17"/>
                <w:color w:val="auto"/>
              </w:rPr>
              <w:t>CLIENT:</w:t>
            </w:r>
          </w:p>
        </w:tc>
        <w:tc>
          <w:tcPr>
            <w:tcW w:w="900" w:type="dxa"/>
            <w:vAlign w:val="bottom"/>
          </w:tcPr>
          <w:p>
            <w:pPr>
              <w:ind w:left="140"/>
              <w:spacing w:after="0"/>
              <w:rPr>
                <w:sz w:val="20"/>
                <w:szCs w:val="20"/>
                <w:color w:val="auto"/>
              </w:rPr>
            </w:pPr>
            <w:r>
              <w:rPr>
                <w:rFonts w:ascii="Arial" w:cs="Arial" w:eastAsia="Arial" w:hAnsi="Arial"/>
                <w:sz w:val="17"/>
                <w:szCs w:val="17"/>
                <w:color w:val="auto"/>
              </w:rPr>
              <w:t>Veracyte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gridSpan w:val="4"/>
          </w:tcPr>
          <w:p>
            <w:pPr>
              <w:ind w:left="240"/>
              <w:spacing w:after="0"/>
              <w:rPr>
                <w:sz w:val="20"/>
                <w:szCs w:val="20"/>
                <w:color w:val="auto"/>
              </w:rPr>
            </w:pPr>
            <w:r>
              <w:rPr>
                <w:rFonts w:ascii="Arial" w:cs="Arial" w:eastAsia="Arial" w:hAnsi="Arial"/>
                <w:sz w:val="17"/>
                <w:szCs w:val="17"/>
                <w:color w:val="auto"/>
              </w:rPr>
              <w:t>BNB PROJECT NO.: TBD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gridSpan w:val="3"/>
          </w:tcPr>
          <w:p>
            <w:pPr>
              <w:spacing w:after="0"/>
              <w:rPr>
                <w:sz w:val="20"/>
                <w:szCs w:val="20"/>
                <w:color w:val="auto"/>
              </w:rPr>
            </w:pPr>
            <w:r>
              <w:rPr>
                <w:rFonts w:ascii="Arial" w:cs="Arial" w:eastAsia="Arial" w:hAnsi="Arial"/>
                <w:sz w:val="17"/>
                <w:szCs w:val="17"/>
                <w:color w:val="auto"/>
              </w:rPr>
              <w:t>ARCH:</w:t>
            </w:r>
          </w:p>
        </w:tc>
        <w:tc>
          <w:tcPr>
            <w:tcW w:w="900" w:type="dxa"/>
            <w:vAlign w:val="bottom"/>
          </w:tcPr>
          <w:p>
            <w:pPr>
              <w:ind w:left="140"/>
              <w:spacing w:after="0"/>
              <w:rPr>
                <w:sz w:val="20"/>
                <w:szCs w:val="20"/>
                <w:color w:val="auto"/>
              </w:rPr>
            </w:pPr>
            <w:r>
              <w:rPr>
                <w:rFonts w:ascii="Arial" w:cs="Arial" w:eastAsia="Arial" w:hAnsi="Arial"/>
                <w:sz w:val="17"/>
                <w:szCs w:val="17"/>
                <w:color w:val="auto"/>
              </w:rPr>
              <w:t>DGA</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gridSpan w:val="5"/>
          </w:tcPr>
          <w:p>
            <w:pPr>
              <w:ind w:left="440"/>
              <w:spacing w:after="0"/>
              <w:rPr>
                <w:sz w:val="20"/>
                <w:szCs w:val="20"/>
                <w:color w:val="auto"/>
              </w:rPr>
            </w:pPr>
            <w:r>
              <w:rPr>
                <w:rFonts w:ascii="Arial" w:cs="Arial" w:eastAsia="Arial" w:hAnsi="Arial"/>
                <w:sz w:val="17"/>
                <w:szCs w:val="17"/>
                <w:color w:val="auto"/>
                <w:w w:val="98"/>
              </w:rPr>
              <w:t>DATE: January 28, 2010</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080" w:hanging="302"/>
        <w:spacing w:after="0"/>
        <w:tabs>
          <w:tab w:leader="none" w:pos="10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Decommissioning of existing space is excluded</w:t>
      </w:r>
    </w:p>
    <w:p>
      <w:pPr>
        <w:spacing w:after="0" w:line="2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   All salvaged items will be stored onsite</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3   Work will be performed during normal business hours</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4   Equipment identified as future not included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5   Permit fees are excluded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6   Structural upgrades are not included</w:t>
      </w:r>
    </w:p>
    <w:p>
      <w:pPr>
        <w:spacing w:after="0" w:line="14" w:lineRule="exact"/>
        <w:rPr>
          <w:rFonts w:ascii="Arial" w:cs="Arial" w:eastAsia="Arial" w:hAnsi="Arial"/>
          <w:sz w:val="17"/>
          <w:szCs w:val="17"/>
          <w:color w:val="auto"/>
        </w:rPr>
      </w:pPr>
    </w:p>
    <w:p>
      <w:pPr>
        <w:ind w:left="780" w:right="6720"/>
        <w:spacing w:after="0" w:line="257" w:lineRule="auto"/>
        <w:rPr>
          <w:rFonts w:ascii="Arial" w:cs="Arial" w:eastAsia="Arial" w:hAnsi="Arial"/>
          <w:sz w:val="17"/>
          <w:szCs w:val="17"/>
          <w:color w:val="auto"/>
        </w:rPr>
      </w:pPr>
      <w:r>
        <w:rPr>
          <w:rFonts w:ascii="Arial" w:cs="Arial" w:eastAsia="Arial" w:hAnsi="Arial"/>
          <w:sz w:val="17"/>
          <w:szCs w:val="17"/>
          <w:color w:val="auto"/>
        </w:rPr>
        <w:t>7 Per latest dwgs no sink included in Rms. 223 or 229 8 Security/Card readers are not included.</w:t>
      </w:r>
    </w:p>
    <w:p>
      <w:pPr>
        <w:ind w:left="780" w:right="2800"/>
        <w:spacing w:after="0" w:line="273" w:lineRule="auto"/>
        <w:rPr>
          <w:rFonts w:ascii="Arial" w:cs="Arial" w:eastAsia="Arial" w:hAnsi="Arial"/>
          <w:sz w:val="17"/>
          <w:szCs w:val="17"/>
          <w:color w:val="auto"/>
        </w:rPr>
      </w:pPr>
      <w:r>
        <w:rPr>
          <w:rFonts w:ascii="Arial" w:cs="Arial" w:eastAsia="Arial" w:hAnsi="Arial"/>
          <w:sz w:val="16"/>
          <w:szCs w:val="16"/>
          <w:color w:val="auto"/>
        </w:rPr>
        <w:t>9 Cost to add existing fume hood to E-power is pending confirmation of E-power load and existing conditions 10 Cost for new door based on conversation with DCA on 1.19.10 and review of existing door sizes</w:t>
      </w:r>
    </w:p>
    <w:p>
      <w:pPr>
        <w:ind w:left="780" w:right="4260"/>
        <w:spacing w:after="0" w:line="257" w:lineRule="auto"/>
        <w:rPr>
          <w:rFonts w:ascii="Arial" w:cs="Arial" w:eastAsia="Arial" w:hAnsi="Arial"/>
          <w:sz w:val="17"/>
          <w:szCs w:val="17"/>
          <w:color w:val="auto"/>
        </w:rPr>
      </w:pPr>
      <w:r>
        <w:rPr>
          <w:rFonts w:ascii="Arial" w:cs="Arial" w:eastAsia="Arial" w:hAnsi="Arial"/>
          <w:sz w:val="17"/>
          <w:szCs w:val="17"/>
          <w:color w:val="auto"/>
        </w:rPr>
        <w:t>11 No costs are inculded for sheet A1.1 ADA upgrades, separate pricing will be forwarded 12 Moving door 221D is excluded</w:t>
      </w:r>
    </w:p>
    <w:p>
      <w:pPr>
        <w:ind w:left="780"/>
        <w:spacing w:after="0"/>
        <w:rPr>
          <w:rFonts w:ascii="Arial" w:cs="Arial" w:eastAsia="Arial" w:hAnsi="Arial"/>
          <w:sz w:val="17"/>
          <w:szCs w:val="17"/>
          <w:color w:val="auto"/>
        </w:rPr>
      </w:pPr>
      <w:r>
        <w:rPr>
          <w:rFonts w:ascii="Arial" w:cs="Arial" w:eastAsia="Arial" w:hAnsi="Arial"/>
          <w:sz w:val="17"/>
          <w:szCs w:val="17"/>
          <w:color w:val="auto"/>
        </w:rPr>
        <w:t>13  No demo or cap of existing utilities in rm 226 is included</w:t>
      </w:r>
    </w:p>
    <w:p>
      <w:pPr>
        <w:spacing w:after="0" w:line="14" w:lineRule="exact"/>
        <w:rPr>
          <w:rFonts w:ascii="Arial" w:cs="Arial" w:eastAsia="Arial" w:hAnsi="Arial"/>
          <w:sz w:val="17"/>
          <w:szCs w:val="17"/>
          <w:color w:val="auto"/>
        </w:rPr>
      </w:pPr>
    </w:p>
    <w:p>
      <w:pPr>
        <w:ind w:left="780" w:right="4840"/>
        <w:spacing w:after="0" w:line="275" w:lineRule="auto"/>
        <w:rPr>
          <w:rFonts w:ascii="Arial" w:cs="Arial" w:eastAsia="Arial" w:hAnsi="Arial"/>
          <w:sz w:val="17"/>
          <w:szCs w:val="17"/>
          <w:color w:val="auto"/>
        </w:rPr>
      </w:pPr>
      <w:r>
        <w:rPr>
          <w:rFonts w:ascii="Arial" w:cs="Arial" w:eastAsia="Arial" w:hAnsi="Arial"/>
          <w:sz w:val="17"/>
          <w:szCs w:val="17"/>
          <w:color w:val="auto"/>
        </w:rPr>
        <w:t>14 Existing walls to remain as is, extending studs to underside of deck is excluded 15 Sound Insulation is excluded</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7"/>
                <w:szCs w:val="17"/>
                <w:b w:val="1"/>
                <w:bCs w:val="1"/>
                <w:color w:val="auto"/>
                <w:w w:val="90"/>
              </w:rPr>
              <w:t>7000 Shoreline/Veracyte</w:t>
            </w:r>
          </w:p>
        </w:tc>
      </w:tr>
      <w:tr>
        <w:trPr>
          <w:trHeight w:val="419"/>
        </w:trPr>
        <w:tc>
          <w:tcPr>
            <w:tcW w:w="2920" w:type="dxa"/>
            <w:vAlign w:val="bottom"/>
          </w:tcPr>
          <w:p>
            <w:pPr>
              <w:spacing w:after="0"/>
              <w:rPr>
                <w:sz w:val="24"/>
                <w:szCs w:val="24"/>
                <w:color w:val="auto"/>
              </w:rPr>
            </w:pPr>
          </w:p>
        </w:tc>
        <w:tc>
          <w:tcPr>
            <w:tcW w:w="44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EXHIBIT D TO LEASE</w:t>
            </w: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81"/>
        </w:trPr>
        <w:tc>
          <w:tcPr>
            <w:tcW w:w="292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ACKNOWLEDGMENT OF COMMENCEMENT DATE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8"/>
        </w:trPr>
        <w:tc>
          <w:tcPr>
            <w:tcW w:w="7380" w:type="dxa"/>
            <w:vAlign w:val="bottom"/>
            <w:gridSpan w:val="3"/>
          </w:tcPr>
          <w:p>
            <w:pPr>
              <w:spacing w:after="0"/>
              <w:rPr>
                <w:sz w:val="20"/>
                <w:szCs w:val="20"/>
                <w:color w:val="auto"/>
              </w:rPr>
            </w:pPr>
            <w:r>
              <w:rPr>
                <w:rFonts w:ascii="Arial" w:cs="Arial" w:eastAsia="Arial" w:hAnsi="Arial"/>
                <w:sz w:val="17"/>
                <w:szCs w:val="17"/>
                <w:color w:val="auto"/>
                <w:w w:val="94"/>
              </w:rPr>
              <w:t xml:space="preserve">This </w:t>
            </w:r>
            <w:r>
              <w:rPr>
                <w:rFonts w:ascii="Arial" w:cs="Arial" w:eastAsia="Arial" w:hAnsi="Arial"/>
                <w:sz w:val="17"/>
                <w:szCs w:val="17"/>
                <w:b w:val="1"/>
                <w:bCs w:val="1"/>
                <w:color w:val="auto"/>
                <w:w w:val="94"/>
              </w:rPr>
              <w:t>ACKNOWLEDGMENT OF COMMENCEMENT DATE</w:t>
            </w:r>
            <w:r>
              <w:rPr>
                <w:rFonts w:ascii="Arial" w:cs="Arial" w:eastAsia="Arial" w:hAnsi="Arial"/>
                <w:sz w:val="17"/>
                <w:szCs w:val="17"/>
                <w:color w:val="auto"/>
                <w:w w:val="94"/>
              </w:rPr>
              <w:t xml:space="preserve"> is made thisday of</w:t>
            </w:r>
          </w:p>
        </w:tc>
        <w:tc>
          <w:tcPr>
            <w:tcW w:w="78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2620" w:type="dxa"/>
            <w:vAlign w:val="bottom"/>
          </w:tcPr>
          <w:p>
            <w:pPr>
              <w:ind w:left="600"/>
              <w:spacing w:after="0"/>
              <w:rPr>
                <w:sz w:val="20"/>
                <w:szCs w:val="20"/>
                <w:color w:val="auto"/>
              </w:rPr>
            </w:pP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w:t>
            </w:r>
          </w:p>
        </w:tc>
      </w:tr>
    </w:tbl>
    <w:p>
      <w:pPr>
        <w:spacing w:after="0"/>
        <w:rPr>
          <w:sz w:val="20"/>
          <w:szCs w:val="20"/>
          <w:color w:val="auto"/>
        </w:rPr>
      </w:pPr>
      <w:r>
        <w:rPr>
          <w:rFonts w:ascii="Arial" w:cs="Arial" w:eastAsia="Arial" w:hAnsi="Arial"/>
          <w:sz w:val="16"/>
          <w:szCs w:val="16"/>
          <w:b w:val="1"/>
          <w:bCs w:val="1"/>
          <w:color w:val="auto"/>
        </w:rPr>
        <w:t xml:space="preserve">FRANCISCO NO. 17, LLC, </w:t>
      </w:r>
      <w:r>
        <w:rPr>
          <w:rFonts w:ascii="Arial" w:cs="Arial" w:eastAsia="Arial" w:hAnsi="Arial"/>
          <w:sz w:val="16"/>
          <w:szCs w:val="16"/>
          <w:color w:val="auto"/>
        </w:rPr>
        <w:t>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VERACYTE, INC., </w:t>
      </w:r>
      <w:r>
        <w:rPr>
          <w:rFonts w:ascii="Arial" w:cs="Arial" w:eastAsia="Arial" w:hAnsi="Arial"/>
          <w:sz w:val="16"/>
          <w:szCs w:val="16"/>
          <w:color w:val="auto"/>
        </w:rPr>
        <w:t>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w:t>
      </w:r>
    </w:p>
    <w:p>
      <w:pPr>
        <w:spacing w:after="0" w:line="376" w:lineRule="exact"/>
        <w:rPr>
          <w:sz w:val="20"/>
          <w:szCs w:val="20"/>
          <w:color w:val="auto"/>
        </w:rPr>
      </w:pPr>
    </w:p>
    <w:p>
      <w:pPr>
        <w:ind w:right="540"/>
        <w:spacing w:after="0" w:line="297" w:lineRule="auto"/>
        <w:rPr>
          <w:sz w:val="20"/>
          <w:szCs w:val="20"/>
          <w:color w:val="auto"/>
        </w:rPr>
      </w:pPr>
      <w:r>
        <w:rPr>
          <w:rFonts w:ascii="Arial" w:cs="Arial" w:eastAsia="Arial" w:hAnsi="Arial"/>
          <w:sz w:val="17"/>
          <w:szCs w:val="17"/>
          <w:color w:val="auto"/>
        </w:rPr>
        <w:t>to and made a part of 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51" w:lineRule="exact"/>
        <w:rPr>
          <w:sz w:val="20"/>
          <w:szCs w:val="20"/>
          <w:color w:val="auto"/>
        </w:rPr>
      </w:pPr>
    </w:p>
    <w:p>
      <w:pPr>
        <w:ind w:left="640"/>
        <w:spacing w:after="0"/>
        <w:tabs>
          <w:tab w:leader="none" w:pos="10660" w:val="left"/>
        </w:tabs>
        <w:rPr>
          <w:sz w:val="20"/>
          <w:szCs w:val="20"/>
          <w:color w:val="auto"/>
        </w:rPr>
      </w:pPr>
      <w:r>
        <w:rPr>
          <w:rFonts w:ascii="Arial" w:cs="Arial" w:eastAsia="Arial" w:hAnsi="Arial"/>
          <w:sz w:val="16"/>
          <w:szCs w:val="16"/>
          <w:color w:val="auto"/>
        </w:rPr>
        <w:t>Landlord and Tenant hereby acknowledge and agree, for all purposes of the Lease, that the Current Premises Commencement Date is</w:t>
      </w:r>
      <w:r>
        <w:rPr>
          <w:sz w:val="20"/>
          <w:szCs w:val="20"/>
          <w:color w:val="auto"/>
        </w:rPr>
        <w:tab/>
      </w:r>
      <w:r>
        <w:rPr>
          <w:rFonts w:ascii="Arial" w:cs="Arial" w:eastAsia="Arial" w:hAnsi="Arial"/>
          <w:sz w:val="14"/>
          <w:szCs w:val="14"/>
          <w:color w:val="auto"/>
        </w:rPr>
        <w:t>,</w:t>
      </w:r>
    </w:p>
    <w:p>
      <w:pPr>
        <w:spacing w:after="0" w:line="38" w:lineRule="exact"/>
        <w:rPr>
          <w:sz w:val="20"/>
          <w:szCs w:val="20"/>
          <w:color w:val="auto"/>
        </w:rPr>
      </w:pPr>
    </w:p>
    <w:p>
      <w:pPr>
        <w:ind w:left="700"/>
        <w:spacing w:after="0"/>
        <w:tabs>
          <w:tab w:leader="none" w:pos="4900" w:val="left"/>
          <w:tab w:leader="none" w:pos="5700" w:val="left"/>
        </w:tabs>
        <w:rPr>
          <w:sz w:val="20"/>
          <w:szCs w:val="20"/>
          <w:color w:val="auto"/>
        </w:rPr>
      </w:pPr>
      <w:r>
        <w:rPr>
          <w:rFonts w:ascii="Arial" w:cs="Arial" w:eastAsia="Arial" w:hAnsi="Arial"/>
          <w:sz w:val="17"/>
          <w:szCs w:val="17"/>
          <w:color w:val="auto"/>
        </w:rPr>
        <w:t>, the Expansion Premises Commencement Date is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and the termination date of the Base Term of the Lease shall be midnight on</w:t>
      </w:r>
    </w:p>
    <w:p>
      <w:pPr>
        <w:spacing w:after="0" w:line="14" w:lineRule="exact"/>
        <w:rPr>
          <w:sz w:val="20"/>
          <w:szCs w:val="20"/>
          <w:color w:val="auto"/>
        </w:rPr>
      </w:pPr>
    </w:p>
    <w:p>
      <w:pPr>
        <w:ind w:right="580" w:firstLine="878"/>
        <w:spacing w:after="0" w:line="275" w:lineRule="auto"/>
        <w:tabs>
          <w:tab w:leader="none" w:pos="96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case of a conflict between the terms of the Lease and the terms of this Acknowledgment of Commencement Date, this Acknowledgment of Commencement Date shall control for all purposes.</w:t>
      </w:r>
    </w:p>
    <w:p>
      <w:pPr>
        <w:spacing w:after="0" w:line="16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9525</wp:posOffset>
            </wp:positionV>
            <wp:extent cx="34048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04870" cy="82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-123190</wp:posOffset>
            </wp:positionV>
            <wp:extent cx="3404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ectPr>
          <w:pgSz w:w="11900" w:h="16838" w:orient="portrait"/>
          <w:cols w:equalWidth="0" w:num="1">
            <w:col w:w="11460"/>
          </w:cols>
          <w:pgMar w:left="240" w:top="115" w:right="199" w:bottom="0" w:gutter="0" w:footer="0" w:header="0"/>
        </w:sectPr>
      </w:pPr>
    </w:p>
    <w:bookmarkStart w:id="215" w:name="page216"/>
    <w:bookmarkEnd w:id="215"/>
    <w:p>
      <w:pPr>
        <w:ind w:left="574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ARE-SAN FRANCISCO NO. 17, LLC,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limited liability company</w:t>
      </w:r>
    </w:p>
    <w:p>
      <w:pPr>
        <w:spacing w:after="0" w:line="21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ALEXANDRIA REAL ESTATE EQUITIES, L.P.,</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By:  ARE-QRS CORP.,</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9525</wp:posOffset>
            </wp:positionV>
            <wp:extent cx="29216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-123190</wp:posOffset>
            </wp:positionV>
            <wp:extent cx="29216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Rules and Regulations</w:t>
      </w:r>
      <w:r>
        <w:rPr>
          <w:sz w:val="20"/>
          <w:szCs w:val="20"/>
          <w:color w:val="auto"/>
        </w:rPr>
        <w:tab/>
      </w:r>
      <w:r>
        <w:rPr>
          <w:rFonts w:ascii="Arial" w:cs="Arial" w:eastAsia="Arial" w:hAnsi="Arial"/>
          <w:sz w:val="15"/>
          <w:szCs w:val="15"/>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0" w:lineRule="exact"/>
        <w:rPr>
          <w:sz w:val="20"/>
          <w:szCs w:val="20"/>
          <w:color w:val="auto"/>
        </w:rPr>
      </w:pPr>
    </w:p>
    <w:p>
      <w:pPr>
        <w:ind w:right="20" w:firstLine="634"/>
        <w:spacing w:after="0" w:line="289"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224" w:lineRule="exact"/>
        <w:rPr>
          <w:rFonts w:ascii="Arial" w:cs="Arial" w:eastAsia="Arial" w:hAnsi="Arial"/>
          <w:sz w:val="17"/>
          <w:szCs w:val="17"/>
          <w:color w:val="auto"/>
        </w:rPr>
      </w:pPr>
    </w:p>
    <w:p>
      <w:pPr>
        <w:ind w:right="320" w:firstLine="634"/>
        <w:spacing w:after="0" w:line="289"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not disturb the occupants of the Project or adjoining buildings by the use of any radio or musical instrument or by the making of loud or improper noises.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71" w:lineRule="exact"/>
        <w:rPr>
          <w:rFonts w:ascii="Arial" w:cs="Arial" w:eastAsia="Arial" w:hAnsi="Arial"/>
          <w:sz w:val="17"/>
          <w:szCs w:val="17"/>
          <w:color w:val="auto"/>
        </w:rPr>
      </w:pPr>
    </w:p>
    <w:p>
      <w:pPr>
        <w:ind w:right="320" w:firstLine="634"/>
        <w:spacing w:after="0" w:line="273"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71" w:lineRule="exact"/>
        <w:rPr>
          <w:rFonts w:ascii="Arial" w:cs="Arial" w:eastAsia="Arial" w:hAnsi="Arial"/>
          <w:sz w:val="17"/>
          <w:szCs w:val="17"/>
          <w:color w:val="auto"/>
        </w:rPr>
      </w:pPr>
    </w:p>
    <w:p>
      <w:pPr>
        <w:ind w:right="40" w:firstLine="634"/>
        <w:spacing w:after="0" w:line="265"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224" w:lineRule="exact"/>
        <w:rPr>
          <w:rFonts w:ascii="Arial" w:cs="Arial" w:eastAsia="Arial" w:hAnsi="Arial"/>
          <w:sz w:val="17"/>
          <w:szCs w:val="17"/>
          <w:color w:val="auto"/>
        </w:rPr>
      </w:pPr>
    </w:p>
    <w:p>
      <w:pPr>
        <w:ind w:right="600" w:firstLine="634"/>
        <w:spacing w:after="0" w:line="289" w:lineRule="auto"/>
        <w:tabs>
          <w:tab w:leader="none" w:pos="12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58" w:lineRule="exact"/>
        <w:rPr>
          <w:rFonts w:ascii="Arial" w:cs="Arial" w:eastAsia="Arial" w:hAnsi="Arial"/>
          <w:sz w:val="17"/>
          <w:szCs w:val="17"/>
          <w:color w:val="auto"/>
        </w:rPr>
      </w:pPr>
    </w:p>
    <w:p>
      <w:pPr>
        <w:ind w:right="20" w:firstLine="634"/>
        <w:spacing w:after="0" w:line="273" w:lineRule="auto"/>
        <w:tabs>
          <w:tab w:leader="none" w:pos="125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71" w:lineRule="exact"/>
        <w:rPr>
          <w:rFonts w:ascii="Arial" w:cs="Arial" w:eastAsia="Arial" w:hAnsi="Arial"/>
          <w:sz w:val="17"/>
          <w:szCs w:val="17"/>
          <w:color w:val="auto"/>
        </w:rPr>
      </w:pPr>
    </w:p>
    <w:p>
      <w:pPr>
        <w:ind w:right="340" w:firstLine="634"/>
        <w:spacing w:after="0" w:line="289" w:lineRule="auto"/>
        <w:tabs>
          <w:tab w:leader="none" w:pos="124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158"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1260" w:hanging="626"/>
        <w:spacing w:after="0"/>
        <w:tabs>
          <w:tab w:leader="none" w:pos="12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that purpose.</w:t>
      </w:r>
    </w:p>
    <w:p>
      <w:pPr>
        <w:spacing w:after="0" w:line="212" w:lineRule="exact"/>
        <w:rPr>
          <w:rFonts w:ascii="Arial" w:cs="Arial" w:eastAsia="Arial" w:hAnsi="Arial"/>
          <w:sz w:val="15"/>
          <w:szCs w:val="15"/>
          <w:color w:val="auto"/>
        </w:rPr>
      </w:pPr>
    </w:p>
    <w:p>
      <w:pPr>
        <w:ind w:left="1260" w:hanging="626"/>
        <w:spacing w:after="0"/>
        <w:tabs>
          <w:tab w:leader="none" w:pos="12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224" w:lineRule="exact"/>
        <w:rPr>
          <w:rFonts w:ascii="Arial" w:cs="Arial" w:eastAsia="Arial" w:hAnsi="Arial"/>
          <w:sz w:val="17"/>
          <w:szCs w:val="17"/>
          <w:color w:val="auto"/>
        </w:rPr>
      </w:pPr>
    </w:p>
    <w:p>
      <w:pPr>
        <w:ind w:right="620" w:firstLine="634"/>
        <w:spacing w:after="0" w:line="289" w:lineRule="auto"/>
        <w:tabs>
          <w:tab w:leader="none" w:pos="125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or for any immoral or illegal purposes or for any purpose other than that specified in the Lease. No gaming devices shall be operated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-1599565</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16" w:name="page217"/>
    <w:bookmarkEnd w:id="216"/>
    <w:p>
      <w:pPr>
        <w:ind w:firstLine="634"/>
        <w:spacing w:after="0" w:line="298" w:lineRule="auto"/>
        <w:tabs>
          <w:tab w:leader="none" w:pos="125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224"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LANDLORD’S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Inventory of Existing Furniture in the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Main Conference Room</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Large conference room table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1, credenza</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1, short/black fridge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2 whiteboards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Patio</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3 round metal tables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9 metal chairs (weathered)</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6 metal chairs with black seats (weathered)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Reception</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1, round (approx 4’ diameter) table with wood top</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3, wood armchairs with leaf fabric pattern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Powered Office Cubes</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30 assembled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Break Room</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Stainless steel fridge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offices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9 assembled desks/workstations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1, desk only</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1, file (under-desk, black, single-drawer)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2, oval tables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and Cube Chairs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1, black/fabric task chair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11, blue task chairs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16, black, side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AGREEMENT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LANDLORD,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TENANT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NOVEMBER 28,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CORPORATE PARK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12357 A RIATA TRACE PARKWAY, BUILDING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AUSTIN, TEXAS 78727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0" w:type="dxa"/>
            <w:vAlign w:val="bottom"/>
            <w:gridSpan w:val="15"/>
          </w:tcPr>
          <w:p>
            <w:pPr>
              <w:spacing w:after="0"/>
              <w:rPr>
                <w:sz w:val="20"/>
                <w:szCs w:val="20"/>
                <w:color w:val="auto"/>
              </w:rPr>
            </w:pPr>
            <w:r>
              <w:rPr>
                <w:rFonts w:ascii="Arial" w:cs="Arial" w:eastAsia="Arial" w:hAnsi="Arial"/>
                <w:sz w:val="17"/>
                <w:szCs w:val="17"/>
                <w:b w:val="1"/>
                <w:bCs w:val="1"/>
                <w:color w:val="auto"/>
              </w:rPr>
              <w:t>BASIC LEASE INFORMATION</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940" w:type="dxa"/>
            <w:vAlign w:val="bottom"/>
          </w:tcPr>
          <w:p>
            <w:pPr>
              <w:spacing w:after="0"/>
              <w:rPr>
                <w:sz w:val="20"/>
                <w:szCs w:val="20"/>
                <w:color w:val="auto"/>
              </w:rPr>
            </w:pPr>
            <w:r>
              <w:rPr>
                <w:rFonts w:ascii="Arial" w:cs="Arial" w:eastAsia="Arial" w:hAnsi="Arial"/>
                <w:sz w:val="17"/>
                <w:szCs w:val="17"/>
                <w:color w:val="auto"/>
              </w:rPr>
              <w:t>Lease Date:</w:t>
            </w: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November 28, 2012</w:t>
            </w: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Landlord:</w:t>
            </w:r>
          </w:p>
        </w:tc>
        <w:tc>
          <w:tcPr>
            <w:tcW w:w="9480" w:type="dxa"/>
            <w:vAlign w:val="bottom"/>
            <w:gridSpan w:val="26"/>
          </w:tcPr>
          <w:p>
            <w:pPr>
              <w:ind w:left="360"/>
              <w:spacing w:after="0"/>
              <w:rPr>
                <w:sz w:val="20"/>
                <w:szCs w:val="20"/>
                <w:color w:val="auto"/>
              </w:rPr>
            </w:pPr>
            <w:r>
              <w:rPr>
                <w:rFonts w:ascii="Arial" w:cs="Arial" w:eastAsia="Arial" w:hAnsi="Arial"/>
                <w:sz w:val="17"/>
                <w:szCs w:val="17"/>
                <w:b w:val="1"/>
                <w:bCs w:val="1"/>
                <w:color w:val="auto"/>
              </w:rPr>
              <w:t xml:space="preserve">RIATA HOLDINGS, L.P., </w:t>
            </w:r>
            <w:r>
              <w:rPr>
                <w:rFonts w:ascii="Arial" w:cs="Arial" w:eastAsia="Arial" w:hAnsi="Arial"/>
                <w:sz w:val="17"/>
                <w:szCs w:val="17"/>
                <w:color w:val="auto"/>
              </w:rPr>
              <w:t>a Delaware limited partnership doing business in Texas as Riata Austin Holdings, L.P.</w:t>
            </w: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Tenant:</w:t>
            </w:r>
          </w:p>
        </w:tc>
        <w:tc>
          <w:tcPr>
            <w:tcW w:w="4360" w:type="dxa"/>
            <w:vAlign w:val="bottom"/>
            <w:gridSpan w:val="15"/>
          </w:tcPr>
          <w:p>
            <w:pPr>
              <w:ind w:left="360"/>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940" w:type="dxa"/>
            <w:vAlign w:val="bottom"/>
          </w:tcPr>
          <w:p>
            <w:pPr>
              <w:spacing w:after="0"/>
              <w:rPr>
                <w:sz w:val="20"/>
                <w:szCs w:val="20"/>
                <w:color w:val="auto"/>
              </w:rPr>
            </w:pPr>
            <w:r>
              <w:rPr>
                <w:rFonts w:ascii="Arial" w:cs="Arial" w:eastAsia="Arial" w:hAnsi="Arial"/>
                <w:sz w:val="17"/>
                <w:szCs w:val="17"/>
                <w:color w:val="auto"/>
              </w:rPr>
              <w:t>Premises:</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Suite No. 100 and Suite No. 110, containing in the aggregate 10,364 rentable square feet, in the building commonly known as</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5"/>
              </w:rPr>
              <w:t>12357 A Riata Trace Parkway, Building 5 (the “</w:t>
            </w:r>
            <w:r>
              <w:rPr>
                <w:rFonts w:ascii="Arial" w:cs="Arial" w:eastAsia="Arial" w:hAnsi="Arial"/>
                <w:sz w:val="17"/>
                <w:szCs w:val="17"/>
                <w:b w:val="1"/>
                <w:bCs w:val="1"/>
                <w:color w:val="auto"/>
                <w:w w:val="95"/>
              </w:rPr>
              <w:t>Building</w:t>
            </w:r>
            <w:r>
              <w:rPr>
                <w:rFonts w:ascii="Arial" w:cs="Arial" w:eastAsia="Arial" w:hAnsi="Arial"/>
                <w:sz w:val="17"/>
                <w:szCs w:val="17"/>
                <w:color w:val="auto"/>
                <w:w w:val="95"/>
              </w:rPr>
              <w:t>”), and whose street address is 12357 A Riata Trace Parkway, Building</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4"/>
              </w:rPr>
              <w:t>5, Austin, TX 78727. The Premises are outlined on the plan attached to the Lease as Exhibit A. The land on which the Project is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rPr>
              <w:t>located (the “</w:t>
            </w:r>
            <w:r>
              <w:rPr>
                <w:rFonts w:ascii="Arial" w:cs="Arial" w:eastAsia="Arial" w:hAnsi="Arial"/>
                <w:sz w:val="17"/>
                <w:szCs w:val="17"/>
                <w:b w:val="1"/>
                <w:bCs w:val="1"/>
                <w:color w:val="auto"/>
              </w:rPr>
              <w:t>Land</w:t>
            </w:r>
            <w:r>
              <w:rPr>
                <w:rFonts w:ascii="Arial" w:cs="Arial" w:eastAsia="Arial" w:hAnsi="Arial"/>
                <w:sz w:val="17"/>
                <w:szCs w:val="17"/>
                <w:color w:val="auto"/>
              </w:rPr>
              <w:t>”) is described on Exhibit B. The term “</w:t>
            </w:r>
            <w:r>
              <w:rPr>
                <w:rFonts w:ascii="Arial" w:cs="Arial" w:eastAsia="Arial" w:hAnsi="Arial"/>
                <w:sz w:val="17"/>
                <w:szCs w:val="17"/>
                <w:b w:val="1"/>
                <w:bCs w:val="1"/>
                <w:color w:val="auto"/>
              </w:rPr>
              <w:t>Project</w:t>
            </w:r>
            <w:r>
              <w:rPr>
                <w:rFonts w:ascii="Arial" w:cs="Arial" w:eastAsia="Arial" w:hAnsi="Arial"/>
                <w:sz w:val="17"/>
                <w:szCs w:val="17"/>
                <w:color w:val="auto"/>
              </w:rPr>
              <w:t>” shall collectively refer to the Building, the Land and the</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5"/>
              </w:rPr>
              <w:t>driveways, parking facilities, and similar improvements and easements associated with the foregoing or the operations thereof.</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Term:</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rPr>
              <w:t>66 full calendar months, plus any partial month from the Commencement Date to the end of the month in which the</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9480" w:type="dxa"/>
            <w:vAlign w:val="bottom"/>
            <w:gridSpan w:val="26"/>
          </w:tcPr>
          <w:p>
            <w:pPr>
              <w:ind w:left="360"/>
              <w:spacing w:after="0" w:line="209" w:lineRule="exact"/>
              <w:rPr>
                <w:sz w:val="20"/>
                <w:szCs w:val="20"/>
                <w:color w:val="auto"/>
              </w:rPr>
            </w:pPr>
            <w:r>
              <w:rPr>
                <w:rFonts w:ascii="Arial" w:cs="Arial" w:eastAsia="Arial" w:hAnsi="Arial"/>
                <w:sz w:val="17"/>
                <w:szCs w:val="17"/>
                <w:color w:val="auto"/>
                <w:w w:val="93"/>
              </w:rPr>
              <w:t>Commencement Date falls, starting on the Commencement Date and ending at 5:00 p.m. local time on the last day of the 66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full</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8"/>
              </w:rPr>
              <w:t>calendar month following the Commencement Date, subject to adjustment and earlier termination as provided in the Lease.</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Commencement Date:</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3"/>
              </w:rPr>
              <w:t>The earliest of (a) the date on which Tenant occupies any portion of the Premises and begins conducting business therein, (b) the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8"/>
              </w:rPr>
              <w:t>date on which the Work (as defined in Exhibit D hereto) in the Premises is Substantially Completed (as defined in Exhibit 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4"/>
              </w:rPr>
              <w:t>hereto), (c) the date on which the Work in the Premises would have been Substantially Completed but for the occurrence of any</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3"/>
              </w:rPr>
              <w:t>Tenant Delay Days (as defined in Exhibit D hereto), or (d) February 1, 2013 (subject to extension for each Landlord Delay Day, as</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2540" w:type="dxa"/>
            <w:vAlign w:val="bottom"/>
            <w:gridSpan w:val="6"/>
          </w:tcPr>
          <w:p>
            <w:pPr>
              <w:ind w:left="360"/>
              <w:spacing w:after="0" w:line="189" w:lineRule="exact"/>
              <w:rPr>
                <w:sz w:val="20"/>
                <w:szCs w:val="20"/>
                <w:color w:val="auto"/>
              </w:rPr>
            </w:pPr>
            <w:r>
              <w:rPr>
                <w:rFonts w:ascii="Arial" w:cs="Arial" w:eastAsia="Arial" w:hAnsi="Arial"/>
                <w:sz w:val="17"/>
                <w:szCs w:val="17"/>
                <w:color w:val="auto"/>
              </w:rPr>
              <w:t>defined in Exhibit D hereto).</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76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40" w:type="dxa"/>
            <w:vAlign w:val="bottom"/>
          </w:tcPr>
          <w:p>
            <w:pPr>
              <w:spacing w:after="0"/>
              <w:rPr>
                <w:sz w:val="20"/>
                <w:szCs w:val="20"/>
                <w:color w:val="auto"/>
              </w:rPr>
            </w:pPr>
            <w:r>
              <w:rPr>
                <w:rFonts w:ascii="Arial" w:cs="Arial" w:eastAsia="Arial" w:hAnsi="Arial"/>
                <w:sz w:val="17"/>
                <w:szCs w:val="17"/>
                <w:color w:val="auto"/>
              </w:rPr>
              <w:t>Basic Rent:</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Subject to the abatement of Basic Rent provided below, Basic Rent shall be the following amounts for the following periods of</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time: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940" w:type="dxa"/>
            <w:vAlign w:val="bottom"/>
          </w:tcPr>
          <w:p>
            <w:pPr>
              <w:spacing w:after="0"/>
              <w:rPr>
                <w:sz w:val="24"/>
                <w:szCs w:val="24"/>
                <w:color w:val="auto"/>
              </w:rPr>
            </w:pPr>
          </w:p>
        </w:tc>
        <w:tc>
          <w:tcPr>
            <w:tcW w:w="2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Lease Months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Annual Basic Rent Rate Per Rentable</w:t>
            </w:r>
          </w:p>
        </w:tc>
        <w:tc>
          <w:tcPr>
            <w:tcW w:w="260" w:type="dxa"/>
            <w:vAlign w:val="bottom"/>
          </w:tcPr>
          <w:p>
            <w:pPr>
              <w:spacing w:after="0"/>
              <w:rPr>
                <w:sz w:val="24"/>
                <w:szCs w:val="24"/>
                <w:color w:val="auto"/>
              </w:rPr>
            </w:pPr>
          </w:p>
        </w:tc>
        <w:tc>
          <w:tcPr>
            <w:tcW w:w="1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Monthly Basic Rent</w:t>
            </w: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54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7"/>
              </w:rPr>
              <w:t>Square Foot in the Premises</w:t>
            </w:r>
          </w:p>
        </w:tc>
        <w:tc>
          <w:tcPr>
            <w:tcW w:w="2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 — 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18.50*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880" w:type="dxa"/>
            <w:vAlign w:val="bottom"/>
            <w:gridSpan w:val="4"/>
            <w:shd w:val="clear" w:color="auto" w:fill="CCEEFF"/>
          </w:tcPr>
          <w:p>
            <w:pPr>
              <w:ind w:left="1080"/>
              <w:spacing w:after="0"/>
              <w:rPr>
                <w:sz w:val="20"/>
                <w:szCs w:val="20"/>
                <w:color w:val="auto"/>
              </w:rPr>
            </w:pPr>
            <w:r>
              <w:rPr>
                <w:rFonts w:ascii="Arial" w:cs="Arial" w:eastAsia="Arial" w:hAnsi="Arial"/>
                <w:sz w:val="17"/>
                <w:szCs w:val="17"/>
                <w:color w:val="auto"/>
                <w:w w:val="94"/>
              </w:rPr>
              <w:t>15,977.83*</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13 — 24</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19.25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16,625.58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25 — 36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20.00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17,273.33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37 — 48</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20.75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17,921.08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shd w:val="clear" w:color="auto" w:fill="CCEEFF"/>
          </w:tcPr>
          <w:p>
            <w:pPr>
              <w:jc w:val="center"/>
              <w:ind w:left="1273"/>
              <w:spacing w:after="0"/>
              <w:rPr>
                <w:sz w:val="20"/>
                <w:szCs w:val="20"/>
                <w:color w:val="auto"/>
              </w:rPr>
            </w:pPr>
            <w:r>
              <w:rPr>
                <w:rFonts w:ascii="Arial" w:cs="Arial" w:eastAsia="Arial" w:hAnsi="Arial"/>
                <w:sz w:val="17"/>
                <w:szCs w:val="17"/>
                <w:color w:val="auto"/>
                <w:w w:val="94"/>
              </w:rPr>
              <w:t>49 - 66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21.50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18,568.83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200025</wp:posOffset>
            </wp:positionV>
            <wp:extent cx="18065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400" w:lineRule="exact"/>
        <w:rPr>
          <w:sz w:val="20"/>
          <w:szCs w:val="20"/>
          <w:color w:val="auto"/>
        </w:rPr>
      </w:pPr>
    </w:p>
    <w:p>
      <w:pPr>
        <w:ind w:left="2300" w:right="220" w:hanging="1"/>
        <w:spacing w:after="0" w:line="281" w:lineRule="auto"/>
        <w:tabs>
          <w:tab w:leader="none" w:pos="243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Notwithstanding anything in the Basic Rent schedule above to the contrary, Basic Rent shall be abated during the first six months of the Term, e.g., if the Commencement Date is January 15, 2013, Basic Rent shall be abated until July 14, 2013. Commencing with the first day after the end of the abatement period referred to above, Tenant shall make Basic Rent payments for any remaining partial calendar month and on the first day of the first full calendar month thereafter shall make Basic Rent payments as otherwise provided in this Lease. Notwithstanding such abatement of Basic Rent (a) all other sums due under this Lease, including Additional Rent, after-hours HVAC charges, etc., shall be payable as provided in this Lease, and (b) any increases in Basic Rent set forth in this Lease shall occur on the dates scheduled therefor.</w:t>
      </w:r>
    </w:p>
    <w:p>
      <w:pPr>
        <w:spacing w:after="0" w:line="164" w:lineRule="exact"/>
        <w:rPr>
          <w:sz w:val="20"/>
          <w:szCs w:val="20"/>
          <w:color w:val="auto"/>
        </w:rPr>
      </w:pPr>
    </w:p>
    <w:p>
      <w:pPr>
        <w:jc w:val="both"/>
        <w:ind w:left="2300" w:right="140"/>
        <w:spacing w:after="0" w:line="270" w:lineRule="auto"/>
        <w:rPr>
          <w:sz w:val="20"/>
          <w:szCs w:val="20"/>
          <w:color w:val="auto"/>
        </w:rPr>
      </w:pPr>
      <w:r>
        <w:rPr>
          <w:rFonts w:ascii="Arial" w:cs="Arial" w:eastAsia="Arial" w:hAnsi="Arial"/>
          <w:sz w:val="17"/>
          <w:szCs w:val="17"/>
          <w:color w:val="auto"/>
        </w:rPr>
        <w:t>As used herein, the term “</w:t>
      </w:r>
      <w:r>
        <w:rPr>
          <w:rFonts w:ascii="Arial" w:cs="Arial" w:eastAsia="Arial" w:hAnsi="Arial"/>
          <w:sz w:val="17"/>
          <w:szCs w:val="17"/>
          <w:b w:val="1"/>
          <w:bCs w:val="1"/>
          <w:u w:val="single" w:color="auto"/>
          <w:color w:val="auto"/>
        </w:rPr>
        <w:t>Lease Month</w:t>
      </w:r>
      <w:r>
        <w:rPr>
          <w:rFonts w:ascii="Arial" w:cs="Arial" w:eastAsia="Arial" w:hAnsi="Arial"/>
          <w:sz w:val="17"/>
          <w:szCs w:val="17"/>
          <w:color w:val="auto"/>
        </w:rPr>
        <w:t>” means each calendar month during the Term (and if the Commencement Date does not occur on the first day of a calendar month, the period from the Commencement Date to the first day of the next calendar month shall be included in the first Lease Month for purposes of determining the duration of the Term and the monthly Basic Rent rate applicable for such partial month).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A RIATA TRACE PARKWAY, BUILDINGS</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442"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7"/>
                <w:szCs w:val="17"/>
                <w:color w:val="auto"/>
              </w:rPr>
              <w:t>Security Deposit: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$75,138.99 (equal to the estimated gross Rent for the first three Lease Months, disregarding any rental abatement).</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Additional 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Tenant’s Proportionate Share of Operating Costs, Taxes and Electrical Costs.</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Basic Rent, Additional Rent, and all other sums that Tenant may owe to Landlord or otherwise be required to pay under the Lease.</w:t>
            </w: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Permitted Use: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General office use, including limited medical diagnostic laboratory use not involving live animals, incompliance with all Laws and in</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compliance with Section 9 of the Lease. Tenant shall be solely responsible for ensuring that its intended uses in the Building are</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permitted by Law; provided that Landlord shall not initiate any zoning change during the Term that would affect the compliance of</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the Permitted Use with all Laws.</w:t>
            </w:r>
          </w:p>
        </w:tc>
        <w:tc>
          <w:tcPr>
            <w:tcW w:w="3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Tenant’s Proportionate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11.05%, which is the percentage obtained by dividing (a) the number of rentable square feet in the Premises as stated above by</w:t>
            </w:r>
          </w:p>
        </w:tc>
      </w:tr>
      <w:tr>
        <w:trPr>
          <w:trHeight w:val="210"/>
        </w:trPr>
        <w:tc>
          <w:tcPr>
            <w:tcW w:w="1840" w:type="dxa"/>
            <w:vAlign w:val="bottom"/>
          </w:tcPr>
          <w:p>
            <w:pPr>
              <w:spacing w:after="0"/>
              <w:rPr>
                <w:sz w:val="20"/>
                <w:szCs w:val="20"/>
                <w:color w:val="auto"/>
              </w:rPr>
            </w:pPr>
            <w:r>
              <w:rPr>
                <w:rFonts w:ascii="Arial" w:cs="Arial" w:eastAsia="Arial" w:hAnsi="Arial"/>
                <w:sz w:val="17"/>
                <w:szCs w:val="17"/>
                <w:color w:val="auto"/>
              </w:rPr>
              <w:t>Share: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8"/>
              </w:rPr>
              <w:t>(b) the 93,828 rentable square feet in the Project. Landlord and Tenant stipulate that the number of rentable square feet in the</w:t>
            </w:r>
          </w:p>
        </w:tc>
      </w:tr>
      <w:tr>
        <w:trPr>
          <w:trHeight w:val="222"/>
        </w:trPr>
        <w:tc>
          <w:tcPr>
            <w:tcW w:w="1840" w:type="dxa"/>
            <w:vAlign w:val="bottom"/>
          </w:tcPr>
          <w:p>
            <w:pPr>
              <w:spacing w:after="0"/>
              <w:rPr>
                <w:sz w:val="19"/>
                <w:szCs w:val="19"/>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Premises and in the Project set forth above is conclusive and shall be binding upon them.</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Tenant’s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Prior to Commencement Date:</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Following Commencement Date:</w:t>
            </w: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Veracyte, Inc.</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Veracyte, Inc.</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7000 Shoreline Ct. Suite 250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12357 A Riata Trace Parkway, Building 5, Suite 100</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South San Francisco, CA 94080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Austin, TX 78727</w:t>
            </w:r>
          </w:p>
        </w:tc>
      </w:tr>
      <w:tr>
        <w:trPr>
          <w:trHeight w:val="183"/>
        </w:trPr>
        <w:tc>
          <w:tcPr>
            <w:tcW w:w="1840" w:type="dxa"/>
            <w:vAlign w:val="bottom"/>
          </w:tcPr>
          <w:p>
            <w:pPr>
              <w:spacing w:after="0"/>
              <w:rPr>
                <w:sz w:val="15"/>
                <w:szCs w:val="15"/>
                <w:color w:val="auto"/>
              </w:rPr>
            </w:pPr>
          </w:p>
        </w:tc>
        <w:tc>
          <w:tcPr>
            <w:tcW w:w="3760" w:type="dxa"/>
            <w:vAlign w:val="bottom"/>
          </w:tcPr>
          <w:p>
            <w:pPr>
              <w:ind w:left="240"/>
              <w:spacing w:after="0" w:line="183" w:lineRule="exact"/>
              <w:rPr>
                <w:sz w:val="20"/>
                <w:szCs w:val="20"/>
                <w:color w:val="auto"/>
              </w:rPr>
            </w:pPr>
            <w:r>
              <w:rPr>
                <w:rFonts w:ascii="Arial" w:cs="Arial" w:eastAsia="Arial" w:hAnsi="Arial"/>
                <w:sz w:val="17"/>
                <w:szCs w:val="17"/>
                <w:color w:val="auto"/>
              </w:rPr>
              <w:t>Attention: Chief Financial Officer</w:t>
            </w:r>
          </w:p>
        </w:tc>
        <w:tc>
          <w:tcPr>
            <w:tcW w:w="5820" w:type="dxa"/>
            <w:vAlign w:val="bottom"/>
            <w:gridSpan w:val="4"/>
          </w:tcPr>
          <w:p>
            <w:pPr>
              <w:ind w:left="440"/>
              <w:spacing w:after="0" w:line="183" w:lineRule="exact"/>
              <w:rPr>
                <w:sz w:val="20"/>
                <w:szCs w:val="20"/>
                <w:color w:val="auto"/>
              </w:rPr>
            </w:pPr>
            <w:r>
              <w:rPr>
                <w:rFonts w:ascii="Arial" w:cs="Arial" w:eastAsia="Arial" w:hAnsi="Arial"/>
                <w:sz w:val="17"/>
                <w:szCs w:val="17"/>
                <w:color w:val="auto"/>
              </w:rPr>
              <w:t>Attention: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Telephone: 650.243.6300</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Telephone: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Facsimile: 650.243.6301</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Facsimile: [To be determined pursuant to Exhibit E hereto.]</w:t>
            </w:r>
          </w:p>
        </w:tc>
      </w:tr>
      <w:tr>
        <w:trPr>
          <w:trHeight w:val="438"/>
        </w:trPr>
        <w:tc>
          <w:tcPr>
            <w:tcW w:w="1840" w:type="dxa"/>
            <w:vAlign w:val="bottom"/>
          </w:tcPr>
          <w:p>
            <w:pPr>
              <w:spacing w:after="0"/>
              <w:rPr>
                <w:sz w:val="20"/>
                <w:szCs w:val="20"/>
                <w:color w:val="auto"/>
              </w:rPr>
            </w:pPr>
            <w:r>
              <w:rPr>
                <w:rFonts w:ascii="Arial" w:cs="Arial" w:eastAsia="Arial" w:hAnsi="Arial"/>
                <w:sz w:val="17"/>
                <w:szCs w:val="17"/>
                <w:color w:val="auto"/>
              </w:rPr>
              <w:t>Landlord’s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For all Notices:</w:t>
            </w:r>
          </w:p>
        </w:tc>
        <w:tc>
          <w:tcPr>
            <w:tcW w:w="3420" w:type="dxa"/>
            <w:vAlign w:val="bottom"/>
          </w:tcPr>
          <w:p>
            <w:pPr>
              <w:ind w:left="440"/>
              <w:spacing w:after="0"/>
              <w:rPr>
                <w:sz w:val="20"/>
                <w:szCs w:val="20"/>
                <w:color w:val="auto"/>
              </w:rPr>
            </w:pPr>
            <w:r>
              <w:rPr>
                <w:rFonts w:ascii="Arial" w:cs="Arial" w:eastAsia="Arial" w:hAnsi="Arial"/>
                <w:sz w:val="17"/>
                <w:szCs w:val="17"/>
                <w:color w:val="auto"/>
              </w:rPr>
              <w:t>With a copy to:</w:t>
            </w:r>
          </w:p>
        </w:tc>
        <w:tc>
          <w:tcPr>
            <w:tcW w:w="660" w:type="dxa"/>
            <w:vAlign w:val="bottom"/>
            <w:tcBorders>
              <w:top w:val="single" w:sz="8" w:color="auto"/>
            </w:tcBorders>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Riata Holdings, L.P.</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Riata Holdings, L.P.</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c/o Spear Street Capital</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c/o Spear Street Capital</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One Market Plaza, Spear Tower, Suite 4125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One Market Plaza, Spear Tower, Suite 4125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San Francisco, CA 94105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San Francisco, CA 94105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Attention: John S. Grassi - Riata</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Attention: Asset Manager - Riata</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Telephone: 415.222.7420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Telephone: 415.222.7420</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Facsimile: 415.856.0348</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Facsimile: 415.856.0348</w:t>
            </w:r>
          </w:p>
        </w:tc>
      </w:tr>
    </w:tbl>
    <w:p>
      <w:pPr>
        <w:spacing w:after="0" w:line="198"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The foregoing Basic Lease Information is incorporated into and made a part of the Lease identified above. If any conflict exists between any Basic Lease Information and the Lease, then the Lease shall control.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color w:val="auto"/>
              </w:rPr>
              <w:t>ii</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7"/>
                <w:szCs w:val="17"/>
                <w:color w:val="auto"/>
              </w:rPr>
              <w:t>1.</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DEFINITIONS AND BASIC PROVISIONS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2.</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LEASE GRANT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3.</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TENDER OF POSSESSION</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4.</w:t>
            </w:r>
          </w:p>
        </w:tc>
        <w:tc>
          <w:tcPr>
            <w:tcW w:w="1020" w:type="dxa"/>
            <w:vAlign w:val="bottom"/>
          </w:tcPr>
          <w:p>
            <w:pPr>
              <w:ind w:left="340"/>
              <w:spacing w:after="0"/>
              <w:rPr>
                <w:sz w:val="20"/>
                <w:szCs w:val="20"/>
                <w:color w:val="auto"/>
              </w:rPr>
            </w:pPr>
            <w:r>
              <w:rPr>
                <w:rFonts w:ascii="Arial" w:cs="Arial" w:eastAsia="Arial" w:hAnsi="Arial"/>
                <w:sz w:val="17"/>
                <w:szCs w:val="17"/>
                <w:color w:val="auto"/>
              </w:rPr>
              <w:t>RENT</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Payment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Additional Rent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5.</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DELINQUENT PAYMENT; HANDLING CHARGES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6.</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SECURITY DEPOSIT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7.</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LANDLORD’S OBLIGATIONS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Excess Utility Use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Restoration of Services; Abatement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Landlord</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8.</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IMPROVEMENTS; ALTERATIONS; REPAIRS; MAINTENANCE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Improvement; Alterations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Tenant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Performance of Work</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Mechanic’s Liens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8.5</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Janitorial 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1020" w:type="dxa"/>
            <w:vAlign w:val="bottom"/>
          </w:tcPr>
          <w:p>
            <w:pPr>
              <w:ind w:left="340"/>
              <w:spacing w:after="0"/>
              <w:rPr>
                <w:sz w:val="20"/>
                <w:szCs w:val="20"/>
                <w:color w:val="auto"/>
              </w:rPr>
            </w:pPr>
            <w:r>
              <w:rPr>
                <w:rFonts w:ascii="Arial" w:cs="Arial" w:eastAsia="Arial" w:hAnsi="Arial"/>
                <w:sz w:val="17"/>
                <w:szCs w:val="17"/>
                <w:color w:val="auto"/>
              </w:rPr>
              <w:t>USE</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ASSIGNNMENT AND SUBLETTING</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Transfers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Consent Standards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Request for Consent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-5270500</wp:posOffset>
            </wp:positionV>
            <wp:extent cx="12700"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-5270500</wp:posOffset>
            </wp:positionV>
            <wp:extent cx="12700"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10.4</w:t>
            </w:r>
          </w:p>
        </w:tc>
        <w:tc>
          <w:tcPr>
            <w:tcW w:w="7980" w:type="dxa"/>
            <w:vAlign w:val="bottom"/>
          </w:tcPr>
          <w:p>
            <w:pPr>
              <w:spacing w:after="0"/>
              <w:rPr>
                <w:sz w:val="20"/>
                <w:szCs w:val="20"/>
                <w:color w:val="auto"/>
              </w:rPr>
            </w:pPr>
            <w:r>
              <w:rPr>
                <w:rFonts w:ascii="Arial" w:cs="Arial" w:eastAsia="Arial" w:hAnsi="Arial"/>
                <w:sz w:val="17"/>
                <w:szCs w:val="17"/>
                <w:color w:val="auto"/>
              </w:rPr>
              <w:t>Conditions to Consent</w:t>
            </w:r>
          </w:p>
        </w:tc>
        <w:tc>
          <w:tcPr>
            <w:tcW w:w="17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10.5</w:t>
            </w:r>
          </w:p>
        </w:tc>
        <w:tc>
          <w:tcPr>
            <w:tcW w:w="7980" w:type="dxa"/>
            <w:vAlign w:val="bottom"/>
          </w:tcPr>
          <w:p>
            <w:pPr>
              <w:spacing w:after="0"/>
              <w:rPr>
                <w:sz w:val="20"/>
                <w:szCs w:val="20"/>
                <w:color w:val="auto"/>
              </w:rPr>
            </w:pPr>
            <w:r>
              <w:rPr>
                <w:rFonts w:ascii="Arial" w:cs="Arial" w:eastAsia="Arial" w:hAnsi="Arial"/>
                <w:sz w:val="17"/>
                <w:szCs w:val="17"/>
                <w:color w:val="auto"/>
              </w:rPr>
              <w:t>Attornment by Subtenants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10.6</w:t>
            </w:r>
          </w:p>
        </w:tc>
        <w:tc>
          <w:tcPr>
            <w:tcW w:w="7980" w:type="dxa"/>
            <w:vAlign w:val="bottom"/>
          </w:tcPr>
          <w:p>
            <w:pPr>
              <w:spacing w:after="0"/>
              <w:rPr>
                <w:sz w:val="20"/>
                <w:szCs w:val="20"/>
                <w:color w:val="auto"/>
              </w:rPr>
            </w:pPr>
            <w:r>
              <w:rPr>
                <w:rFonts w:ascii="Arial" w:cs="Arial" w:eastAsia="Arial" w:hAnsi="Arial"/>
                <w:sz w:val="17"/>
                <w:szCs w:val="17"/>
                <w:color w:val="auto"/>
              </w:rPr>
              <w:t>Cancellation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10.7</w:t>
            </w:r>
          </w:p>
        </w:tc>
        <w:tc>
          <w:tcPr>
            <w:tcW w:w="7980" w:type="dxa"/>
            <w:vAlign w:val="bottom"/>
          </w:tcPr>
          <w:p>
            <w:pPr>
              <w:spacing w:after="0"/>
              <w:rPr>
                <w:sz w:val="20"/>
                <w:szCs w:val="20"/>
                <w:color w:val="auto"/>
              </w:rPr>
            </w:pPr>
            <w:r>
              <w:rPr>
                <w:rFonts w:ascii="Arial" w:cs="Arial" w:eastAsia="Arial" w:hAnsi="Arial"/>
                <w:sz w:val="17"/>
                <w:szCs w:val="17"/>
                <w:color w:val="auto"/>
              </w:rPr>
              <w:t>Additional Compensation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10.8</w:t>
            </w:r>
          </w:p>
        </w:tc>
        <w:tc>
          <w:tcPr>
            <w:tcW w:w="7980" w:type="dxa"/>
            <w:vAlign w:val="bottom"/>
          </w:tcPr>
          <w:p>
            <w:pPr>
              <w:spacing w:after="0"/>
              <w:rPr>
                <w:sz w:val="20"/>
                <w:szCs w:val="20"/>
                <w:color w:val="auto"/>
              </w:rPr>
            </w:pPr>
            <w:r>
              <w:rPr>
                <w:rFonts w:ascii="Arial" w:cs="Arial" w:eastAsia="Arial" w:hAnsi="Arial"/>
                <w:sz w:val="17"/>
                <w:szCs w:val="17"/>
                <w:color w:val="auto"/>
              </w:rPr>
              <w:t>Permitted Transfers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INSURANCE; WAIVERS; SUBROGATION; 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11.1</w:t>
            </w:r>
          </w:p>
        </w:tc>
        <w:tc>
          <w:tcPr>
            <w:tcW w:w="7980" w:type="dxa"/>
            <w:vAlign w:val="bottom"/>
          </w:tcPr>
          <w:p>
            <w:pPr>
              <w:spacing w:after="0"/>
              <w:rPr>
                <w:sz w:val="20"/>
                <w:szCs w:val="20"/>
                <w:color w:val="auto"/>
              </w:rPr>
            </w:pPr>
            <w:r>
              <w:rPr>
                <w:rFonts w:ascii="Arial" w:cs="Arial" w:eastAsia="Arial" w:hAnsi="Arial"/>
                <w:sz w:val="17"/>
                <w:szCs w:val="17"/>
                <w:color w:val="auto"/>
              </w:rPr>
              <w:t>Tenant’s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11.2</w:t>
            </w:r>
          </w:p>
        </w:tc>
        <w:tc>
          <w:tcPr>
            <w:tcW w:w="7980" w:type="dxa"/>
            <w:vAlign w:val="bottom"/>
          </w:tcPr>
          <w:p>
            <w:pPr>
              <w:spacing w:after="0"/>
              <w:rPr>
                <w:sz w:val="20"/>
                <w:szCs w:val="20"/>
                <w:color w:val="auto"/>
              </w:rPr>
            </w:pPr>
            <w:r>
              <w:rPr>
                <w:rFonts w:ascii="Arial" w:cs="Arial" w:eastAsia="Arial" w:hAnsi="Arial"/>
                <w:sz w:val="17"/>
                <w:szCs w:val="17"/>
                <w:color w:val="auto"/>
              </w:rPr>
              <w:t>Landlord’s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11.3</w:t>
            </w:r>
          </w:p>
        </w:tc>
        <w:tc>
          <w:tcPr>
            <w:tcW w:w="7980" w:type="dxa"/>
            <w:vAlign w:val="bottom"/>
          </w:tcPr>
          <w:p>
            <w:pPr>
              <w:spacing w:after="0"/>
              <w:rPr>
                <w:sz w:val="20"/>
                <w:szCs w:val="20"/>
                <w:color w:val="auto"/>
              </w:rPr>
            </w:pPr>
            <w:r>
              <w:rPr>
                <w:rFonts w:ascii="Arial" w:cs="Arial" w:eastAsia="Arial" w:hAnsi="Arial"/>
                <w:sz w:val="17"/>
                <w:szCs w:val="17"/>
                <w:color w:val="auto"/>
              </w:rPr>
              <w:t>No Subrogation; waiver of Property Claims</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11.4</w:t>
            </w:r>
          </w:p>
        </w:tc>
        <w:tc>
          <w:tcPr>
            <w:tcW w:w="7980" w:type="dxa"/>
            <w:vAlign w:val="bottom"/>
          </w:tcPr>
          <w:p>
            <w:pPr>
              <w:spacing w:after="0"/>
              <w:rPr>
                <w:sz w:val="20"/>
                <w:szCs w:val="20"/>
                <w:color w:val="auto"/>
              </w:rPr>
            </w:pPr>
            <w:r>
              <w:rPr>
                <w:rFonts w:ascii="Arial" w:cs="Arial" w:eastAsia="Arial" w:hAnsi="Arial"/>
                <w:sz w:val="17"/>
                <w:szCs w:val="17"/>
                <w:color w:val="auto"/>
              </w:rPr>
              <w:t>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SUBORDINATION; ATTORNMENT; 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12.1</w:t>
            </w:r>
          </w:p>
        </w:tc>
        <w:tc>
          <w:tcPr>
            <w:tcW w:w="7980" w:type="dxa"/>
            <w:vAlign w:val="bottom"/>
          </w:tcPr>
          <w:p>
            <w:pPr>
              <w:spacing w:after="0"/>
              <w:rPr>
                <w:sz w:val="20"/>
                <w:szCs w:val="20"/>
                <w:color w:val="auto"/>
              </w:rPr>
            </w:pPr>
            <w:r>
              <w:rPr>
                <w:rFonts w:ascii="Arial" w:cs="Arial" w:eastAsia="Arial" w:hAnsi="Arial"/>
                <w:sz w:val="17"/>
                <w:szCs w:val="17"/>
                <w:color w:val="auto"/>
              </w:rPr>
              <w:t>Subordination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12.2</w:t>
            </w:r>
          </w:p>
        </w:tc>
        <w:tc>
          <w:tcPr>
            <w:tcW w:w="7980" w:type="dxa"/>
            <w:vAlign w:val="bottom"/>
          </w:tcPr>
          <w:p>
            <w:pPr>
              <w:spacing w:after="0"/>
              <w:rPr>
                <w:sz w:val="20"/>
                <w:szCs w:val="20"/>
                <w:color w:val="auto"/>
              </w:rPr>
            </w:pPr>
            <w:r>
              <w:rPr>
                <w:rFonts w:ascii="Arial" w:cs="Arial" w:eastAsia="Arial" w:hAnsi="Arial"/>
                <w:sz w:val="17"/>
                <w:szCs w:val="17"/>
                <w:color w:val="auto"/>
              </w:rPr>
              <w:t>Attornment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12.3</w:t>
            </w:r>
          </w:p>
        </w:tc>
        <w:tc>
          <w:tcPr>
            <w:tcW w:w="7980" w:type="dxa"/>
            <w:vAlign w:val="bottom"/>
          </w:tcPr>
          <w:p>
            <w:pPr>
              <w:spacing w:after="0"/>
              <w:rPr>
                <w:sz w:val="20"/>
                <w:szCs w:val="20"/>
                <w:color w:val="auto"/>
              </w:rPr>
            </w:pPr>
            <w:r>
              <w:rPr>
                <w:rFonts w:ascii="Arial" w:cs="Arial" w:eastAsia="Arial" w:hAnsi="Arial"/>
                <w:sz w:val="17"/>
                <w:szCs w:val="17"/>
                <w:color w:val="auto"/>
              </w:rPr>
              <w:t>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12.4</w:t>
            </w:r>
          </w:p>
        </w:tc>
        <w:tc>
          <w:tcPr>
            <w:tcW w:w="7980" w:type="dxa"/>
            <w:vAlign w:val="bottom"/>
          </w:tcPr>
          <w:p>
            <w:pPr>
              <w:spacing w:after="0"/>
              <w:rPr>
                <w:sz w:val="20"/>
                <w:szCs w:val="20"/>
                <w:color w:val="auto"/>
              </w:rPr>
            </w:pPr>
            <w:r>
              <w:rPr>
                <w:rFonts w:ascii="Arial" w:cs="Arial" w:eastAsia="Arial" w:hAnsi="Arial"/>
                <w:sz w:val="17"/>
                <w:szCs w:val="17"/>
                <w:color w:val="auto"/>
              </w:rPr>
              <w:t>Landlord’s Mortgagee’s Protection Provisions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12.5</w:t>
            </w:r>
          </w:p>
        </w:tc>
        <w:tc>
          <w:tcPr>
            <w:tcW w:w="7980" w:type="dxa"/>
            <w:vAlign w:val="bottom"/>
          </w:tcPr>
          <w:p>
            <w:pPr>
              <w:spacing w:after="0"/>
              <w:rPr>
                <w:sz w:val="20"/>
                <w:szCs w:val="20"/>
                <w:color w:val="auto"/>
              </w:rPr>
            </w:pPr>
            <w:r>
              <w:rPr>
                <w:rFonts w:ascii="Arial" w:cs="Arial" w:eastAsia="Arial" w:hAnsi="Arial"/>
                <w:sz w:val="17"/>
                <w:szCs w:val="17"/>
                <w:color w:val="auto"/>
              </w:rPr>
              <w:t>Subordination, Non-Disturbance and Attornment Agreement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RULES AND REGULATIONS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CONDEMNATION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14.1</w:t>
            </w:r>
          </w:p>
        </w:tc>
        <w:tc>
          <w:tcPr>
            <w:tcW w:w="7980" w:type="dxa"/>
            <w:vAlign w:val="bottom"/>
          </w:tcPr>
          <w:p>
            <w:pPr>
              <w:spacing w:after="0"/>
              <w:rPr>
                <w:sz w:val="20"/>
                <w:szCs w:val="20"/>
                <w:color w:val="auto"/>
              </w:rPr>
            </w:pPr>
            <w:r>
              <w:rPr>
                <w:rFonts w:ascii="Arial" w:cs="Arial" w:eastAsia="Arial" w:hAnsi="Arial"/>
                <w:sz w:val="17"/>
                <w:szCs w:val="17"/>
                <w:color w:val="auto"/>
              </w:rPr>
              <w:t>Total Taking</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14.2</w:t>
            </w:r>
          </w:p>
        </w:tc>
        <w:tc>
          <w:tcPr>
            <w:tcW w:w="7980" w:type="dxa"/>
            <w:vAlign w:val="bottom"/>
          </w:tcPr>
          <w:p>
            <w:pPr>
              <w:spacing w:after="0"/>
              <w:rPr>
                <w:sz w:val="20"/>
                <w:szCs w:val="20"/>
                <w:color w:val="auto"/>
              </w:rPr>
            </w:pPr>
            <w:r>
              <w:rPr>
                <w:rFonts w:ascii="Arial" w:cs="Arial" w:eastAsia="Arial" w:hAnsi="Arial"/>
                <w:sz w:val="17"/>
                <w:szCs w:val="17"/>
                <w:color w:val="auto"/>
              </w:rPr>
              <w:t>Partial Taking - 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14.3</w:t>
            </w:r>
          </w:p>
        </w:tc>
        <w:tc>
          <w:tcPr>
            <w:tcW w:w="7980" w:type="dxa"/>
            <w:vAlign w:val="bottom"/>
          </w:tcPr>
          <w:p>
            <w:pPr>
              <w:spacing w:after="0"/>
              <w:rPr>
                <w:sz w:val="20"/>
                <w:szCs w:val="20"/>
                <w:color w:val="auto"/>
              </w:rPr>
            </w:pPr>
            <w:r>
              <w:rPr>
                <w:rFonts w:ascii="Arial" w:cs="Arial" w:eastAsia="Arial" w:hAnsi="Arial"/>
                <w:sz w:val="17"/>
                <w:szCs w:val="17"/>
                <w:color w:val="auto"/>
              </w:rPr>
              <w:t>Partial Taking - 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80" w:type="dxa"/>
            <w:vAlign w:val="bottom"/>
          </w:tcPr>
          <w:p>
            <w:pPr>
              <w:ind w:left="3860"/>
              <w:spacing w:after="0"/>
              <w:rPr>
                <w:sz w:val="20"/>
                <w:szCs w:val="20"/>
                <w:color w:val="auto"/>
              </w:rPr>
            </w:pPr>
            <w:r>
              <w:rPr>
                <w:rFonts w:ascii="Arial" w:cs="Arial" w:eastAsia="Arial" w:hAnsi="Arial"/>
                <w:sz w:val="17"/>
                <w:szCs w:val="17"/>
                <w:color w:val="auto"/>
              </w:rPr>
              <w:t>iii</w:t>
            </w:r>
          </w:p>
        </w:tc>
        <w:tc>
          <w:tcPr>
            <w:tcW w:w="1700" w:type="dxa"/>
            <w:vAlign w:val="bottom"/>
          </w:tcPr>
          <w:p>
            <w:pPr>
              <w:spacing w:after="0"/>
              <w:rPr>
                <w:sz w:val="24"/>
                <w:szCs w:val="24"/>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r>
        <w:trPr>
          <w:trHeight w:val="756"/>
        </w:trPr>
        <w:tc>
          <w:tcPr>
            <w:tcW w:w="56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14.4</w:t>
            </w:r>
          </w:p>
        </w:tc>
        <w:tc>
          <w:tcPr>
            <w:tcW w:w="7980" w:type="dxa"/>
            <w:vAlign w:val="bottom"/>
          </w:tcPr>
          <w:p>
            <w:pPr>
              <w:spacing w:after="0"/>
              <w:rPr>
                <w:sz w:val="20"/>
                <w:szCs w:val="20"/>
                <w:color w:val="auto"/>
              </w:rPr>
            </w:pPr>
            <w:r>
              <w:rPr>
                <w:rFonts w:ascii="Arial" w:cs="Arial" w:eastAsia="Arial" w:hAnsi="Arial"/>
                <w:sz w:val="17"/>
                <w:szCs w:val="17"/>
                <w:color w:val="auto"/>
              </w:rPr>
              <w:t>Award</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FIRE OR OTHER CASUALTY</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15.1</w:t>
            </w:r>
          </w:p>
        </w:tc>
        <w:tc>
          <w:tcPr>
            <w:tcW w:w="7980" w:type="dxa"/>
            <w:vAlign w:val="bottom"/>
          </w:tcPr>
          <w:p>
            <w:pPr>
              <w:spacing w:after="0"/>
              <w:rPr>
                <w:sz w:val="20"/>
                <w:szCs w:val="20"/>
                <w:color w:val="auto"/>
              </w:rPr>
            </w:pPr>
            <w:r>
              <w:rPr>
                <w:rFonts w:ascii="Arial" w:cs="Arial" w:eastAsia="Arial" w:hAnsi="Arial"/>
                <w:sz w:val="17"/>
                <w:szCs w:val="17"/>
                <w:color w:val="auto"/>
              </w:rPr>
              <w:t>Repair Estimate</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15.2</w:t>
            </w:r>
          </w:p>
        </w:tc>
        <w:tc>
          <w:tcPr>
            <w:tcW w:w="7980" w:type="dxa"/>
            <w:vAlign w:val="bottom"/>
          </w:tcPr>
          <w:p>
            <w:pPr>
              <w:spacing w:after="0"/>
              <w:rPr>
                <w:sz w:val="20"/>
                <w:szCs w:val="20"/>
                <w:color w:val="auto"/>
              </w:rPr>
            </w:pPr>
            <w:r>
              <w:rPr>
                <w:rFonts w:ascii="Arial" w:cs="Arial" w:eastAsia="Arial" w:hAnsi="Arial"/>
                <w:sz w:val="17"/>
                <w:szCs w:val="17"/>
                <w:color w:val="auto"/>
              </w:rPr>
              <w:t>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15.3</w:t>
            </w:r>
          </w:p>
        </w:tc>
        <w:tc>
          <w:tcPr>
            <w:tcW w:w="7980" w:type="dxa"/>
            <w:vAlign w:val="bottom"/>
          </w:tcPr>
          <w:p>
            <w:pPr>
              <w:spacing w:after="0"/>
              <w:rPr>
                <w:sz w:val="20"/>
                <w:szCs w:val="20"/>
                <w:color w:val="auto"/>
              </w:rPr>
            </w:pPr>
            <w:r>
              <w:rPr>
                <w:rFonts w:ascii="Arial" w:cs="Arial" w:eastAsia="Arial" w:hAnsi="Arial"/>
                <w:sz w:val="17"/>
                <w:szCs w:val="17"/>
                <w:color w:val="auto"/>
              </w:rPr>
              <w:t>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15.4</w:t>
            </w:r>
          </w:p>
        </w:tc>
        <w:tc>
          <w:tcPr>
            <w:tcW w:w="7980" w:type="dxa"/>
            <w:vAlign w:val="bottom"/>
          </w:tcPr>
          <w:p>
            <w:pPr>
              <w:spacing w:after="0"/>
              <w:rPr>
                <w:sz w:val="20"/>
                <w:szCs w:val="20"/>
                <w:color w:val="auto"/>
              </w:rPr>
            </w:pPr>
            <w:r>
              <w:rPr>
                <w:rFonts w:ascii="Arial" w:cs="Arial" w:eastAsia="Arial" w:hAnsi="Arial"/>
                <w:sz w:val="17"/>
                <w:szCs w:val="17"/>
                <w:color w:val="auto"/>
              </w:rPr>
              <w:t>Repair Obligation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15.5</w:t>
            </w:r>
          </w:p>
        </w:tc>
        <w:tc>
          <w:tcPr>
            <w:tcW w:w="7980" w:type="dxa"/>
            <w:vAlign w:val="bottom"/>
          </w:tcPr>
          <w:p>
            <w:pPr>
              <w:spacing w:after="0"/>
              <w:rPr>
                <w:sz w:val="20"/>
                <w:szCs w:val="20"/>
                <w:color w:val="auto"/>
              </w:rPr>
            </w:pPr>
            <w:r>
              <w:rPr>
                <w:rFonts w:ascii="Arial" w:cs="Arial" w:eastAsia="Arial" w:hAnsi="Arial"/>
                <w:sz w:val="17"/>
                <w:szCs w:val="17"/>
                <w:color w:val="auto"/>
              </w:rPr>
              <w:t>Abatement of Rent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16.</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PERSONAL PROPERTY TAXES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17.</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EVENTS OF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17.1</w:t>
            </w:r>
          </w:p>
        </w:tc>
        <w:tc>
          <w:tcPr>
            <w:tcW w:w="7980" w:type="dxa"/>
            <w:vAlign w:val="bottom"/>
          </w:tcPr>
          <w:p>
            <w:pPr>
              <w:spacing w:after="0"/>
              <w:rPr>
                <w:sz w:val="20"/>
                <w:szCs w:val="20"/>
                <w:color w:val="auto"/>
              </w:rPr>
            </w:pPr>
            <w:r>
              <w:rPr>
                <w:rFonts w:ascii="Arial" w:cs="Arial" w:eastAsia="Arial" w:hAnsi="Arial"/>
                <w:sz w:val="17"/>
                <w:szCs w:val="17"/>
                <w:color w:val="auto"/>
              </w:rPr>
              <w:t>Payment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17.2</w:t>
            </w:r>
          </w:p>
        </w:tc>
        <w:tc>
          <w:tcPr>
            <w:tcW w:w="7980" w:type="dxa"/>
            <w:vAlign w:val="bottom"/>
          </w:tcPr>
          <w:p>
            <w:pPr>
              <w:spacing w:after="0"/>
              <w:rPr>
                <w:sz w:val="20"/>
                <w:szCs w:val="20"/>
                <w:color w:val="auto"/>
              </w:rPr>
            </w:pPr>
            <w:r>
              <w:rPr>
                <w:rFonts w:ascii="Arial" w:cs="Arial" w:eastAsia="Arial" w:hAnsi="Arial"/>
                <w:sz w:val="17"/>
                <w:szCs w:val="17"/>
                <w:color w:val="auto"/>
              </w:rPr>
              <w:t>Abandonment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17.3</w:t>
            </w:r>
          </w:p>
        </w:tc>
        <w:tc>
          <w:tcPr>
            <w:tcW w:w="7980" w:type="dxa"/>
            <w:vAlign w:val="bottom"/>
          </w:tcPr>
          <w:p>
            <w:pPr>
              <w:spacing w:after="0"/>
              <w:rPr>
                <w:sz w:val="20"/>
                <w:szCs w:val="20"/>
                <w:color w:val="auto"/>
              </w:rPr>
            </w:pPr>
            <w:r>
              <w:rPr>
                <w:rFonts w:ascii="Arial" w:cs="Arial" w:eastAsia="Arial" w:hAnsi="Arial"/>
                <w:sz w:val="17"/>
                <w:szCs w:val="17"/>
                <w:color w:val="auto"/>
              </w:rPr>
              <w:t>Estoppel; Subordination; Financial Reports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17.4</w:t>
            </w:r>
          </w:p>
        </w:tc>
        <w:tc>
          <w:tcPr>
            <w:tcW w:w="7980" w:type="dxa"/>
            <w:vAlign w:val="bottom"/>
          </w:tcPr>
          <w:p>
            <w:pPr>
              <w:spacing w:after="0"/>
              <w:rPr>
                <w:sz w:val="20"/>
                <w:szCs w:val="20"/>
                <w:color w:val="auto"/>
              </w:rPr>
            </w:pPr>
            <w:r>
              <w:rPr>
                <w:rFonts w:ascii="Arial" w:cs="Arial" w:eastAsia="Arial" w:hAnsi="Arial"/>
                <w:sz w:val="17"/>
                <w:szCs w:val="17"/>
                <w:color w:val="auto"/>
              </w:rPr>
              <w:t>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17.5</w:t>
            </w:r>
          </w:p>
        </w:tc>
        <w:tc>
          <w:tcPr>
            <w:tcW w:w="7980" w:type="dxa"/>
            <w:vAlign w:val="bottom"/>
          </w:tcPr>
          <w:p>
            <w:pPr>
              <w:spacing w:after="0"/>
              <w:rPr>
                <w:sz w:val="20"/>
                <w:szCs w:val="20"/>
                <w:color w:val="auto"/>
              </w:rPr>
            </w:pPr>
            <w:r>
              <w:rPr>
                <w:rFonts w:ascii="Arial" w:cs="Arial" w:eastAsia="Arial" w:hAnsi="Arial"/>
                <w:sz w:val="17"/>
                <w:szCs w:val="17"/>
                <w:color w:val="auto"/>
              </w:rPr>
              <w:t>Mechanic’s Liens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17.6</w:t>
            </w:r>
          </w:p>
        </w:tc>
        <w:tc>
          <w:tcPr>
            <w:tcW w:w="7980" w:type="dxa"/>
            <w:vAlign w:val="bottom"/>
          </w:tcPr>
          <w:p>
            <w:pPr>
              <w:spacing w:after="0"/>
              <w:rPr>
                <w:sz w:val="20"/>
                <w:szCs w:val="20"/>
                <w:color w:val="auto"/>
              </w:rPr>
            </w:pPr>
            <w:r>
              <w:rPr>
                <w:rFonts w:ascii="Arial" w:cs="Arial" w:eastAsia="Arial" w:hAnsi="Arial"/>
                <w:sz w:val="17"/>
                <w:szCs w:val="17"/>
                <w:color w:val="auto"/>
              </w:rPr>
              <w:t>Other Defaults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17.7</w:t>
            </w:r>
          </w:p>
        </w:tc>
        <w:tc>
          <w:tcPr>
            <w:tcW w:w="7980" w:type="dxa"/>
            <w:vAlign w:val="bottom"/>
          </w:tcPr>
          <w:p>
            <w:pPr>
              <w:spacing w:after="0"/>
              <w:rPr>
                <w:sz w:val="20"/>
                <w:szCs w:val="20"/>
                <w:color w:val="auto"/>
              </w:rPr>
            </w:pPr>
            <w:r>
              <w:rPr>
                <w:rFonts w:ascii="Arial" w:cs="Arial" w:eastAsia="Arial" w:hAnsi="Arial"/>
                <w:sz w:val="17"/>
                <w:szCs w:val="17"/>
                <w:color w:val="auto"/>
              </w:rPr>
              <w:t>Inśolvency</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18.</w:t>
            </w:r>
          </w:p>
        </w:tc>
        <w:tc>
          <w:tcPr>
            <w:tcW w:w="1220" w:type="dxa"/>
            <w:vAlign w:val="bottom"/>
          </w:tcPr>
          <w:p>
            <w:pPr>
              <w:ind w:left="340"/>
              <w:spacing w:after="0"/>
              <w:rPr>
                <w:sz w:val="20"/>
                <w:szCs w:val="20"/>
                <w:color w:val="auto"/>
              </w:rPr>
            </w:pPr>
            <w:r>
              <w:rPr>
                <w:rFonts w:ascii="Arial" w:cs="Arial" w:eastAsia="Arial" w:hAnsi="Arial"/>
                <w:sz w:val="17"/>
                <w:szCs w:val="17"/>
                <w:color w:val="auto"/>
                <w:w w:val="96"/>
              </w:rPr>
              <w:t>REMEDIES</w:t>
            </w:r>
          </w:p>
        </w:tc>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18.1</w:t>
            </w:r>
          </w:p>
        </w:tc>
        <w:tc>
          <w:tcPr>
            <w:tcW w:w="7980" w:type="dxa"/>
            <w:vAlign w:val="bottom"/>
          </w:tcPr>
          <w:p>
            <w:pPr>
              <w:spacing w:after="0"/>
              <w:rPr>
                <w:sz w:val="20"/>
                <w:szCs w:val="20"/>
                <w:color w:val="auto"/>
              </w:rPr>
            </w:pPr>
            <w:r>
              <w:rPr>
                <w:rFonts w:ascii="Arial" w:cs="Arial" w:eastAsia="Arial" w:hAnsi="Arial"/>
                <w:sz w:val="17"/>
                <w:szCs w:val="17"/>
                <w:color w:val="auto"/>
              </w:rPr>
              <w:t>Termination of Lease</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18.2</w:t>
            </w:r>
          </w:p>
        </w:tc>
        <w:tc>
          <w:tcPr>
            <w:tcW w:w="7980" w:type="dxa"/>
            <w:vAlign w:val="bottom"/>
          </w:tcPr>
          <w:p>
            <w:pPr>
              <w:spacing w:after="0"/>
              <w:rPr>
                <w:sz w:val="20"/>
                <w:szCs w:val="20"/>
                <w:color w:val="auto"/>
              </w:rPr>
            </w:pPr>
            <w:r>
              <w:rPr>
                <w:rFonts w:ascii="Arial" w:cs="Arial" w:eastAsia="Arial" w:hAnsi="Arial"/>
                <w:sz w:val="17"/>
                <w:szCs w:val="17"/>
                <w:color w:val="auto"/>
              </w:rPr>
              <w:t>Termination of Possession</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18.3</w:t>
            </w:r>
          </w:p>
        </w:tc>
        <w:tc>
          <w:tcPr>
            <w:tcW w:w="7980" w:type="dxa"/>
            <w:vAlign w:val="bottom"/>
          </w:tcPr>
          <w:p>
            <w:pPr>
              <w:spacing w:after="0"/>
              <w:rPr>
                <w:sz w:val="20"/>
                <w:szCs w:val="20"/>
                <w:color w:val="auto"/>
              </w:rPr>
            </w:pPr>
            <w:r>
              <w:rPr>
                <w:rFonts w:ascii="Arial" w:cs="Arial" w:eastAsia="Arial" w:hAnsi="Arial"/>
                <w:sz w:val="17"/>
                <w:szCs w:val="17"/>
                <w:color w:val="auto"/>
              </w:rPr>
              <w:t>Perform Acts on Behalf of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18.4</w:t>
            </w:r>
          </w:p>
        </w:tc>
        <w:tc>
          <w:tcPr>
            <w:tcW w:w="7980" w:type="dxa"/>
            <w:vAlign w:val="bottom"/>
          </w:tcPr>
          <w:p>
            <w:pPr>
              <w:spacing w:after="0"/>
              <w:rPr>
                <w:sz w:val="20"/>
                <w:szCs w:val="20"/>
                <w:color w:val="auto"/>
              </w:rPr>
            </w:pPr>
            <w:r>
              <w:rPr>
                <w:rFonts w:ascii="Arial" w:cs="Arial" w:eastAsia="Arial" w:hAnsi="Arial"/>
                <w:sz w:val="17"/>
                <w:szCs w:val="17"/>
                <w:color w:val="auto"/>
              </w:rPr>
              <w:t>Suspension of Services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18.5</w:t>
            </w:r>
          </w:p>
        </w:tc>
        <w:tc>
          <w:tcPr>
            <w:tcW w:w="7980" w:type="dxa"/>
            <w:vAlign w:val="bottom"/>
          </w:tcPr>
          <w:p>
            <w:pPr>
              <w:spacing w:after="0"/>
              <w:rPr>
                <w:sz w:val="20"/>
                <w:szCs w:val="20"/>
                <w:color w:val="auto"/>
              </w:rPr>
            </w:pPr>
            <w:r>
              <w:rPr>
                <w:rFonts w:ascii="Arial" w:cs="Arial" w:eastAsia="Arial" w:hAnsi="Arial"/>
                <w:sz w:val="17"/>
                <w:szCs w:val="17"/>
                <w:color w:val="auto"/>
              </w:rPr>
              <w:t>Alteration of Locks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19.</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PAYMENT BY TENANT; NON-WAIVER; CUMULATIVE REMEDIES; 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19.1</w:t>
            </w:r>
          </w:p>
        </w:tc>
        <w:tc>
          <w:tcPr>
            <w:tcW w:w="7980" w:type="dxa"/>
            <w:vAlign w:val="bottom"/>
          </w:tcPr>
          <w:p>
            <w:pPr>
              <w:spacing w:after="0"/>
              <w:rPr>
                <w:sz w:val="20"/>
                <w:szCs w:val="20"/>
                <w:color w:val="auto"/>
              </w:rPr>
            </w:pPr>
            <w:r>
              <w:rPr>
                <w:rFonts w:ascii="Arial" w:cs="Arial" w:eastAsia="Arial" w:hAnsi="Arial"/>
                <w:sz w:val="17"/>
                <w:szCs w:val="17"/>
                <w:color w:val="auto"/>
              </w:rPr>
              <w:t>Payment by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19.2</w:t>
            </w:r>
          </w:p>
        </w:tc>
        <w:tc>
          <w:tcPr>
            <w:tcW w:w="7980" w:type="dxa"/>
            <w:vAlign w:val="bottom"/>
          </w:tcPr>
          <w:p>
            <w:pPr>
              <w:spacing w:after="0"/>
              <w:rPr>
                <w:sz w:val="20"/>
                <w:szCs w:val="20"/>
                <w:color w:val="auto"/>
              </w:rPr>
            </w:pPr>
            <w:r>
              <w:rPr>
                <w:rFonts w:ascii="Arial" w:cs="Arial" w:eastAsia="Arial" w:hAnsi="Arial"/>
                <w:sz w:val="17"/>
                <w:szCs w:val="17"/>
                <w:color w:val="auto"/>
              </w:rPr>
              <w:t>No Waiver</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19.3</w:t>
            </w:r>
          </w:p>
        </w:tc>
        <w:tc>
          <w:tcPr>
            <w:tcW w:w="7980" w:type="dxa"/>
            <w:vAlign w:val="bottom"/>
          </w:tcPr>
          <w:p>
            <w:pPr>
              <w:spacing w:after="0"/>
              <w:rPr>
                <w:sz w:val="20"/>
                <w:szCs w:val="20"/>
                <w:color w:val="auto"/>
              </w:rPr>
            </w:pPr>
            <w:r>
              <w:rPr>
                <w:rFonts w:ascii="Arial" w:cs="Arial" w:eastAsia="Arial" w:hAnsi="Arial"/>
                <w:sz w:val="17"/>
                <w:szCs w:val="17"/>
                <w:color w:val="auto"/>
              </w:rPr>
              <w:t>Cumulative Remedies</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19.4</w:t>
            </w:r>
          </w:p>
        </w:tc>
        <w:tc>
          <w:tcPr>
            <w:tcW w:w="7980" w:type="dxa"/>
            <w:vAlign w:val="bottom"/>
          </w:tcPr>
          <w:p>
            <w:pPr>
              <w:spacing w:after="0"/>
              <w:rPr>
                <w:sz w:val="20"/>
                <w:szCs w:val="20"/>
                <w:color w:val="auto"/>
              </w:rPr>
            </w:pPr>
            <w:r>
              <w:rPr>
                <w:rFonts w:ascii="Arial" w:cs="Arial" w:eastAsia="Arial" w:hAnsi="Arial"/>
                <w:sz w:val="17"/>
                <w:szCs w:val="17"/>
                <w:color w:val="auto"/>
              </w:rPr>
              <w:t>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20.</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LANDLORD’S LIEN</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SURRENDER OF PREMISES</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HOLDING OVER</w:t>
            </w:r>
          </w:p>
        </w:tc>
        <w:tc>
          <w:tcPr>
            <w:tcW w:w="17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CERTAIN RIGHTS RESERVED BY LANDLORD</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23.1</w:t>
            </w:r>
          </w:p>
        </w:tc>
        <w:tc>
          <w:tcPr>
            <w:tcW w:w="7980" w:type="dxa"/>
            <w:vAlign w:val="bottom"/>
          </w:tcPr>
          <w:p>
            <w:pPr>
              <w:spacing w:after="0"/>
              <w:rPr>
                <w:sz w:val="20"/>
                <w:szCs w:val="20"/>
                <w:color w:val="auto"/>
              </w:rPr>
            </w:pPr>
            <w:r>
              <w:rPr>
                <w:rFonts w:ascii="Arial" w:cs="Arial" w:eastAsia="Arial" w:hAnsi="Arial"/>
                <w:sz w:val="17"/>
                <w:szCs w:val="17"/>
                <w:color w:val="auto"/>
              </w:rPr>
              <w:t>Building Operations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23.2</w:t>
            </w:r>
          </w:p>
        </w:tc>
        <w:tc>
          <w:tcPr>
            <w:tcW w:w="7980" w:type="dxa"/>
            <w:vAlign w:val="bottom"/>
          </w:tcPr>
          <w:p>
            <w:pPr>
              <w:spacing w:after="0"/>
              <w:rPr>
                <w:sz w:val="20"/>
                <w:szCs w:val="20"/>
                <w:color w:val="auto"/>
              </w:rPr>
            </w:pPr>
            <w:r>
              <w:rPr>
                <w:rFonts w:ascii="Arial" w:cs="Arial" w:eastAsia="Arial" w:hAnsi="Arial"/>
                <w:sz w:val="17"/>
                <w:szCs w:val="17"/>
                <w:color w:val="auto"/>
              </w:rPr>
              <w:t>Security</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23.3</w:t>
            </w:r>
          </w:p>
        </w:tc>
        <w:tc>
          <w:tcPr>
            <w:tcW w:w="7980" w:type="dxa"/>
            <w:vAlign w:val="bottom"/>
          </w:tcPr>
          <w:p>
            <w:pPr>
              <w:spacing w:after="0"/>
              <w:rPr>
                <w:sz w:val="20"/>
                <w:szCs w:val="20"/>
                <w:color w:val="auto"/>
              </w:rPr>
            </w:pPr>
            <w:r>
              <w:rPr>
                <w:rFonts w:ascii="Arial" w:cs="Arial" w:eastAsia="Arial" w:hAnsi="Arial"/>
                <w:sz w:val="17"/>
                <w:szCs w:val="17"/>
                <w:color w:val="auto"/>
              </w:rPr>
              <w:t>Prospective Purchasers and Lenders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23.4</w:t>
            </w:r>
          </w:p>
        </w:tc>
        <w:tc>
          <w:tcPr>
            <w:tcW w:w="7980" w:type="dxa"/>
            <w:vAlign w:val="bottom"/>
          </w:tcPr>
          <w:p>
            <w:pPr>
              <w:spacing w:after="0"/>
              <w:rPr>
                <w:sz w:val="20"/>
                <w:szCs w:val="20"/>
                <w:color w:val="auto"/>
              </w:rPr>
            </w:pPr>
            <w:r>
              <w:rPr>
                <w:rFonts w:ascii="Arial" w:cs="Arial" w:eastAsia="Arial" w:hAnsi="Arial"/>
                <w:sz w:val="17"/>
                <w:szCs w:val="17"/>
                <w:color w:val="auto"/>
              </w:rPr>
              <w:t>Prospective 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SUBSTITUTION SPACE</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MISCELLANEOUS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-6769100</wp:posOffset>
            </wp:positionV>
            <wp:extent cx="12700"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-6769100</wp:posOffset>
            </wp:positionV>
            <wp:extent cx="12700"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 Transfer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25.3</w:t>
            </w:r>
          </w:p>
        </w:tc>
        <w:tc>
          <w:tcPr>
            <w:tcW w:w="5500" w:type="dxa"/>
            <w:vAlign w:val="bottom"/>
            <w:gridSpan w:val="3"/>
          </w:tcPr>
          <w:p>
            <w:pPr>
              <w:spacing w:after="0"/>
              <w:rPr>
                <w:sz w:val="20"/>
                <w:szCs w:val="20"/>
                <w:color w:val="auto"/>
              </w:rPr>
            </w:pPr>
            <w:r>
              <w:rPr>
                <w:rFonts w:ascii="Arial" w:cs="Arial" w:eastAsia="Arial" w:hAnsi="Arial"/>
                <w:sz w:val="17"/>
                <w:szCs w:val="17"/>
                <w:color w:val="auto"/>
              </w:rPr>
              <w:t>Force Majeure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25.4</w:t>
            </w:r>
          </w:p>
        </w:tc>
        <w:tc>
          <w:tcPr>
            <w:tcW w:w="5500" w:type="dxa"/>
            <w:vAlign w:val="bottom"/>
            <w:gridSpan w:val="3"/>
          </w:tcPr>
          <w:p>
            <w:pPr>
              <w:spacing w:after="0"/>
              <w:rPr>
                <w:sz w:val="20"/>
                <w:szCs w:val="20"/>
                <w:color w:val="auto"/>
              </w:rPr>
            </w:pPr>
            <w:r>
              <w:rPr>
                <w:rFonts w:ascii="Arial" w:cs="Arial" w:eastAsia="Arial" w:hAnsi="Arial"/>
                <w:sz w:val="17"/>
                <w:szCs w:val="17"/>
                <w:color w:val="auto"/>
              </w:rPr>
              <w:t>Brokerage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25.5</w:t>
            </w:r>
          </w:p>
        </w:tc>
        <w:tc>
          <w:tcPr>
            <w:tcW w:w="5500" w:type="dxa"/>
            <w:vAlign w:val="bottom"/>
            <w:gridSpan w:val="3"/>
          </w:tcPr>
          <w:p>
            <w:pPr>
              <w:spacing w:after="0"/>
              <w:rPr>
                <w:sz w:val="20"/>
                <w:szCs w:val="20"/>
                <w:color w:val="auto"/>
              </w:rPr>
            </w:pPr>
            <w:r>
              <w:rPr>
                <w:rFonts w:ascii="Arial" w:cs="Arial" w:eastAsia="Arial" w:hAnsi="Arial"/>
                <w:sz w:val="17"/>
                <w:szCs w:val="17"/>
                <w:color w:val="auto"/>
              </w:rPr>
              <w:t>Estoppel Certificates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25.6</w:t>
            </w:r>
          </w:p>
        </w:tc>
        <w:tc>
          <w:tcPr>
            <w:tcW w:w="5500" w:type="dxa"/>
            <w:vAlign w:val="bottom"/>
            <w:gridSpan w:val="3"/>
          </w:tcPr>
          <w:p>
            <w:pPr>
              <w:spacing w:after="0"/>
              <w:rPr>
                <w:sz w:val="20"/>
                <w:szCs w:val="20"/>
                <w:color w:val="auto"/>
              </w:rPr>
            </w:pPr>
            <w:r>
              <w:rPr>
                <w:rFonts w:ascii="Arial" w:cs="Arial" w:eastAsia="Arial" w:hAnsi="Arial"/>
                <w:sz w:val="17"/>
                <w:szCs w:val="17"/>
                <w:color w:val="auto"/>
              </w:rPr>
              <w:t>Notices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25.7</w:t>
            </w:r>
          </w:p>
        </w:tc>
        <w:tc>
          <w:tcPr>
            <w:tcW w:w="5500" w:type="dxa"/>
            <w:vAlign w:val="bottom"/>
            <w:gridSpan w:val="3"/>
          </w:tcPr>
          <w:p>
            <w:pPr>
              <w:spacing w:after="0"/>
              <w:rPr>
                <w:sz w:val="20"/>
                <w:szCs w:val="20"/>
                <w:color w:val="auto"/>
              </w:rPr>
            </w:pPr>
            <w:r>
              <w:rPr>
                <w:rFonts w:ascii="Arial" w:cs="Arial" w:eastAsia="Arial" w:hAnsi="Arial"/>
                <w:sz w:val="17"/>
                <w:szCs w:val="17"/>
                <w:color w:val="auto"/>
              </w:rPr>
              <w:t>Separability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25.8</w:t>
            </w:r>
          </w:p>
        </w:tc>
        <w:tc>
          <w:tcPr>
            <w:tcW w:w="5500" w:type="dxa"/>
            <w:vAlign w:val="bottom"/>
            <w:gridSpan w:val="3"/>
          </w:tcPr>
          <w:p>
            <w:pPr>
              <w:spacing w:after="0"/>
              <w:rPr>
                <w:sz w:val="20"/>
                <w:szCs w:val="20"/>
                <w:color w:val="auto"/>
              </w:rPr>
            </w:pPr>
            <w:r>
              <w:rPr>
                <w:rFonts w:ascii="Arial" w:cs="Arial" w:eastAsia="Arial" w:hAnsi="Arial"/>
                <w:sz w:val="17"/>
                <w:szCs w:val="17"/>
                <w:color w:val="auto"/>
              </w:rPr>
              <w:t>Amendments; Binding Effect; No Electronic Records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25.9</w:t>
            </w:r>
          </w:p>
        </w:tc>
        <w:tc>
          <w:tcPr>
            <w:tcW w:w="5500" w:type="dxa"/>
            <w:vAlign w:val="bottom"/>
            <w:gridSpan w:val="3"/>
          </w:tcPr>
          <w:p>
            <w:pPr>
              <w:spacing w:after="0"/>
              <w:rPr>
                <w:sz w:val="20"/>
                <w:szCs w:val="20"/>
                <w:color w:val="auto"/>
              </w:rPr>
            </w:pPr>
            <w:r>
              <w:rPr>
                <w:rFonts w:ascii="Arial" w:cs="Arial" w:eastAsia="Arial" w:hAnsi="Arial"/>
                <w:sz w:val="17"/>
                <w:szCs w:val="17"/>
                <w:color w:val="auto"/>
              </w:rPr>
              <w:t>Counterparts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25.10</w:t>
            </w:r>
          </w:p>
        </w:tc>
        <w:tc>
          <w:tcPr>
            <w:tcW w:w="5500" w:type="dxa"/>
            <w:vAlign w:val="bottom"/>
            <w:gridSpan w:val="3"/>
          </w:tcPr>
          <w:p>
            <w:pPr>
              <w:spacing w:after="0"/>
              <w:rPr>
                <w:sz w:val="20"/>
                <w:szCs w:val="20"/>
                <w:color w:val="auto"/>
              </w:rPr>
            </w:pPr>
            <w:r>
              <w:rPr>
                <w:rFonts w:ascii="Arial" w:cs="Arial" w:eastAsia="Arial" w:hAnsi="Arial"/>
                <w:sz w:val="17"/>
                <w:szCs w:val="17"/>
                <w:color w:val="auto"/>
              </w:rPr>
              <w:t>Quiet Enjoyment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25.11</w:t>
            </w:r>
          </w:p>
        </w:tc>
        <w:tc>
          <w:tcPr>
            <w:tcW w:w="5500" w:type="dxa"/>
            <w:vAlign w:val="bottom"/>
            <w:gridSpan w:val="3"/>
          </w:tcPr>
          <w:p>
            <w:pPr>
              <w:spacing w:after="0"/>
              <w:rPr>
                <w:sz w:val="20"/>
                <w:szCs w:val="20"/>
                <w:color w:val="auto"/>
              </w:rPr>
            </w:pPr>
            <w:r>
              <w:rPr>
                <w:rFonts w:ascii="Arial" w:cs="Arial" w:eastAsia="Arial" w:hAnsi="Arial"/>
                <w:sz w:val="17"/>
                <w:szCs w:val="17"/>
                <w:color w:val="auto"/>
              </w:rPr>
              <w:t>No Merger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25.12</w:t>
            </w:r>
          </w:p>
        </w:tc>
        <w:tc>
          <w:tcPr>
            <w:tcW w:w="5500" w:type="dxa"/>
            <w:vAlign w:val="bottom"/>
            <w:gridSpan w:val="3"/>
          </w:tcPr>
          <w:p>
            <w:pPr>
              <w:spacing w:after="0"/>
              <w:rPr>
                <w:sz w:val="20"/>
                <w:szCs w:val="20"/>
                <w:color w:val="auto"/>
              </w:rPr>
            </w:pPr>
            <w:r>
              <w:rPr>
                <w:rFonts w:ascii="Arial" w:cs="Arial" w:eastAsia="Arial" w:hAnsi="Arial"/>
                <w:sz w:val="17"/>
                <w:szCs w:val="17"/>
                <w:color w:val="auto"/>
              </w:rPr>
              <w:t>No Offer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25.13</w:t>
            </w:r>
          </w:p>
        </w:tc>
        <w:tc>
          <w:tcPr>
            <w:tcW w:w="5500" w:type="dxa"/>
            <w:vAlign w:val="bottom"/>
            <w:gridSpan w:val="3"/>
          </w:tcPr>
          <w:p>
            <w:pPr>
              <w:spacing w:after="0"/>
              <w:rPr>
                <w:sz w:val="20"/>
                <w:szCs w:val="20"/>
                <w:color w:val="auto"/>
              </w:rPr>
            </w:pPr>
            <w:r>
              <w:rPr>
                <w:rFonts w:ascii="Arial" w:cs="Arial" w:eastAsia="Arial" w:hAnsi="Arial"/>
                <w:sz w:val="17"/>
                <w:szCs w:val="17"/>
                <w:color w:val="auto"/>
              </w:rPr>
              <w:t>Entire Agreement; No Reliance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40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RIATA CORPORATE PARK</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12357 A RIATA TRACE PARKWAY, BUILDINGS</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AUSTIN, TEXAS 78727</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80"/>
              <w:spacing w:after="0"/>
              <w:rPr>
                <w:sz w:val="20"/>
                <w:szCs w:val="20"/>
                <w:color w:val="auto"/>
              </w:rPr>
            </w:pPr>
            <w:r>
              <w:rPr>
                <w:rFonts w:ascii="Arial" w:cs="Arial" w:eastAsia="Arial" w:hAnsi="Arial"/>
                <w:sz w:val="17"/>
                <w:szCs w:val="17"/>
                <w:color w:val="auto"/>
              </w:rPr>
              <w:t>iv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9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25.14</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Jury Trial</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25.15</w:t>
            </w:r>
          </w:p>
        </w:tc>
        <w:tc>
          <w:tcPr>
            <w:tcW w:w="5500" w:type="dxa"/>
            <w:vAlign w:val="bottom"/>
            <w:gridSpan w:val="3"/>
          </w:tcPr>
          <w:p>
            <w:pPr>
              <w:spacing w:after="0"/>
              <w:rPr>
                <w:sz w:val="20"/>
                <w:szCs w:val="20"/>
                <w:color w:val="auto"/>
              </w:rPr>
            </w:pPr>
            <w:r>
              <w:rPr>
                <w:rFonts w:ascii="Arial" w:cs="Arial" w:eastAsia="Arial" w:hAnsi="Arial"/>
                <w:sz w:val="17"/>
                <w:szCs w:val="17"/>
                <w:color w:val="auto"/>
              </w:rPr>
              <w:t>Governing Law</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25.16</w:t>
            </w:r>
          </w:p>
        </w:tc>
        <w:tc>
          <w:tcPr>
            <w:tcW w:w="5500" w:type="dxa"/>
            <w:vAlign w:val="bottom"/>
            <w:gridSpan w:val="3"/>
          </w:tcPr>
          <w:p>
            <w:pPr>
              <w:spacing w:after="0"/>
              <w:rPr>
                <w:sz w:val="20"/>
                <w:szCs w:val="20"/>
                <w:color w:val="auto"/>
              </w:rPr>
            </w:pPr>
            <w:r>
              <w:rPr>
                <w:rFonts w:ascii="Arial" w:cs="Arial" w:eastAsia="Arial" w:hAnsi="Arial"/>
                <w:sz w:val="17"/>
                <w:szCs w:val="17"/>
                <w:color w:val="auto"/>
              </w:rPr>
              <w:t>Recording</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25.17</w:t>
            </w:r>
          </w:p>
        </w:tc>
        <w:tc>
          <w:tcPr>
            <w:tcW w:w="5500" w:type="dxa"/>
            <w:vAlign w:val="bottom"/>
            <w:gridSpan w:val="3"/>
          </w:tcPr>
          <w:p>
            <w:pPr>
              <w:spacing w:after="0"/>
              <w:rPr>
                <w:sz w:val="20"/>
                <w:szCs w:val="20"/>
                <w:color w:val="auto"/>
              </w:rPr>
            </w:pPr>
            <w:r>
              <w:rPr>
                <w:rFonts w:ascii="Arial" w:cs="Arial" w:eastAsia="Arial" w:hAnsi="Arial"/>
                <w:sz w:val="17"/>
                <w:szCs w:val="17"/>
                <w:color w:val="auto"/>
              </w:rPr>
              <w:t>Water or Mold Notification</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25.18</w:t>
            </w:r>
          </w:p>
        </w:tc>
        <w:tc>
          <w:tcPr>
            <w:tcW w:w="5500" w:type="dxa"/>
            <w:vAlign w:val="bottom"/>
            <w:gridSpan w:val="3"/>
          </w:tcPr>
          <w:p>
            <w:pPr>
              <w:spacing w:after="0"/>
              <w:rPr>
                <w:sz w:val="20"/>
                <w:szCs w:val="20"/>
                <w:color w:val="auto"/>
              </w:rPr>
            </w:pPr>
            <w:r>
              <w:rPr>
                <w:rFonts w:ascii="Arial" w:cs="Arial" w:eastAsia="Arial" w:hAnsi="Arial"/>
                <w:sz w:val="17"/>
                <w:szCs w:val="17"/>
                <w:color w:val="auto"/>
              </w:rPr>
              <w:t>Joint and Several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25.19</w:t>
            </w:r>
          </w:p>
        </w:tc>
        <w:tc>
          <w:tcPr>
            <w:tcW w:w="5500" w:type="dxa"/>
            <w:vAlign w:val="bottom"/>
            <w:gridSpan w:val="3"/>
          </w:tcPr>
          <w:p>
            <w:pPr>
              <w:spacing w:after="0"/>
              <w:rPr>
                <w:sz w:val="20"/>
                <w:szCs w:val="20"/>
                <w:color w:val="auto"/>
              </w:rPr>
            </w:pPr>
            <w:r>
              <w:rPr>
                <w:rFonts w:ascii="Arial" w:cs="Arial" w:eastAsia="Arial" w:hAnsi="Arial"/>
                <w:sz w:val="17"/>
                <w:szCs w:val="17"/>
                <w:color w:val="auto"/>
              </w:rPr>
              <w:t>Financial Reports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25.20</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Fees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25.21</w:t>
            </w:r>
          </w:p>
        </w:tc>
        <w:tc>
          <w:tcPr>
            <w:tcW w:w="5500" w:type="dxa"/>
            <w:vAlign w:val="bottom"/>
            <w:gridSpan w:val="3"/>
          </w:tcPr>
          <w:p>
            <w:pPr>
              <w:spacing w:after="0"/>
              <w:rPr>
                <w:sz w:val="20"/>
                <w:szCs w:val="20"/>
                <w:color w:val="auto"/>
              </w:rPr>
            </w:pPr>
            <w:r>
              <w:rPr>
                <w:rFonts w:ascii="Arial" w:cs="Arial" w:eastAsia="Arial" w:hAnsi="Arial"/>
                <w:sz w:val="17"/>
                <w:szCs w:val="17"/>
                <w:color w:val="auto"/>
              </w:rPr>
              <w:t>Telecommunications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25.22</w:t>
            </w:r>
          </w:p>
        </w:tc>
        <w:tc>
          <w:tcPr>
            <w:tcW w:w="5500" w:type="dxa"/>
            <w:vAlign w:val="bottom"/>
            <w:gridSpan w:val="3"/>
          </w:tcPr>
          <w:p>
            <w:pPr>
              <w:spacing w:after="0"/>
              <w:rPr>
                <w:sz w:val="20"/>
                <w:szCs w:val="20"/>
                <w:color w:val="auto"/>
              </w:rPr>
            </w:pPr>
            <w:r>
              <w:rPr>
                <w:rFonts w:ascii="Arial" w:cs="Arial" w:eastAsia="Arial" w:hAnsi="Arial"/>
                <w:sz w:val="17"/>
                <w:szCs w:val="17"/>
                <w:color w:val="auto"/>
              </w:rPr>
              <w:t>Confidentiality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25.23</w:t>
            </w:r>
          </w:p>
        </w:tc>
        <w:tc>
          <w:tcPr>
            <w:tcW w:w="5500" w:type="dxa"/>
            <w:vAlign w:val="bottom"/>
            <w:gridSpan w:val="3"/>
          </w:tcPr>
          <w:p>
            <w:pPr>
              <w:spacing w:after="0"/>
              <w:rPr>
                <w:sz w:val="20"/>
                <w:szCs w:val="20"/>
                <w:color w:val="auto"/>
              </w:rPr>
            </w:pPr>
            <w:r>
              <w:rPr>
                <w:rFonts w:ascii="Arial" w:cs="Arial" w:eastAsia="Arial" w:hAnsi="Arial"/>
                <w:sz w:val="17"/>
                <w:szCs w:val="17"/>
                <w:color w:val="auto"/>
              </w:rPr>
              <w:t>Authority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25.24</w:t>
            </w:r>
          </w:p>
        </w:tc>
        <w:tc>
          <w:tcPr>
            <w:tcW w:w="5500" w:type="dxa"/>
            <w:vAlign w:val="bottom"/>
            <w:gridSpan w:val="3"/>
          </w:tcPr>
          <w:p>
            <w:pPr>
              <w:spacing w:after="0"/>
              <w:rPr>
                <w:sz w:val="20"/>
                <w:szCs w:val="20"/>
                <w:color w:val="auto"/>
              </w:rPr>
            </w:pPr>
            <w:r>
              <w:rPr>
                <w:rFonts w:ascii="Arial" w:cs="Arial" w:eastAsia="Arial" w:hAnsi="Arial"/>
                <w:sz w:val="17"/>
                <w:szCs w:val="17"/>
                <w:color w:val="auto"/>
              </w:rPr>
              <w:t>Hazardous Materials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25.25</w:t>
            </w:r>
          </w:p>
        </w:tc>
        <w:tc>
          <w:tcPr>
            <w:tcW w:w="5500" w:type="dxa"/>
            <w:vAlign w:val="bottom"/>
            <w:gridSpan w:val="3"/>
          </w:tcPr>
          <w:p>
            <w:pPr>
              <w:spacing w:after="0"/>
              <w:rPr>
                <w:sz w:val="20"/>
                <w:szCs w:val="20"/>
                <w:color w:val="auto"/>
              </w:rPr>
            </w:pPr>
            <w:r>
              <w:rPr>
                <w:rFonts w:ascii="Arial" w:cs="Arial" w:eastAsia="Arial" w:hAnsi="Arial"/>
                <w:sz w:val="17"/>
                <w:szCs w:val="17"/>
                <w:color w:val="auto"/>
              </w:rPr>
              <w:t>List of Exhibits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25.26</w:t>
            </w:r>
          </w:p>
        </w:tc>
        <w:tc>
          <w:tcPr>
            <w:tcW w:w="5500" w:type="dxa"/>
            <w:vAlign w:val="bottom"/>
            <w:gridSpan w:val="3"/>
          </w:tcPr>
          <w:p>
            <w:pPr>
              <w:spacing w:after="0"/>
              <w:rPr>
                <w:sz w:val="20"/>
                <w:szCs w:val="20"/>
                <w:color w:val="auto"/>
              </w:rPr>
            </w:pPr>
            <w:r>
              <w:rPr>
                <w:rFonts w:ascii="Arial" w:cs="Arial" w:eastAsia="Arial" w:hAnsi="Arial"/>
                <w:sz w:val="17"/>
                <w:szCs w:val="17"/>
                <w:color w:val="auto"/>
              </w:rPr>
              <w:t>Determination of Charges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25.27</w:t>
            </w:r>
          </w:p>
        </w:tc>
        <w:tc>
          <w:tcPr>
            <w:tcW w:w="5500" w:type="dxa"/>
            <w:vAlign w:val="bottom"/>
            <w:gridSpan w:val="3"/>
          </w:tcPr>
          <w:p>
            <w:pPr>
              <w:spacing w:after="0"/>
              <w:rPr>
                <w:sz w:val="20"/>
                <w:szCs w:val="20"/>
                <w:color w:val="auto"/>
              </w:rPr>
            </w:pPr>
            <w:r>
              <w:rPr>
                <w:rFonts w:ascii="Arial" w:cs="Arial" w:eastAsia="Arial" w:hAnsi="Arial"/>
                <w:sz w:val="17"/>
                <w:szCs w:val="17"/>
                <w:color w:val="auto"/>
              </w:rPr>
              <w:t>Prohibited Persons and Transactions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25.28</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Consumer Rights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408"/>
        </w:trPr>
        <w:tc>
          <w:tcPr>
            <w:tcW w:w="900" w:type="dxa"/>
            <w:vAlign w:val="bottom"/>
          </w:tcPr>
          <w:p>
            <w:pPr>
              <w:spacing w:after="0"/>
              <w:rPr>
                <w:sz w:val="20"/>
                <w:szCs w:val="20"/>
                <w:color w:val="auto"/>
              </w:rPr>
            </w:pPr>
            <w:r>
              <w:rPr>
                <w:rFonts w:ascii="Arial" w:cs="Arial" w:eastAsia="Arial" w:hAnsi="Arial"/>
                <w:sz w:val="17"/>
                <w:szCs w:val="17"/>
                <w:color w:val="auto"/>
              </w:rPr>
              <w:t>26.</w:t>
            </w:r>
          </w:p>
        </w:tc>
        <w:tc>
          <w:tcPr>
            <w:tcW w:w="6380" w:type="dxa"/>
            <w:vAlign w:val="bottom"/>
            <w:gridSpan w:val="4"/>
          </w:tcPr>
          <w:p>
            <w:pPr>
              <w:spacing w:after="0"/>
              <w:rPr>
                <w:sz w:val="20"/>
                <w:szCs w:val="20"/>
                <w:color w:val="auto"/>
              </w:rPr>
            </w:pPr>
            <w:r>
              <w:rPr>
                <w:rFonts w:ascii="Arial" w:cs="Arial" w:eastAsia="Arial" w:hAnsi="Arial"/>
                <w:sz w:val="17"/>
                <w:szCs w:val="17"/>
                <w:color w:val="auto"/>
              </w:rPr>
              <w:t>OTHER PROVISIONS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26.1</w:t>
            </w:r>
          </w:p>
        </w:tc>
        <w:tc>
          <w:tcPr>
            <w:tcW w:w="5500" w:type="dxa"/>
            <w:vAlign w:val="bottom"/>
            <w:gridSpan w:val="3"/>
          </w:tcPr>
          <w:p>
            <w:pPr>
              <w:spacing w:after="0"/>
              <w:rPr>
                <w:sz w:val="20"/>
                <w:szCs w:val="20"/>
                <w:color w:val="auto"/>
              </w:rPr>
            </w:pPr>
            <w:r>
              <w:rPr>
                <w:rFonts w:ascii="Arial" w:cs="Arial" w:eastAsia="Arial" w:hAnsi="Arial"/>
                <w:sz w:val="17"/>
                <w:szCs w:val="17"/>
                <w:color w:val="auto"/>
              </w:rPr>
              <w:t>Signage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26.2</w:t>
            </w:r>
          </w:p>
        </w:tc>
        <w:tc>
          <w:tcPr>
            <w:tcW w:w="5500" w:type="dxa"/>
            <w:vAlign w:val="bottom"/>
            <w:gridSpan w:val="3"/>
          </w:tcPr>
          <w:p>
            <w:pPr>
              <w:spacing w:after="0"/>
              <w:rPr>
                <w:sz w:val="20"/>
                <w:szCs w:val="20"/>
                <w:color w:val="auto"/>
              </w:rPr>
            </w:pPr>
            <w:r>
              <w:rPr>
                <w:rFonts w:ascii="Arial" w:cs="Arial" w:eastAsia="Arial" w:hAnsi="Arial"/>
                <w:sz w:val="17"/>
                <w:szCs w:val="17"/>
                <w:color w:val="auto"/>
              </w:rPr>
              <w:t>Early Entry by Tenant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26.3</w:t>
            </w:r>
          </w:p>
        </w:tc>
        <w:tc>
          <w:tcPr>
            <w:tcW w:w="5500" w:type="dxa"/>
            <w:vAlign w:val="bottom"/>
            <w:gridSpan w:val="3"/>
          </w:tcPr>
          <w:p>
            <w:pPr>
              <w:spacing w:after="0"/>
              <w:rPr>
                <w:sz w:val="20"/>
                <w:szCs w:val="20"/>
                <w:color w:val="auto"/>
              </w:rPr>
            </w:pPr>
            <w:r>
              <w:rPr>
                <w:rFonts w:ascii="Arial" w:cs="Arial" w:eastAsia="Arial" w:hAnsi="Arial"/>
                <w:sz w:val="17"/>
                <w:szCs w:val="17"/>
                <w:color w:val="auto"/>
              </w:rPr>
              <w:t>Rooftop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26.4</w:t>
            </w:r>
          </w:p>
        </w:tc>
        <w:tc>
          <w:tcPr>
            <w:tcW w:w="5500" w:type="dxa"/>
            <w:vAlign w:val="bottom"/>
            <w:gridSpan w:val="3"/>
          </w:tcPr>
          <w:p>
            <w:pPr>
              <w:spacing w:after="0"/>
              <w:rPr>
                <w:sz w:val="20"/>
                <w:szCs w:val="20"/>
                <w:color w:val="auto"/>
              </w:rPr>
            </w:pPr>
            <w:r>
              <w:rPr>
                <w:rFonts w:ascii="Arial" w:cs="Arial" w:eastAsia="Arial" w:hAnsi="Arial"/>
                <w:sz w:val="17"/>
                <w:szCs w:val="17"/>
                <w:color w:val="auto"/>
              </w:rPr>
              <w:t>Generator and UPS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26.5</w:t>
            </w:r>
          </w:p>
        </w:tc>
        <w:tc>
          <w:tcPr>
            <w:tcW w:w="5500" w:type="dxa"/>
            <w:vAlign w:val="bottom"/>
            <w:gridSpan w:val="3"/>
          </w:tcPr>
          <w:p>
            <w:pPr>
              <w:spacing w:after="0"/>
              <w:rPr>
                <w:sz w:val="20"/>
                <w:szCs w:val="20"/>
                <w:color w:val="auto"/>
              </w:rPr>
            </w:pPr>
            <w:r>
              <w:rPr>
                <w:rFonts w:ascii="Arial" w:cs="Arial" w:eastAsia="Arial" w:hAnsi="Arial"/>
                <w:sz w:val="17"/>
                <w:szCs w:val="17"/>
                <w:color w:val="auto"/>
              </w:rPr>
              <w:t>Existing Security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60"/>
              <w:spacing w:after="0"/>
              <w:rPr>
                <w:sz w:val="20"/>
                <w:szCs w:val="20"/>
                <w:color w:val="auto"/>
              </w:rPr>
            </w:pPr>
            <w:r>
              <w:rPr>
                <w:rFonts w:ascii="Arial" w:cs="Arial" w:eastAsia="Arial" w:hAnsi="Arial"/>
                <w:sz w:val="17"/>
                <w:szCs w:val="17"/>
                <w:color w:val="auto"/>
                <w:w w:val="93"/>
              </w:rPr>
              <w:t>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00" w:type="dxa"/>
            <w:vAlign w:val="bottom"/>
            <w:gridSpan w:val="3"/>
          </w:tcPr>
          <w:p>
            <w:pPr>
              <w:jc w:val="center"/>
              <w:ind w:left="2273"/>
              <w:spacing w:after="0"/>
              <w:rPr>
                <w:sz w:val="20"/>
                <w:szCs w:val="20"/>
                <w:color w:val="auto"/>
              </w:rPr>
            </w:pPr>
            <w:r>
              <w:rPr>
                <w:rFonts w:ascii="Arial" w:cs="Arial" w:eastAsia="Arial" w:hAnsi="Arial"/>
                <w:sz w:val="17"/>
                <w:szCs w:val="17"/>
                <w:b w:val="1"/>
                <w:bCs w:val="1"/>
                <w:color w:val="auto"/>
              </w:rPr>
              <w:t>LIST OF DEFINED TERMS</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00"/>
        </w:trPr>
        <w:tc>
          <w:tcPr>
            <w:tcW w:w="1780" w:type="dxa"/>
            <w:vAlign w:val="bottom"/>
            <w:gridSpan w:val="2"/>
          </w:tcPr>
          <w:p>
            <w:pPr>
              <w:spacing w:after="0"/>
              <w:rPr>
                <w:sz w:val="20"/>
                <w:szCs w:val="20"/>
                <w:color w:val="auto"/>
              </w:rPr>
            </w:pPr>
            <w:r>
              <w:rPr>
                <w:rFonts w:ascii="Arial" w:cs="Arial" w:eastAsia="Arial" w:hAnsi="Arial"/>
                <w:sz w:val="17"/>
                <w:szCs w:val="17"/>
                <w:color w:val="auto"/>
              </w:rPr>
              <w:t>Additional Rent</w:t>
            </w: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Affiliate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Approved Janitorial Contractor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Architect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Auxiliary Power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Basic Lease Information</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Basic Rent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Building</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Structure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Systems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Casualty</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Collateral</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Commencement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Corporate Debt Rating</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Corporate Debt Rating Requirement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Damage Notice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w w:val="93"/>
              </w:rPr>
              <w:t>Default Rate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Disabilities Acts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Electrical Costs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Estimated Delivery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Event of Default</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4"/>
              </w:rPr>
              <w:t>Existing Security System</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GAAP</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Generator</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1780" w:type="dxa"/>
            <w:vAlign w:val="bottom"/>
            <w:gridSpan w:val="2"/>
          </w:tcPr>
          <w:p>
            <w:pPr>
              <w:spacing w:after="0"/>
              <w:rPr>
                <w:sz w:val="20"/>
                <w:szCs w:val="20"/>
                <w:color w:val="auto"/>
              </w:rPr>
            </w:pPr>
            <w:r>
              <w:rPr>
                <w:rFonts w:ascii="Arial" w:cs="Arial" w:eastAsia="Arial" w:hAnsi="Arial"/>
                <w:sz w:val="17"/>
                <w:szCs w:val="17"/>
                <w:color w:val="auto"/>
              </w:rPr>
              <w:t>Hazardous Materials</w:t>
            </w: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-7842885</wp:posOffset>
            </wp:positionV>
            <wp:extent cx="12700"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-7842885</wp:posOffset>
            </wp:positionV>
            <wp:extent cx="12700"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-4204970</wp:posOffset>
            </wp:positionV>
            <wp:extent cx="12700"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-4204970</wp:posOffset>
            </wp:positionV>
            <wp:extent cx="12700"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HVAC</w:t>
            </w:r>
          </w:p>
        </w:tc>
        <w:tc>
          <w:tcPr>
            <w:tcW w:w="73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including</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Landlord’s Mortgagee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Date</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Month</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Loss</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Mandatory Removal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Monetary Event of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Moody’s</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negotiating to lease space</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Non-Standard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OFAC</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Operating Costs</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Parking Area</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Transferee</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Use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419"/>
        </w:trPr>
        <w:tc>
          <w:tcPr>
            <w:tcW w:w="4160" w:type="dxa"/>
            <w:vAlign w:val="bottom"/>
          </w:tcPr>
          <w:p>
            <w:pPr>
              <w:spacing w:after="0"/>
              <w:rPr>
                <w:sz w:val="24"/>
                <w:szCs w:val="24"/>
                <w:color w:val="auto"/>
              </w:rPr>
            </w:pPr>
          </w:p>
        </w:tc>
        <w:tc>
          <w:tcPr>
            <w:tcW w:w="7300" w:type="dxa"/>
            <w:vAlign w:val="bottom"/>
          </w:tcPr>
          <w:p>
            <w:pPr>
              <w:jc w:val="right"/>
              <w:ind w:right="5593"/>
              <w:spacing w:after="0"/>
              <w:rPr>
                <w:sz w:val="20"/>
                <w:szCs w:val="20"/>
                <w:color w:val="auto"/>
              </w:rPr>
            </w:pPr>
            <w:r>
              <w:rPr>
                <w:rFonts w:ascii="Arial" w:cs="Arial" w:eastAsia="Arial" w:hAnsi="Arial"/>
                <w:sz w:val="17"/>
                <w:szCs w:val="17"/>
                <w:color w:val="auto"/>
              </w:rPr>
              <w:t>vi</w:t>
            </w:r>
          </w:p>
        </w:tc>
      </w:tr>
      <w:tr>
        <w:trPr>
          <w:trHeight w:val="128"/>
        </w:trPr>
        <w:tc>
          <w:tcPr>
            <w:tcW w:w="4160" w:type="dxa"/>
            <w:vAlign w:val="bottom"/>
            <w:tcBorders>
              <w:bottom w:val="single" w:sz="8" w:color="010101"/>
            </w:tcBorders>
          </w:tcPr>
          <w:p>
            <w:pPr>
              <w:spacing w:after="0"/>
              <w:rPr>
                <w:sz w:val="11"/>
                <w:szCs w:val="11"/>
                <w:color w:val="auto"/>
              </w:rPr>
            </w:pPr>
          </w:p>
        </w:tc>
        <w:tc>
          <w:tcPr>
            <w:tcW w:w="7300" w:type="dxa"/>
            <w:vAlign w:val="bottom"/>
            <w:tcBorders>
              <w:bottom w:val="single" w:sz="8" w:color="010101"/>
            </w:tcBorders>
          </w:tcPr>
          <w:p>
            <w:pPr>
              <w:spacing w:after="0"/>
              <w:rPr>
                <w:sz w:val="11"/>
                <w:szCs w:val="11"/>
                <w:color w:val="auto"/>
              </w:rPr>
            </w:pPr>
          </w:p>
        </w:tc>
      </w:tr>
      <w:tr>
        <w:trPr>
          <w:trHeight w:val="745"/>
        </w:trPr>
        <w:tc>
          <w:tcPr>
            <w:tcW w:w="4160" w:type="dxa"/>
            <w:vAlign w:val="bottom"/>
          </w:tcPr>
          <w:p>
            <w:pPr>
              <w:spacing w:after="0"/>
              <w:rPr>
                <w:sz w:val="20"/>
                <w:szCs w:val="20"/>
                <w:color w:val="auto"/>
              </w:rPr>
            </w:pPr>
            <w:r>
              <w:rPr>
                <w:rFonts w:ascii="Arial" w:cs="Arial" w:eastAsia="Arial" w:hAnsi="Arial"/>
                <w:sz w:val="17"/>
                <w:szCs w:val="17"/>
                <w:color w:val="auto"/>
              </w:rPr>
              <w:t>Prevailing Rental Rate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Primary 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Project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Punchlist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reasonable wear and tear</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Reconciliation Statement</w:t>
            </w:r>
          </w:p>
        </w:tc>
        <w:tc>
          <w:tcPr>
            <w:tcW w:w="73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related complex</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Release</w:t>
            </w:r>
          </w:p>
        </w:tc>
        <w:tc>
          <w:tcPr>
            <w:tcW w:w="73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Removal Notice</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Rent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Repair Period</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Rooftop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S&amp;P</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Security Deposit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Space Plans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 Completion</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Substantially Completed</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Substitute 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Taking</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Worth/Credit Threshold</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Taxes</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Telecommunications Services</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Party</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Off-Premises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Proportionate Share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Term</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Test-Fit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UCC</w:t>
            </w:r>
          </w:p>
        </w:tc>
        <w:tc>
          <w:tcPr>
            <w:tcW w:w="73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UPS System</w:t>
            </w:r>
          </w:p>
        </w:tc>
        <w:tc>
          <w:tcPr>
            <w:tcW w:w="73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Visible 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Wiring and Cabling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Working Drawings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Working Drawings Delivery Deadline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-5570220</wp:posOffset>
            </wp:positionV>
            <wp:extent cx="12700"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-5570220</wp:posOffset>
            </wp:positionV>
            <wp:extent cx="12700"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LEASE</w:t>
      </w:r>
    </w:p>
    <w:p>
      <w:pPr>
        <w:sectPr>
          <w:pgSz w:w="11900" w:h="16838" w:orient="portrait"/>
          <w:cols w:equalWidth="0" w:num="1">
            <w:col w:w="11460"/>
          </w:cols>
          <w:pgMar w:left="240" w:top="127" w:right="199" w:bottom="121" w:gutter="0" w:footer="0" w:header="0"/>
        </w:sectPr>
      </w:pPr>
    </w:p>
    <w:bookmarkStart w:id="222" w:name="page223"/>
    <w:bookmarkEnd w:id="222"/>
    <w:p>
      <w:pPr>
        <w:ind w:right="160" w:firstLine="629"/>
        <w:spacing w:after="0" w:line="297" w:lineRule="auto"/>
        <w:rPr>
          <w:sz w:val="20"/>
          <w:szCs w:val="20"/>
          <w:color w:val="auto"/>
        </w:rPr>
      </w:pPr>
      <w:r>
        <w:rPr>
          <w:rFonts w:ascii="Arial" w:cs="Arial" w:eastAsia="Arial" w:hAnsi="Arial"/>
          <w:sz w:val="17"/>
          <w:szCs w:val="17"/>
          <w:color w:val="auto"/>
        </w:rPr>
        <w:t xml:space="preserve">This Lease Agreement (this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is entered into as of the Lease Date between Landlord and Tenant (as each such term is defined in the Basic Lease Information).</w:t>
      </w:r>
    </w:p>
    <w:p>
      <w:pPr>
        <w:spacing w:after="0" w:line="145" w:lineRule="exact"/>
        <w:rPr>
          <w:sz w:val="20"/>
          <w:szCs w:val="20"/>
          <w:color w:val="auto"/>
        </w:rPr>
      </w:pPr>
    </w:p>
    <w:p>
      <w:pPr>
        <w:ind w:right="20" w:firstLine="634"/>
        <w:spacing w:after="0" w:line="279" w:lineRule="auto"/>
        <w:tabs>
          <w:tab w:leader="none" w:pos="1258"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 and Basic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definitions and basic provisions set forth in the Basic Lease Information (the “</w:t>
      </w:r>
      <w:r>
        <w:rPr>
          <w:rFonts w:ascii="Arial" w:cs="Arial" w:eastAsia="Arial" w:hAnsi="Arial"/>
          <w:sz w:val="16"/>
          <w:szCs w:val="16"/>
          <w:b w:val="1"/>
          <w:bCs w:val="1"/>
          <w:u w:val="single" w:color="auto"/>
          <w:color w:val="auto"/>
        </w:rPr>
        <w:t>Basic Lease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are incorporated herein by reference for all purposes. Additionally, the following terms shall have the following meanings when used in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any person or entity which, directly or indirectly, through one or more intermediaries, controls, is controlled by, or is under common control with the party in question; “</w:t>
      </w:r>
      <w:r>
        <w:rPr>
          <w:rFonts w:ascii="Arial" w:cs="Arial" w:eastAsia="Arial" w:hAnsi="Arial"/>
          <w:sz w:val="16"/>
          <w:szCs w:val="16"/>
          <w:b w:val="1"/>
          <w:bCs w:val="1"/>
          <w:u w:val="single" w:color="auto"/>
          <w:color w:val="auto"/>
        </w:rPr>
        <w:t>Building’s Structure</w:t>
      </w:r>
      <w:r>
        <w:rPr>
          <w:rFonts w:ascii="Arial" w:cs="Arial" w:eastAsia="Arial" w:hAnsi="Arial"/>
          <w:sz w:val="16"/>
          <w:szCs w:val="16"/>
          <w:color w:val="auto"/>
        </w:rPr>
        <w:t>” means the Building’s roof and roof membrane, elevator shafts, footings, foundations, structural portions of load-bearing walls, structural floors and subfloors, structural columns and beams, and curtain walls; “</w:t>
      </w:r>
      <w:r>
        <w:rPr>
          <w:rFonts w:ascii="Arial" w:cs="Arial" w:eastAsia="Arial" w:hAnsi="Arial"/>
          <w:sz w:val="16"/>
          <w:szCs w:val="16"/>
          <w:b w:val="1"/>
          <w:bCs w:val="1"/>
          <w:u w:val="single" w:color="auto"/>
          <w:color w:val="auto"/>
        </w:rPr>
        <w:t>Building’s Systems</w:t>
      </w:r>
      <w:r>
        <w:rPr>
          <w:rFonts w:ascii="Arial" w:cs="Arial" w:eastAsia="Arial" w:hAnsi="Arial"/>
          <w:sz w:val="16"/>
          <w:szCs w:val="16"/>
          <w:color w:val="auto"/>
        </w:rPr>
        <w:t>” means the Building’s HVAC, life-safety, plumbing, electrical, mechanical and elevator systems; “</w:t>
      </w:r>
      <w:r>
        <w:rPr>
          <w:rFonts w:ascii="Arial" w:cs="Arial" w:eastAsia="Arial" w:hAnsi="Arial"/>
          <w:sz w:val="16"/>
          <w:szCs w:val="16"/>
          <w:b w:val="1"/>
          <w:bCs w:val="1"/>
          <w:u w:val="single" w:color="auto"/>
          <w:color w:val="auto"/>
        </w:rPr>
        <w:t>including</w:t>
      </w:r>
      <w:r>
        <w:rPr>
          <w:rFonts w:ascii="Arial" w:cs="Arial" w:eastAsia="Arial" w:hAnsi="Arial"/>
          <w:sz w:val="16"/>
          <w:szCs w:val="16"/>
          <w:color w:val="auto"/>
        </w:rPr>
        <w:t>” means including, without limitation;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means all federal, state and local laws, ordinances, building codes and standards, rules and regulations, all court orders, governmental directives, and governmental orders and all interpretations of the foregoing, and all restrictive covenants affecting the Project, and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means any of the foregoing; “</w:t>
      </w:r>
      <w:r>
        <w:rPr>
          <w:rFonts w:ascii="Arial" w:cs="Arial" w:eastAsia="Arial" w:hAnsi="Arial"/>
          <w:sz w:val="16"/>
          <w:szCs w:val="16"/>
          <w:b w:val="1"/>
          <w:bCs w:val="1"/>
          <w:u w:val="single" w:color="auto"/>
          <w:color w:val="auto"/>
        </w:rPr>
        <w:t>Tenant’s Off-Premises Equipment</w:t>
      </w:r>
      <w:r>
        <w:rPr>
          <w:rFonts w:ascii="Arial" w:cs="Arial" w:eastAsia="Arial" w:hAnsi="Arial"/>
          <w:sz w:val="16"/>
          <w:szCs w:val="16"/>
          <w:color w:val="auto"/>
        </w:rPr>
        <w:t>” means any of Tenant’s equipment or other property that may be located on or about the Project or the related complex (other than inside the Premises); and “</w:t>
      </w:r>
      <w:r>
        <w:rPr>
          <w:rFonts w:ascii="Arial" w:cs="Arial" w:eastAsia="Arial" w:hAnsi="Arial"/>
          <w:sz w:val="16"/>
          <w:szCs w:val="16"/>
          <w:b w:val="1"/>
          <w:bCs w:val="1"/>
          <w:u w:val="single" w:color="auto"/>
          <w:color w:val="auto"/>
        </w:rPr>
        <w:t>Tenant Party</w:t>
      </w:r>
      <w:r>
        <w:rPr>
          <w:rFonts w:ascii="Arial" w:cs="Arial" w:eastAsia="Arial" w:hAnsi="Arial"/>
          <w:sz w:val="16"/>
          <w:szCs w:val="16"/>
          <w:u w:val="single" w:color="auto"/>
          <w:color w:val="auto"/>
        </w:rPr>
        <w:t>”</w:t>
      </w:r>
      <w:r>
        <w:rPr>
          <w:rFonts w:ascii="Arial" w:cs="Arial" w:eastAsia="Arial" w:hAnsi="Arial"/>
          <w:sz w:val="16"/>
          <w:szCs w:val="16"/>
          <w:color w:val="auto"/>
        </w:rPr>
        <w:t xml:space="preserve"> means any of the following persons: Tenant; any assignees claiming by, through, or under Tenant; any subtenants claiming by, through, or under Tenant; and any of their respective agents, contractors, officers, employees, licensees, guests and invitees.</w:t>
      </w:r>
    </w:p>
    <w:p>
      <w:pPr>
        <w:spacing w:after="0" w:line="164" w:lineRule="exact"/>
        <w:rPr>
          <w:rFonts w:ascii="Arial" w:cs="Arial" w:eastAsia="Arial" w:hAnsi="Arial"/>
          <w:sz w:val="16"/>
          <w:szCs w:val="16"/>
          <w:color w:val="auto"/>
        </w:rPr>
      </w:pPr>
    </w:p>
    <w:p>
      <w:pPr>
        <w:ind w:left="1260" w:hanging="626"/>
        <w:spacing w:after="0"/>
        <w:tabs>
          <w:tab w:leader="none" w:pos="1260" w:val="left"/>
        </w:tabs>
        <w:numPr>
          <w:ilvl w:val="0"/>
          <w:numId w:val="184"/>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Lease, Landlord leases to Tenant, and Tenant leases from Landlord, the Premises.</w:t>
      </w:r>
    </w:p>
    <w:p>
      <w:pPr>
        <w:spacing w:after="0" w:line="224" w:lineRule="exact"/>
        <w:rPr>
          <w:rFonts w:ascii="Arial" w:cs="Arial" w:eastAsia="Arial" w:hAnsi="Arial"/>
          <w:sz w:val="17"/>
          <w:szCs w:val="17"/>
          <w:color w:val="auto"/>
        </w:rPr>
      </w:pPr>
    </w:p>
    <w:p>
      <w:pPr>
        <w:ind w:firstLine="634"/>
        <w:spacing w:after="0" w:line="278" w:lineRule="auto"/>
        <w:tabs>
          <w:tab w:leader="none" w:pos="1258"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Tender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presently anticipate that possession of the Premises will be tendered to Tenant in the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this Lease on or about February 1, 2013 or, if later, 65 days following Tenant’s execution and delivery of this Lease to Landlord, regardless of the date on which Landlord countersigns this Lease (such later date being the “</w:t>
      </w:r>
      <w:r>
        <w:rPr>
          <w:rFonts w:ascii="Arial" w:cs="Arial" w:eastAsia="Arial" w:hAnsi="Arial"/>
          <w:sz w:val="16"/>
          <w:szCs w:val="16"/>
          <w:b w:val="1"/>
          <w:bCs w:val="1"/>
          <w:u w:val="single" w:color="auto"/>
          <w:color w:val="auto"/>
        </w:rPr>
        <w:t>Estimated Delivery Date</w:t>
      </w:r>
      <w:r>
        <w:rPr>
          <w:rFonts w:ascii="Arial" w:cs="Arial" w:eastAsia="Arial" w:hAnsi="Arial"/>
          <w:sz w:val="16"/>
          <w:szCs w:val="16"/>
          <w:color w:val="auto"/>
        </w:rPr>
        <w:t xml:space="preserve">”). If Landlord does not tender possession of the Premises with the Work Substantially Completed to Tenant by the Estimated Delivery Date, then (a) the validity of this Lease shall not be affected or impaired thereby, (b) Landlord shall not be in default hereunder or be liable for damages therefor, and (c) Tenant shall accept possession of the Premises when Landlord tenders possession thereof to Tenant. Tenant shall have early access to the Premises as provided in Section 26.2. By occupying the Premises, Tenant shall be deemed to have accepted the Premises in their condition as of the date of such occupancy, subject to the performance of punch-list items that remain to be performed by Landlord, if any. Prior to occupying the Premises, Tenant shall execute and deliver to Landlord a letter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however, the failure of the parties to execute such letter shall not defer the Commencement Date or otherwise invalidate this Lease. Entry into the Premises by any Tenant Party prior to the Commencement Date shall be subject to all of the provisions of this Lease excepting only those requiring the payment of Basic Rent and Additional Rent.</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0"/>
          <w:numId w:val="184"/>
        </w:numPr>
        <w:rPr>
          <w:rFonts w:ascii="Arial" w:cs="Arial" w:eastAsia="Arial" w:hAnsi="Arial"/>
          <w:sz w:val="17"/>
          <w:szCs w:val="17"/>
          <w:color w:val="auto"/>
        </w:rPr>
      </w:pPr>
      <w:r>
        <w:rPr>
          <w:rFonts w:ascii="Arial" w:cs="Arial" w:eastAsia="Arial" w:hAnsi="Arial"/>
          <w:sz w:val="17"/>
          <w:szCs w:val="17"/>
          <w:b w:val="1"/>
          <w:bCs w:val="1"/>
          <w:u w:val="single" w:color="auto"/>
          <w:color w:val="auto"/>
        </w:rPr>
        <w:t>Rent</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8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timely pay to Landlord Rent, without notice, demand, deduction or set off (except as otherwise expressly provided herein), by good and sufficient check drawn on a national banking association, or, at either party’s election, by electronic or wire transfer, at Landlord’s address provided for in this Lease or such other address as may be specified in writing by Landlord, and shall be accompanied by all applicable state and local sales or use taxes; provided, that following any monetary Event of Default by Tenant, Landlord shall be permitted to require alternative methods of payment, in Landlord’s sole discretion. The obligations of Tenant to pay Rent to Landlord and the obligations of Landlord under this Lease are independent obligations. Basic Rent, adjusted as herein provided, shall be payable monthly in advance. The first monthly installment of Basic Rent, in the amount payable under this Lease after the end of all Basic Rent abatement periods provided in the Basic Lease Information, is due upon execution of this Lease by Tenant; thereafter, Basic Rent shall be payable on the first day of each calendar month, subject to any Basic Rent abatement provision in the Basic Lease Information. The monthly Basic Rent for any partial month at the beginning of the Term shall equal the product of 1/365 of the annual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Basic Rent in effect during the partial month and the number of days in the partial month, and such Basic Rent payment is due upon execution of this Lease by Tenant; however, if the Commencement Date is not a fixed date that is ascertainable as of the Lease Date, then such Basic Rent payment for any fractional calendar month at the beginning of the Term shall be due by Tenant on the Commencement Date. Payments of Basic Rent for any fractional calendar month at the end of the Term shall be similarly prorated. Tenant shall pay to Landlord monthly installments of Additional Rent in advance on the first day of each calendar month and otherwise on the same terms and conditions described above with respect to Basic Rent, Unless a shorter time period is specified in this Lease, all payments of miscellaneous Rent charges hereunder (that is, all Rent other than Basic Rent and Additional Rent) shall be due and payable within 30 days following Landlord’s delivery to Tenant of an invoice therefor.</w:t>
      </w:r>
    </w:p>
    <w:p>
      <w:pPr>
        <w:spacing w:after="0" w:line="17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Additional Rent</w:t>
      </w:r>
      <w:r>
        <w:rPr>
          <w:rFonts w:ascii="Arial" w:cs="Arial" w:eastAsia="Arial" w:hAnsi="Arial"/>
          <w:sz w:val="16"/>
          <w:szCs w:val="16"/>
          <w:b w:val="1"/>
          <w:bCs w:val="1"/>
          <w:color w:val="auto"/>
        </w:rPr>
        <w:t>.</w:t>
      </w:r>
    </w:p>
    <w:p>
      <w:pPr>
        <w:spacing w:after="0" w:line="224"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Operating Costs</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pay to Landlord Tenant’s Proportionate Share of Operating Costs. Prior to each calendar year Landlord shall provide to Tenant in writing a good faith estimate of Operating Costs to be due by Tenant for the following calendar year or part thereof during the Term. Landlord estimates that Operating Costs for calendar year 2013 shall be $10.50 per rentable square foot; however, such amount is merely an estimate and shall not be binding on Landlord or Tenant. During each calendar year or partial calendar year of the Term, Tenant shall pay to Landlord, in advance concurrently with each monthly installment of Basic Rent, an amount equal to Tenant’s estimated Operating Costs for such calendar year or part thereof divided by the number of months therein. From time to time, Landlord may re-estimate (but Landlord may not re-estimate more than twice in any calendar year), the Operating Costs to be due by Tenant and deliver a copy of the re-estimate to Tenant. Thereafter, the monthly installments of Operating Costs payable by Tenant shall be appropriately adjusted in accordance with the estimations so that, by the end of the calendar year in question, Tenant shall have paid all of the Operating Costs as estimated by Landlord. Any amounts paid based on such an estimate shall be subject to adjustment as herein provided when actual Operating Costs are available for each calendar year.</w:t>
      </w:r>
    </w:p>
    <w:p>
      <w:pPr>
        <w:spacing w:after="0" w:line="168" w:lineRule="exact"/>
        <w:rPr>
          <w:sz w:val="20"/>
          <w:szCs w:val="20"/>
          <w:color w:val="auto"/>
        </w:rPr>
      </w:pPr>
    </w:p>
    <w:p>
      <w:pPr>
        <w:ind w:left="640" w:right="40" w:firstLine="1258"/>
        <w:spacing w:after="0" w:line="300"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b w:val="1"/>
          <w:bCs w:val="1"/>
          <w:u w:val="single" w:color="auto"/>
          <w:color w:val="auto"/>
        </w:rPr>
        <w:t>Operating Costs Defined</w:t>
      </w:r>
      <w:r>
        <w:rPr>
          <w:rFonts w:ascii="Arial" w:cs="Arial" w:eastAsia="Arial" w:hAnsi="Arial"/>
          <w:sz w:val="15"/>
          <w:szCs w:val="15"/>
          <w:b w:val="1"/>
          <w:bCs w:val="1"/>
          <w:color w:val="auto"/>
        </w:rPr>
        <w:t>.</w:t>
      </w:r>
      <w:r>
        <w:rPr>
          <w:rFonts w:ascii="Arial" w:cs="Arial" w:eastAsia="Arial" w:hAnsi="Arial"/>
          <w:sz w:val="15"/>
          <w:szCs w:val="15"/>
          <w:color w:val="auto"/>
        </w:rPr>
        <w:t xml:space="preserve"> The term “</w:t>
      </w:r>
      <w:r>
        <w:rPr>
          <w:rFonts w:ascii="Arial" w:cs="Arial" w:eastAsia="Arial" w:hAnsi="Arial"/>
          <w:sz w:val="15"/>
          <w:szCs w:val="15"/>
          <w:b w:val="1"/>
          <w:bCs w:val="1"/>
          <w:u w:val="single" w:color="auto"/>
          <w:color w:val="auto"/>
        </w:rPr>
        <w:t>Operating Costs</w:t>
      </w:r>
      <w:r>
        <w:rPr>
          <w:rFonts w:ascii="Arial" w:cs="Arial" w:eastAsia="Arial" w:hAnsi="Arial"/>
          <w:sz w:val="15"/>
          <w:szCs w:val="15"/>
          <w:color w:val="auto"/>
        </w:rPr>
        <w:t>” means all costs, expenses and disbursements (subject to the limitations set forth below) that Landlord incurs in connection with the ownership, operation, and maintenance of the Project and performing Landlord’s obligations under this Lease, in each case, determined in accordance with sound accounting principles consistently applied, including the following costs:</w:t>
      </w:r>
    </w:p>
    <w:p>
      <w:pPr>
        <w:ind w:left="640" w:hanging="6"/>
        <w:spacing w:after="0" w:line="299" w:lineRule="auto"/>
        <w:tabs>
          <w:tab w:leader="none" w:pos="878" w:val="left"/>
        </w:tabs>
        <w:numPr>
          <w:ilvl w:val="0"/>
          <w:numId w:val="185"/>
        </w:numPr>
        <w:rPr>
          <w:rFonts w:ascii="Arial" w:cs="Arial" w:eastAsia="Arial" w:hAnsi="Arial"/>
          <w:sz w:val="15"/>
          <w:szCs w:val="15"/>
          <w:color w:val="auto"/>
        </w:rPr>
      </w:pPr>
      <w:r>
        <w:rPr>
          <w:rFonts w:ascii="Arial" w:cs="Arial" w:eastAsia="Arial" w:hAnsi="Arial"/>
          <w:sz w:val="15"/>
          <w:szCs w:val="15"/>
          <w:color w:val="auto"/>
        </w:rPr>
        <w:t>wages and salaries of all on-site employees at or below the grade of general manager engaged in the operation, maintenance or security of the Project (together with Landlord’s reasonable allocation of expenses of off-site employees at or below the grade of general manager who perform a portion of their services in connection with the operation, maintenance or security of the Project including accounting personnel), including taxes, insurance and benefits relating thereto; (b) all supplies and materials used in the operation, maintenance, repair, replacement, and security of the Project; (c)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amendment to or any</w:t>
      </w:r>
    </w:p>
    <w:p>
      <w:pPr>
        <w:sectPr>
          <w:pgSz w:w="11900" w:h="16838" w:orient="portrait"/>
          <w:cols w:equalWidth="0" w:num="1">
            <w:col w:w="11420"/>
          </w:cols>
          <w:pgMar w:left="240" w:top="121" w:right="239" w:bottom="0" w:gutter="0" w:footer="0" w:header="0"/>
        </w:sectPr>
      </w:pPr>
    </w:p>
    <w:bookmarkStart w:id="223" w:name="page224"/>
    <w:bookmarkEnd w:id="223"/>
    <w:p>
      <w:pPr>
        <w:ind w:left="6" w:right="40"/>
        <w:spacing w:after="0" w:line="279" w:lineRule="auto"/>
        <w:rPr>
          <w:sz w:val="20"/>
          <w:szCs w:val="20"/>
          <w:color w:val="auto"/>
        </w:rPr>
      </w:pPr>
      <w:r>
        <w:rPr>
          <w:rFonts w:ascii="Arial" w:cs="Arial" w:eastAsia="Arial" w:hAnsi="Arial"/>
          <w:sz w:val="16"/>
          <w:szCs w:val="16"/>
          <w:color w:val="auto"/>
        </w:rPr>
        <w:t>interpretation hereafter rendered with respect to any existing Law that have the effect of changing the legal requirements applicable to the Project from those currently in effect, as amortized using a commercially reasonable interest rate over the useful economic life of such improvements as determined by Landlord in its reasonable discretion; (d) cost of all utilities, except Electrical Costs and the cost of any utilities directly reimbursable to Landlord by the Project’s tenants other than pursuant to a provision similar to this Section 4.2.2; (e) insurance expenses, including the cost of any commercially reasonable deductibles; (f) repairs, replacements, and general maintenance of the Project; (g) fair market rental and other costs with respect to the management office for the Project; and (h) service, maintenance and management contracts and fees (payable to Landlord, Landlord’s affiliate or a third-party management company; provided that any costs paid to Landlord or Landlord’s affiliate for management services shall exclude amounts paid in excess of the competitive rates for management services of comparable quality rendered by persons or entities of similar skill, competence and experience) for the operation, maintenance, management, repair, replacement, or security of the Project (including alarm service, window cleaning, janitorial, security, landscape maintenance and elevator</w:t>
      </w:r>
    </w:p>
    <w:p>
      <w:pPr>
        <w:spacing w:after="0" w:line="16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spacing w:after="0" w:line="285" w:lineRule="auto"/>
        <w:rPr>
          <w:sz w:val="20"/>
          <w:szCs w:val="20"/>
          <w:color w:val="auto"/>
        </w:rPr>
      </w:pPr>
      <w:r>
        <w:rPr>
          <w:rFonts w:ascii="Arial" w:cs="Arial" w:eastAsia="Arial" w:hAnsi="Arial"/>
          <w:sz w:val="16"/>
          <w:szCs w:val="16"/>
          <w:color w:val="auto"/>
        </w:rPr>
        <w:t>maintenance), provided that in no event shall the management fee exceed 4% of the gross revenues of the Project. Landlord shall have the right to allocate costs among different uses of space in the Project if Landlord reasonably determines the costs for operating, maintaining and repairing such different spaces differ from other spaces within the Project. To the extent any Operating Costs, Taxes or Electrical Costs are shared among the multi-building complex of which the Building is a part (the “</w:t>
      </w:r>
      <w:r>
        <w:rPr>
          <w:rFonts w:ascii="Arial" w:cs="Arial" w:eastAsia="Arial" w:hAnsi="Arial"/>
          <w:sz w:val="16"/>
          <w:szCs w:val="16"/>
          <w:b w:val="1"/>
          <w:bCs w:val="1"/>
          <w:u w:val="single" w:color="auto"/>
          <w:color w:val="auto"/>
        </w:rPr>
        <w:t>related complex</w:t>
      </w:r>
      <w:r>
        <w:rPr>
          <w:rFonts w:ascii="Arial" w:cs="Arial" w:eastAsia="Arial" w:hAnsi="Arial"/>
          <w:sz w:val="16"/>
          <w:szCs w:val="16"/>
          <w:color w:val="auto"/>
        </w:rPr>
        <w:t>” which includes both Riata Corporate Park and Riata Crossing), such amounts shall be prorated among the Project and the other buildings of the related complex, as reasonably determined by Landlord.</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7"/>
          <w:szCs w:val="17"/>
          <w:color w:val="auto"/>
        </w:rPr>
        <w:t>Operating Costs shall not include costs for (1) capital improvements made to the Project, other than capital improvements described in</w:t>
      </w:r>
    </w:p>
    <w:p>
      <w:pPr>
        <w:spacing w:after="0" w:line="26" w:lineRule="exact"/>
        <w:rPr>
          <w:sz w:val="20"/>
          <w:szCs w:val="20"/>
          <w:color w:val="auto"/>
        </w:rPr>
      </w:pPr>
    </w:p>
    <w:p>
      <w:pPr>
        <w:ind w:left="6" w:right="60"/>
        <w:spacing w:after="0" w:line="291" w:lineRule="auto"/>
        <w:rPr>
          <w:sz w:val="20"/>
          <w:szCs w:val="20"/>
          <w:color w:val="auto"/>
        </w:rPr>
      </w:pPr>
      <w:r>
        <w:rPr>
          <w:rFonts w:ascii="Arial" w:cs="Arial" w:eastAsia="Arial" w:hAnsi="Arial"/>
          <w:sz w:val="15"/>
          <w:szCs w:val="15"/>
          <w:color w:val="auto"/>
        </w:rPr>
        <w:t>Section 4.2.2(c) and except for items which are generally considered maintenance and repair items, such as painting and wall covering of common areas, replacement of carpet or other floor coverings in elevator lobbies and common areas, and the like; (2) repair, replacements and general maintenance paid by proceeds of insurance, condemnation awards, or directly by Tenant or other third parties; (3) interest, amortization or other payments on loans to Landlord; (4) depreciation; (5) leasing commissions; (6) legal expenses for services, other than those that benefit the Project tenants generally (e.g., tax disputes and negotiation of vendor contracts); (7) renovating or otherwise improving space for specific occupants of the Project or vacant leasable space in the Project, other than costs for repairs, maintenance and compliance with Laws provided or made available to the Project tenants generally; (8) Taxes;</w:t>
      </w:r>
    </w:p>
    <w:p>
      <w:pPr>
        <w:spacing w:after="0" w:line="4" w:lineRule="exact"/>
        <w:rPr>
          <w:sz w:val="20"/>
          <w:szCs w:val="20"/>
          <w:color w:val="auto"/>
        </w:rPr>
      </w:pPr>
    </w:p>
    <w:p>
      <w:pPr>
        <w:ind w:left="6" w:right="20" w:hanging="6"/>
        <w:spacing w:after="0" w:line="275" w:lineRule="auto"/>
        <w:tabs>
          <w:tab w:leader="none" w:pos="25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federal income taxes imposed on or measured by the income of Landlord from the operation of the Project; (10) Electrical Costs; (11) costs of advertising and public relations, or other promotional costs associated with promoting the Project, Building or the Land (but not including Tenant-appreciation or other similar events held for the benefit of Building tenants, which may be included in Operating Costs); (12) except as permitted by clause (6) above, costs incurred in connection with disputes (including a breach by Landlord under any lease at the Project or any other agreement) with actual or prospective tenants or other occupants of the Building, or with actual or prospective employees, consultants, management agents, leasing agents, purchasers, ground lessors or mortgagees of the Project or any portion thereof; (13) costs incurred in connection with the sale, financing, refinancing, mortgaging, selling, leasing (underlying or space) or change of ownership (directly or indirectly) or other similar transactions relating to the Project or any portion thereof; (14) base rent payments made on any ground or underlying lease; (15) lease takeover or takeback costs incurred by Landlord in connection with leases in the Project; (16) costs paid or incurred in connection with the removal, replacement, enclosure, encapsulation or other treatment of any Hazardous Materials brought into the Project in violation of Laws as enacted and interpreted as of the Lease Date (except that there may be included in Operating Costs the costs of disposing from the Project Hazardous Materials which (i) are used in compliance with applicable Laws; (ii) are used in the ordinary day-to-day operation and maintenance of the Project, and (iii) are not attached to the Building [e.g., costs of disposing of cleaning fluids or photocopying toner would be includable]); (17) all costs and expenses incurred by Landlord in connection with the formation, and maintaining in good standing, of any corporate or other legal entity that constitutes Landlord or any affiliate of Landlord; (18) all charitable or political contributions; and (19) costs due to Landlord’s gross negligence or willful misconduct. In no event shall Operating Costs include any costs or expenses directly or indirectly related to the acquisition, design, entitlement, permitting, construction, operation, maintenance or repair of any parking lot or facility acquired in connection with the Project or related complex for the benefit of any other tenant or occupant of the Project or related complex, the use of which is not offered to Tenant.</w:t>
      </w:r>
    </w:p>
    <w:p>
      <w:pPr>
        <w:spacing w:after="0" w:line="173" w:lineRule="exact"/>
        <w:rPr>
          <w:sz w:val="20"/>
          <w:szCs w:val="20"/>
          <w:color w:val="auto"/>
        </w:rPr>
      </w:pPr>
    </w:p>
    <w:p>
      <w:pPr>
        <w:ind w:left="6" w:right="40" w:firstLine="1258"/>
        <w:spacing w:after="0" w:line="280"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u w:val="single" w:color="auto"/>
          <w:color w:val="auto"/>
        </w:rPr>
        <w:t>Taxes; Taxes Defined</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also pay Tenant’s Proportionate Share of Taxes. Tenant shall pay Tenant’s Proportionate Share of Taxes in the same manner as provided above for Tenant’s Proportionate Share of Operating Costs.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[including assessments from any applicable property owner’s association] for common charges under a restrictive covenant, declaration of covenants, restrictions and easements or other private agreement that are not treated as part of Operating Costs) now or hereafter attributable to the Project (or its operation), excluding, however, penalties and interest thereon and federal and state taxes on income. However, if the present method of taxation changes so that in lieu of or in addition to the whole or any part of any Taxes, there is levied on Landlord a capital tax directly on the rents or revenues received from the Project or a franchise tax, margin tax, assessment, or charge based upon</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 w:right="100"/>
        <w:spacing w:after="0" w:line="297" w:lineRule="auto"/>
        <w:rPr>
          <w:sz w:val="20"/>
          <w:szCs w:val="20"/>
          <w:color w:val="auto"/>
        </w:rPr>
      </w:pPr>
      <w:r>
        <w:rPr>
          <w:rFonts w:ascii="Arial" w:cs="Arial" w:eastAsia="Arial" w:hAnsi="Arial"/>
          <w:sz w:val="15"/>
          <w:szCs w:val="15"/>
          <w:color w:val="auto"/>
        </w:rPr>
        <w:t>such rents or revenues for the Project, then all such taxes, assessments, or charges, or the part thereof so based, shall be deemed to be included within the term “Taxes” for purposes hereof, but only to the extent such capital tax, franchise tax, margin tax, assessment or charge is attributable to rents from the Project, and excluding (i) any federal income tax payable by Landlord, and (ii) any tax on rents received from other property owned by Landlord.</w:t>
      </w:r>
    </w:p>
    <w:p>
      <w:pPr>
        <w:spacing w:after="0" w:line="1" w:lineRule="exact"/>
        <w:rPr>
          <w:sz w:val="20"/>
          <w:szCs w:val="20"/>
          <w:color w:val="auto"/>
        </w:rPr>
      </w:pPr>
    </w:p>
    <w:p>
      <w:pPr>
        <w:ind w:left="6" w:right="20"/>
        <w:spacing w:after="0" w:line="278" w:lineRule="auto"/>
        <w:rPr>
          <w:sz w:val="20"/>
          <w:szCs w:val="20"/>
          <w:color w:val="auto"/>
        </w:rPr>
      </w:pPr>
      <w:r>
        <w:rPr>
          <w:rFonts w:ascii="Arial" w:cs="Arial" w:eastAsia="Arial" w:hAnsi="Arial"/>
          <w:sz w:val="16"/>
          <w:szCs w:val="16"/>
          <w:color w:val="auto"/>
        </w:rPr>
        <w:t>Notwithstanding anything to the contrary herein, Taxes shall include the Texas margin tax and/or any other business tax imposed under Texas Tax Code Chapter 171 and/or any successor statutory provision to the extent attributable to rents received from the Project, and excluding (i) any federal income tax payable by Landlord, and (ii) any tax on rents received from other property owned by Landlord. Taxes shall include the costs of consultants retained in an effort to lower taxes and all costs incurred in disputing any taxes or in seeking to lower the tax valuation of the Project. For property tax purposes, Tenant waives all rights to protest or appeal the appraised value of the Premises, as well as the Project, and all rights to receive notices of reappraisement as set forth in Sections 41.413 and 42.015 of the Texas Tax Code. From time to time during any calendar year, Landlord may estimate or re-estimate the Taxes to be due by Tenant for that calendar year and deliver a copy of the estimate or re-estimate to Tenant. Thereafter, the monthly installments of Taxes payable by Tenant shall be appropriately adjusted in accordance with the estimations.</w:t>
      </w:r>
    </w:p>
    <w:p>
      <w:pPr>
        <w:spacing w:after="0" w:line="165" w:lineRule="exact"/>
        <w:rPr>
          <w:sz w:val="20"/>
          <w:szCs w:val="20"/>
          <w:color w:val="auto"/>
        </w:rPr>
      </w:pPr>
    </w:p>
    <w:p>
      <w:pPr>
        <w:ind w:left="1266"/>
        <w:spacing w:after="0"/>
        <w:tabs>
          <w:tab w:leader="none" w:pos="1865"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b w:val="1"/>
          <w:bCs w:val="1"/>
          <w:u w:val="single" w:color="auto"/>
          <w:color w:val="auto"/>
        </w:rPr>
        <w:t>Electrical Costs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Tenant shall also pay to Landlord Tenant’s Proportionate Share of Electrical Costs. As used herein,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Electrical Costs</w:t>
      </w:r>
      <w:r>
        <w:rPr>
          <w:rFonts w:ascii="Arial" w:cs="Arial" w:eastAsia="Arial" w:hAnsi="Arial"/>
          <w:sz w:val="16"/>
          <w:szCs w:val="16"/>
          <w:color w:val="auto"/>
        </w:rPr>
        <w:t>” means the cost of all electricity used by the Project, which shall include sales, use, excise or other taxes assessed by governmental</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authorities on electrical services supplied to the Project, but which shall not include separately metered electricity payable directly to Landlord by Tenant</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or any other tenant or occupant of the Project. Such amount shall be payable in monthly installments on the Commencement Date and on the first day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5"/>
          <w:szCs w:val="15"/>
          <w:color w:val="auto"/>
        </w:rPr>
        <w:t>each calendar month thereafter. Each installment shall be based on Landlord’s estimate of the amount due for each month. From time to time during any</w:t>
      </w:r>
    </w:p>
    <w:p>
      <w:pPr>
        <w:sectPr>
          <w:pgSz w:w="11900" w:h="16838" w:orient="portrait"/>
          <w:cols w:equalWidth="0" w:num="1">
            <w:col w:w="10786"/>
          </w:cols>
          <w:pgMar w:left="874" w:top="127" w:right="239" w:bottom="0" w:gutter="0" w:footer="0" w:header="0"/>
        </w:sectPr>
      </w:pPr>
    </w:p>
    <w:bookmarkStart w:id="224" w:name="page225"/>
    <w:bookmarkEnd w:id="224"/>
    <w:p>
      <w:pPr>
        <w:jc w:val="both"/>
        <w:ind w:left="640" w:right="200"/>
        <w:spacing w:after="0" w:line="273" w:lineRule="auto"/>
        <w:rPr>
          <w:sz w:val="20"/>
          <w:szCs w:val="20"/>
          <w:color w:val="auto"/>
        </w:rPr>
      </w:pPr>
      <w:r>
        <w:rPr>
          <w:rFonts w:ascii="Arial" w:cs="Arial" w:eastAsia="Arial" w:hAnsi="Arial"/>
          <w:sz w:val="17"/>
          <w:szCs w:val="17"/>
          <w:color w:val="auto"/>
        </w:rPr>
        <w:t>calendar year, Landlord may estimate or re-estimate the Electrical Costs to be due by Tenant for that calendar year and deliver a copy of the estimate or re-estimate to Tenant. Thereafter, the monthly installments of Electrical Costs payable by Tenant shall be appropriately adjusted in accordance with the estimations.</w:t>
      </w:r>
    </w:p>
    <w:p>
      <w:pPr>
        <w:spacing w:after="0" w:line="166"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By April 30 of each calendar year, or as soon thereafter as practicable (but in no event later than June 30 of any calendar year, unless there is a pending tax contest or similar item beyond Landlord’s reasonable control), Landlord shall furnish to Tenant a statement of Operating Costs and Electrical Costs for the previous year, in each case adjusted as provided in Section 4.2.6, and of the Taxes for the previous year (the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color w:val="auto"/>
        </w:rPr>
        <w:t>”). If Tenant’s estimated payments of Operating Costs, Taxes or Electrical Costs under this Section 4.2 for the year covered by the Reconciliation Statement exceed Tenant’s Proportionate Share of such items as indicated in the Reconciliation Statement, then Landlord shall credit or reimburse Tenant for such excess within 30 days after Landlord furnishes the Reconciliation Statement to Tenant; likewise, if Tenant’s estimated payments of Operating Costs, Taxes or Electrical Costs under this Section 4.2 for such year are less than Tenant’s Proportionate Share of such items as indicated in the Reconciliation Statement, then Tenant shall pay Landlord such deficiency within 30 days of invoice from Landlord. If a reimbursement from Landlord or a payment from Tenant is due with respect to Tenant’s payments of estimated Additional Rent for the year in which the Term of the Lease expires, then such obligation shall survive expiration of the Lease and such reimbursement by Landlord or payment by Tenant, as applicable, shall be due within thirty (30) days of Landlord’s delivery of the Reconciliation Statement.</w:t>
      </w:r>
    </w:p>
    <w:p>
      <w:pPr>
        <w:spacing w:after="0" w:line="164" w:lineRule="exact"/>
        <w:rPr>
          <w:sz w:val="20"/>
          <w:szCs w:val="20"/>
          <w:color w:val="auto"/>
        </w:rPr>
      </w:pPr>
    </w:p>
    <w:p>
      <w:pPr>
        <w:ind w:left="640" w:right="120" w:firstLine="1258"/>
        <w:spacing w:after="0" w:line="267"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b w:val="1"/>
          <w:bCs w:val="1"/>
          <w:u w:val="single" w:color="auto"/>
          <w:color w:val="auto"/>
        </w:rPr>
        <w:t>Gross Up</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any calendar year or partial calendar year in which the Project is not occupied to the extent of 95% of the rentable area thereof, or Landlord is not supplying comparable services to 95% of the rentable area thereof, the Operating Costs and Electrical Costs for such period which vary with the occupancy of the Project or level of service shall, for the purposes hereof, be increased to the amount which would have been incurred had the Project been occupied to the extent of 95% of the rentable area thereof and Landlord had been supplying comparable services to 95% of the rentable area thereof.</w:t>
      </w:r>
    </w:p>
    <w:p>
      <w:pPr>
        <w:spacing w:after="0" w:line="171" w:lineRule="exact"/>
        <w:rPr>
          <w:sz w:val="20"/>
          <w:szCs w:val="20"/>
          <w:color w:val="auto"/>
        </w:rPr>
      </w:pPr>
    </w:p>
    <w:p>
      <w:pPr>
        <w:ind w:right="180" w:firstLine="634"/>
        <w:spacing w:after="0" w:line="297" w:lineRule="auto"/>
        <w:tabs>
          <w:tab w:leader="none" w:pos="1258" w:val="left"/>
        </w:tabs>
        <w:numPr>
          <w:ilvl w:val="0"/>
          <w:numId w:val="187"/>
        </w:numPr>
        <w:rPr>
          <w:rFonts w:ascii="Arial" w:cs="Arial" w:eastAsia="Arial" w:hAnsi="Arial"/>
          <w:sz w:val="17"/>
          <w:szCs w:val="17"/>
          <w:color w:val="auto"/>
        </w:rPr>
      </w:pPr>
      <w:r>
        <w:rPr>
          <w:rFonts w:ascii="Arial" w:cs="Arial" w:eastAsia="Arial" w:hAnsi="Arial"/>
          <w:sz w:val="17"/>
          <w:szCs w:val="17"/>
          <w:b w:val="1"/>
          <w:bCs w:val="1"/>
          <w:u w:val="single" w:color="auto"/>
          <w:color w:val="auto"/>
        </w:rPr>
        <w:t>Delinquent Payment; Handling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All payments required of Tenant hereunder that are more than five days past due shall bear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due until paid at the lesser of eighteen percent per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RIATA TRACEPARKWAY, BUILDING 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annum or the maximum lawful rate of interest (such lesser amount is referred to herein as the “</w:t>
      </w:r>
      <w:r>
        <w:rPr>
          <w:rFonts w:ascii="Arial" w:cs="Arial" w:eastAsia="Arial" w:hAnsi="Arial"/>
          <w:sz w:val="15"/>
          <w:szCs w:val="15"/>
          <w:b w:val="1"/>
          <w:bCs w:val="1"/>
          <w:u w:val="single" w:color="auto"/>
          <w:color w:val="auto"/>
        </w:rPr>
        <w:t>Default Rate</w:t>
      </w:r>
      <w:r>
        <w:rPr>
          <w:rFonts w:ascii="Arial" w:cs="Arial" w:eastAsia="Arial" w:hAnsi="Arial"/>
          <w:sz w:val="15"/>
          <w:szCs w:val="15"/>
          <w:color w:val="auto"/>
        </w:rPr>
        <w:t>”); additionally, Landlord, in addition to all other rights and remedies available to it, may charge Tenant a late fee equal to the greater of (a) five percent of the delinquent payment, or (b) $250,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commercial rate of interest.</w:t>
      </w:r>
    </w:p>
    <w:p>
      <w:pPr>
        <w:spacing w:after="0" w:line="137" w:lineRule="exact"/>
        <w:rPr>
          <w:sz w:val="20"/>
          <w:szCs w:val="20"/>
          <w:color w:val="auto"/>
        </w:rPr>
      </w:pPr>
    </w:p>
    <w:p>
      <w:pPr>
        <w:ind w:firstLine="634"/>
        <w:spacing w:after="0" w:line="277" w:lineRule="auto"/>
        <w:tabs>
          <w:tab w:leader="none" w:pos="1258" w:val="left"/>
        </w:tabs>
        <w:numPr>
          <w:ilvl w:val="0"/>
          <w:numId w:val="188"/>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Contemporaneously with the execution of this Lease, Tenant shall pay to Landlord the Security Deposit, which shall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Provided that Tenant has performed all of its obligations hereunder, Landlord shall, within 60 days after the expiration of the Term and Tenant’s surrender of the Premises in compliance with the provisions of this Lease, return to Tenant the portion of the Security Deposit which was not applied to satisfy Tenant’s obligations. Notwithstanding the preceding sentence and to the extent permitted by applicable Law, Landlord may retain that portion of the Security Deposit which Landlord reasonably estimates is necessary to pay all amounts payable by Tenant under this Lease (including all reconciliation amounts payable by Tenant for the year in which the Term expires) until such time after the expiration of the Term that Landlord is actually able to reconcile and confirm such amounts payable by Tenant under this Lease have been paid in full by Tenant (e.g., Landlord cannot reconcile and confirm Tenant has paid Tenant’s Proportionate Share of Taxes for the calendar year in which the Term expires if Landlord has not received a Tax bill from all applicable taxing authorities at the time of such expiration); provided, however, the portion of the Security Deposit retained by Landlord pursuant to the foregoing shall not exceed 50% of the total Security Deposit required by this Lease. The Security Deposit may be commingled with other funds, and no interest shall be paid thereon. If Landlord transfers its interest in the Premises and the transferee assumes Landlord’s obligations under this Lease, then Landlord may assign the Security Deposit to the transferee and Landlord thereafter shall have no further liability for the return of the Security Deposit. The rights and obligations of Landlord and Tenant under this Section 6 are subject to any other requirements and conditions imposed by Laws applicable to the Security Deposit.</w:t>
      </w:r>
    </w:p>
    <w:p>
      <w:pPr>
        <w:spacing w:after="0" w:line="165" w:lineRule="exact"/>
        <w:rPr>
          <w:rFonts w:ascii="Arial" w:cs="Arial" w:eastAsia="Arial" w:hAnsi="Arial"/>
          <w:sz w:val="16"/>
          <w:szCs w:val="16"/>
          <w:color w:val="auto"/>
        </w:rPr>
      </w:pPr>
    </w:p>
    <w:p>
      <w:pPr>
        <w:ind w:left="1260" w:hanging="626"/>
        <w:spacing w:after="0"/>
        <w:tabs>
          <w:tab w:leader="none" w:pos="1260" w:val="left"/>
        </w:tabs>
        <w:numPr>
          <w:ilvl w:val="0"/>
          <w:numId w:val="188"/>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Obligations</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7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use all reasonable efforts to furnish to Tenant; (a) water at those points of supply provided for general use of tenants of the Building; (b) the equipment to provide heated and refrigerated air conditioning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as appropriate, at such temperatures and in such amounts as are standard for comparable buildings with comparable densities and heat loads in the vicinity of the Building (not to exceed the current HVAC system’s capacity existing as of the Lease Date); (c) janitorial service to the Premises five days per week, other than holidays, for Building-standard installations and such window washing as may from time to time be reasonably required; (d) elevators for ingress and egress to the floor on which the Premises are located, in common with other tenants, provided that Landlord may reasonably limit the number of operating elevators during non-business hours and holidays; and (e) electrical current during normal business hours for equipment that does not require more than 110 volts and whose electrical energy consumption does not exceed normal office usage. If Tenant desires janitorial service at other than normal service times, or HVAC service: (1) at any time other than between 7:00 a.m. and 7:00 p.m. on weekdays and between 8:00 a.m. and 1:00 p.m. on Saturdays (in each case other than holidays), or (2) on Sundays or holidays, then such services shall be supplied to Tenant upon the written request (or such other means as may be provided by Landlord for all Building tenants) by Tenant delivered to Landlord’s designated property manager before 3:00 p.m. on the business day preceding such extra usage, and Tenant shall pay to Landlord its then standard cost of such services (which shall not be included in Tenant’s Proportionate Share of Operating Costs or Electrical Costs) within 30 days after Landlord has delivered to Tenant an invoice therefor. Tenant acknowledges that the cost components for providing after-hours HVAC service to the Premises are not separately metered; accordingly, Landlord’s determination of after-hours HVAC charges is an estimate of the costs incurred by Landlord in providing such after-hours HVAC service to Tenant. The costs charged to Tenant for such after-hours service shall include Landlord’s reasonable allocation of the costs for electricity, water, sewage, water treatment, labor, metering, filtering, equipment depreciation, wear and tear and maintenance to provide such service</w:t>
      </w:r>
    </w:p>
    <w:p>
      <w:pPr>
        <w:sectPr>
          <w:pgSz w:w="11900" w:h="16838" w:orient="portrait"/>
          <w:cols w:equalWidth="0" w:num="1">
            <w:col w:w="11420"/>
          </w:cols>
          <w:pgMar w:left="240" w:top="127" w:right="239" w:bottom="188"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88" w:gutter="0" w:footer="0" w:header="0"/>
          <w:type w:val="continuous"/>
        </w:sectPr>
      </w:pPr>
    </w:p>
    <w:bookmarkStart w:id="225" w:name="page226"/>
    <w:bookmarkEnd w:id="225"/>
    <w:p>
      <w:pPr>
        <w:ind w:right="120"/>
        <w:spacing w:after="0" w:line="314" w:lineRule="auto"/>
        <w:rPr>
          <w:sz w:val="20"/>
          <w:szCs w:val="20"/>
          <w:color w:val="auto"/>
        </w:rPr>
      </w:pPr>
      <w:r>
        <w:rPr>
          <w:rFonts w:ascii="Arial" w:cs="Arial" w:eastAsia="Arial" w:hAnsi="Arial"/>
          <w:sz w:val="15"/>
          <w:szCs w:val="15"/>
          <w:color w:val="auto"/>
        </w:rPr>
        <w:t>and an administrative fee of 15%. Landlord’s reasonable estimate of 2012 after-hours charges for HVAC is $15.00 per hour per zone in the Building (with a two-hour minimum), plus any applicable sales or other taxes; however, Landlord and Tenant agree that such figure may be adjusted for increases in Landlord’s costs for providing such services and shall not be interpreted as the maximum amount which may be charged to Tenant during the Term. With respect to the calculation of the foregoing, Landlord covenants that, during the Term, there shall be no more than two HVAC zones in the Premises leased to Tenant as of the Lease Date.</w:t>
      </w:r>
    </w:p>
    <w:p>
      <w:pPr>
        <w:spacing w:after="0" w:line="14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Excess Utility Use</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not be required to furnish electrical power that exceeds Tenant’s floor proportionate share of the electrical capacity of the Building floor on which the Premises are located made available for general tenant usage. If Tenant’s requirements for or consumption of electricity exceed the electricity to be provided by Landlord as described in Section 7.1, Landlord shall, at Tenant’s expense, make reasonable efforts to supply such service through the then-existing feeders and risers serving the Building and the Premises, provided the additional use of such feeders and risers caused by Tenant’s excess electrical requirements do not adversely affect Landlord’s ability to provide reasonable electrical service to the balance of the Building (as determined by Landlord in the exercise of its reasonable discretion); and Tenant shall pay to Landlord the cost of such service within 30 days after Landlord has delivered to Tenant an invoice therefor. Landlord may determine the amount of such additional consumption and potential consumption by any verifiable method, including installation of a separate meter in the Premises installed, maintained, and read by Landlord, at Tenant’s expense. Tenant shall not install any electrical equipment requiring special wiring or requiring voltage in excess of 110 volts unless approved in advance by Landlord, which approval shall not be unreasonably withheld. Tenant shall not install any electrical equipment requiring voltage in excess of the prorata capacity available to Tenant as of the date of this Lease unless approved in advance by Landlord, which approval may be withheld in Landlord’s sole discretion. The use of electricity in the Premises shall not exceed the capacity of existing feeders and risers to or wiring in the Premises. Any risers or wiring required to meet Tenant’s excess electrical requirements shall, upon Tenant’s written request, be installed by Landlord, at Tenant’s cost, if, in Landlord’s judgment, the same are necessary and shall not cause permanent damage to the Building or the Premises, cause or create a dangerous or hazardous condition, entail excessive or unreasonable alterations, repairs, or expenses, adversely affect Landlord’s ability to provide reasonable service to the balance of the Building, or interfere with or disturb other tenants of the Building. If Tenant (a) uses machines or equipment in the Premises or (b) operates within the Premises at a density, either of which (1) affects the temperature otherwise maintained by the air conditioning system or (2) otherwise overloads any utility, Landlord may install supplemental air conditioning units or other supplemental equipment in the Premises, and the cost thereof, including the cost of design, installation, operation, use, and maintenance, in each case plus an administrative fee of 15% of such cost, shall be paid by Tenant to Landlord within 30 days after Landlord has delivered to Tenant an invoice therefor. To the extent practicable, and subject to Landlord’s prior written consent, not to be unreasonably withheld, conditioned or delayed, Tenant shall have the right to elect, at Tenant’s sole cost and expense, to separately submeter electricity consumption in the entire Premises or any portion thereof. If Tenant elects, and Landlord approves, separately submetering the any portion of the Premises, Landlord and Tenant shall enter into an amendment to this Lease revising Tenant’s obligations for the payment of Electrical Costs, including separately submetered electricity usage, common area electricity usage, and any portions of the Premises not covered by the separate submeter(s).</w:t>
      </w:r>
    </w:p>
    <w:p>
      <w:pPr>
        <w:spacing w:after="0" w:line="168" w:lineRule="exact"/>
        <w:rPr>
          <w:sz w:val="20"/>
          <w:szCs w:val="20"/>
          <w:color w:val="auto"/>
        </w:rPr>
      </w:pPr>
    </w:p>
    <w:p>
      <w:pPr>
        <w:ind w:right="20" w:firstLine="1259"/>
        <w:spacing w:after="0" w:line="30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u w:val="single" w:color="auto"/>
          <w:color w:val="auto"/>
        </w:rPr>
        <w:t>Restoration of Services; Abatement</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use reasonable efforts to restore any service required of it under Section 7.1 that becomes unavailable; however, such unavailability shall not render Landlord liable for any damages caused thereby, be a constructive eviction of Tenant, constitute a breach of any implied warranty, or, except as provided in the next sentence, entitle Tenant to any abatement of Tenant’s obligations hereunder. If, however, Tenant is prevented from using, and does not use, any portion of the Premises because of the unavailability of any such service for a period of ten consecutive business days following Landlord’s receipt from Tenant of a written notice regarding such unavailability, and such unavailability was not caused by a Tenant Party or a governmental directive, then Tenant shall, as its exclusive remedy, be entitled to a proportionate abatement of Basic Rent and Additional Rent based upon the portion of the Premises affected, for each consecutive day (after such ten-business-day period) that Tenant is so prevented from using the Premises.</w:t>
      </w:r>
    </w:p>
    <w:p>
      <w:pPr>
        <w:spacing w:after="0" w:line="149"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Repair and Maintenance by Landlord</w:t>
      </w:r>
      <w:r>
        <w:rPr>
          <w:rFonts w:ascii="Arial" w:cs="Arial" w:eastAsia="Arial" w:hAnsi="Arial"/>
          <w:sz w:val="17"/>
          <w:szCs w:val="17"/>
          <w:b w:val="1"/>
          <w:bCs w:val="1"/>
          <w:color w:val="auto"/>
        </w:rPr>
        <w:t>.</w:t>
      </w:r>
      <w:r>
        <w:rPr>
          <w:rFonts w:ascii="Arial" w:cs="Arial" w:eastAsia="Arial" w:hAnsi="Arial"/>
          <w:sz w:val="17"/>
          <w:szCs w:val="17"/>
          <w:color w:val="auto"/>
        </w:rPr>
        <w:t xml:space="preserve"> Landlord shall maintain and repair the common areas of the Project, Building’s Structure (including any structural elements within or affecting the Premises), the core portions of the Building’s Systems, the parking areas and other exterior areas of the Project, including driveways, alleys, landscape and grounds of the Project and utility lines in a good condition, consistent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with the operation of similar class office buildings in the market in which the Project is located, including maintenance, repair and replacement of the exterior of the Project (including painting), landscaping, sprinkler systems and any items normally associated with the foregoing. All costs in performing the work described in this Section shall be included in Operating Costs except to the extent excluded by Section 4.2. In no event shall Landlord be responsible for alterations to the Building’s Structure required by applicable Law solely because of Tenant’s specific use of the Premises (as opposed to alterations required by applicable Law which are generally applicable to tenants of the Building), or alterations or improvements to the Premises made by or for a Tenant Party (which alterations shall be made by Landlord at Tenant’s sole cost and expense and on the same terms and conditions as Landlord performed repairs as described in Section 8.2 below). Notwithstanding anything to the contrary contained herein, Landlord shall, in its commercially-reasonable discretion, determine whether, and to the extent, repairs or replacements are the appropriate remedial action.</w:t>
      </w:r>
    </w:p>
    <w:p>
      <w:pPr>
        <w:spacing w:after="0" w:line="175" w:lineRule="exact"/>
        <w:rPr>
          <w:sz w:val="20"/>
          <w:szCs w:val="20"/>
          <w:color w:val="auto"/>
        </w:rPr>
      </w:pPr>
    </w:p>
    <w:p>
      <w:pPr>
        <w:ind w:left="1260" w:hanging="626"/>
        <w:spacing w:after="0"/>
        <w:tabs>
          <w:tab w:leader="none" w:pos="1260" w:val="left"/>
        </w:tabs>
        <w:numPr>
          <w:ilvl w:val="0"/>
          <w:numId w:val="189"/>
        </w:numPr>
        <w:rPr>
          <w:rFonts w:ascii="Arial" w:cs="Arial" w:eastAsia="Arial" w:hAnsi="Arial"/>
          <w:sz w:val="17"/>
          <w:szCs w:val="17"/>
          <w:color w:val="auto"/>
        </w:rPr>
      </w:pPr>
      <w:r>
        <w:rPr>
          <w:rFonts w:ascii="Arial" w:cs="Arial" w:eastAsia="Arial" w:hAnsi="Arial"/>
          <w:sz w:val="17"/>
          <w:szCs w:val="17"/>
          <w:b w:val="1"/>
          <w:bCs w:val="1"/>
          <w:u w:val="single" w:color="auto"/>
          <w:color w:val="auto"/>
        </w:rPr>
        <w:t>Improvements; Alterations; Repairs; Maintenance</w:t>
      </w:r>
      <w:r>
        <w:rPr>
          <w:rFonts w:ascii="Arial" w:cs="Arial" w:eastAsia="Arial" w:hAnsi="Arial"/>
          <w:sz w:val="17"/>
          <w:szCs w:val="17"/>
          <w:b w:val="1"/>
          <w:bCs w:val="1"/>
          <w:color w:val="auto"/>
        </w:rPr>
        <w:t>.</w:t>
      </w:r>
    </w:p>
    <w:p>
      <w:pPr>
        <w:spacing w:after="0" w:line="224" w:lineRule="exact"/>
        <w:rPr>
          <w:sz w:val="20"/>
          <w:szCs w:val="20"/>
          <w:color w:val="auto"/>
        </w:rPr>
      </w:pPr>
    </w:p>
    <w:p>
      <w:pPr>
        <w:ind w:right="140" w:firstLine="1259"/>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Improvements; Alterations</w:t>
      </w:r>
      <w:r>
        <w:rPr>
          <w:rFonts w:ascii="Arial" w:cs="Arial" w:eastAsia="Arial" w:hAnsi="Arial"/>
          <w:sz w:val="16"/>
          <w:szCs w:val="16"/>
          <w:b w:val="1"/>
          <w:bCs w:val="1"/>
          <w:color w:val="auto"/>
        </w:rPr>
        <w:t>.</w:t>
      </w:r>
      <w:r>
        <w:rPr>
          <w:rFonts w:ascii="Arial" w:cs="Arial" w:eastAsia="Arial" w:hAnsi="Arial"/>
          <w:sz w:val="16"/>
          <w:szCs w:val="16"/>
          <w:color w:val="auto"/>
        </w:rPr>
        <w:t xml:space="preserve"> Improvements to the Premises shall be installed at Tenant’s expense only in accordance with plans and specifications which have been previously submitted to and approved in writing by Landlord, which approval shall be governed by the provisions set forth in this Section 8.1. No alterations or physical additions in or to the Premises (including the installation of systems furniture or other equipment or personal property that affects or otherwise connects to the Building’s Systems) may be made without Landlord’s prior written consent, which shall not be unreasonably withheld or delayed; however, Landlord may withhold its consent to any alteration or addition that would (a) adversely affect (in the reasonable discretion of Landlord) the Building’s Structure or the Building’s Systems (including the Project’s restrooms or mechanical rooms), or (b) affect (in the sole discretion of Landlord) the</w:t>
      </w:r>
    </w:p>
    <w:p>
      <w:pPr>
        <w:spacing w:after="0" w:line="2" w:lineRule="exact"/>
        <w:rPr>
          <w:sz w:val="20"/>
          <w:szCs w:val="20"/>
          <w:color w:val="auto"/>
        </w:rPr>
      </w:pPr>
    </w:p>
    <w:p>
      <w:pPr>
        <w:ind w:firstLine="5"/>
        <w:spacing w:after="0" w:line="295" w:lineRule="auto"/>
        <w:tabs>
          <w:tab w:leader="none" w:pos="24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exterior appearance of the Project, (2) appearance of the Project’s common areas or elevator lobby areas, (3) quiet enjoyment of other tenants or occupants of the Project, or (4) provision of services to other occupants of the Project. To the extent that Landlord grants Tenant the right to use areas within the Project, whether pursuant to the terms of this Lease or through plans and specifications subsequently approved by Landlord (and without implying that Landlord shall grant any such approvals), (A) in no event may Tenant use more than its Proportionate Share of the areas within the Building or utility capacity made available by Landlord for general tenant usage for Tenant’s installations and operations in the Premises (including chilled water, electricity, telecommunications room space, electrical room space, plenum space and riser space), and (B) Tenant shall comply with the provisions of this Section with respect to all such items, including Tenant’s Off-Premises Equipment.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Notwithstanding the foregoing, but subject to Section 8.2 below with respect to the Visible Premises, Tenant shall not be required to obtain Landlord’s consent for repainting, recarpeting, or other alterations, tenant improvements, or physical additions to the Premises which are cosmetic in nature totaling less than $15,000 in any single instance or series of related alterations performed within a six-month period (“</w:t>
      </w:r>
      <w:r>
        <w:rPr>
          <w:rFonts w:ascii="Arial" w:cs="Arial" w:eastAsia="Arial" w:hAnsi="Arial"/>
          <w:sz w:val="15"/>
          <w:szCs w:val="15"/>
          <w:b w:val="1"/>
          <w:bCs w:val="1"/>
          <w:u w:val="single" w:color="auto"/>
          <w:color w:val="auto"/>
        </w:rPr>
        <w:t>Permitted Alterations</w:t>
      </w:r>
      <w:r>
        <w:rPr>
          <w:rFonts w:ascii="Arial" w:cs="Arial" w:eastAsia="Arial" w:hAnsi="Arial"/>
          <w:sz w:val="15"/>
          <w:szCs w:val="15"/>
          <w:color w:val="auto"/>
        </w:rPr>
        <w:t>”) (provided that Tenant shall not perform any improvements, alterations or additions to the Premises in stages as a means to subvert this provision), in each case provided that (i) Tenant delivers to Landlord written notice thereof, a list of contractors and subcontractors to perform the work (and certificates of insurance for each such party) and any plans and specifications therefor prior to commencing any such alterations, additions, or improvements (for informational purposes only so long as no consent is required by Landlord as required by this Lease), (ii) the installation thereof does not require the issuance of any building permit or other governmental approval, or involve any</w:t>
      </w:r>
    </w:p>
    <w:p>
      <w:pPr>
        <w:sectPr>
          <w:pgSz w:w="11900" w:h="16838" w:orient="portrait"/>
          <w:cols w:equalWidth="0" w:num="1">
            <w:col w:w="11420"/>
          </w:cols>
          <w:pgMar w:left="240" w:top="337" w:right="239" w:bottom="0" w:gutter="0" w:footer="0" w:header="0"/>
        </w:sectPr>
      </w:pPr>
    </w:p>
    <w:bookmarkStart w:id="226" w:name="page227"/>
    <w:bookmarkEnd w:id="226"/>
    <w:p>
      <w:pPr>
        <w:spacing w:after="0"/>
        <w:rPr>
          <w:sz w:val="20"/>
          <w:szCs w:val="20"/>
          <w:color w:val="auto"/>
        </w:rPr>
      </w:pPr>
      <w:r>
        <w:rPr>
          <w:rFonts w:ascii="Arial" w:cs="Arial" w:eastAsia="Arial" w:hAnsi="Arial"/>
          <w:sz w:val="16"/>
          <w:szCs w:val="16"/>
          <w:color w:val="auto"/>
        </w:rPr>
        <w:t>core drilling or the configuration or location of any exterior or interior walls of the Building, and (iii) such alterations, additions and improvements will not affect</w:t>
      </w:r>
    </w:p>
    <w:p>
      <w:pPr>
        <w:spacing w:after="0" w:line="38" w:lineRule="exact"/>
        <w:rPr>
          <w:sz w:val="20"/>
          <w:szCs w:val="20"/>
          <w:color w:val="auto"/>
        </w:rPr>
      </w:pPr>
    </w:p>
    <w:p>
      <w:pPr>
        <w:ind w:firstLine="5"/>
        <w:spacing w:after="0" w:line="261" w:lineRule="auto"/>
        <w:tabs>
          <w:tab w:leader="none" w:pos="24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Building’s Structure or the Building’s Systems, (y) the provision of services to other Building tenants, or (z) the appearance of the Building’s common areas or the exterior of the Building.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w:t>
      </w:r>
    </w:p>
    <w:p>
      <w:pPr>
        <w:spacing w:after="0" w:line="178"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Repair and Maintenance by Tenant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shall maintain the Premises in a clean, safe, and operable condition, and shall not permit or allow to remain any waste or damage to any portion of the Premises. If the Premises include, now or hereafter, one or more floors of the Building in their entirety, all corridors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and restroom facilities located on such full floor(s) shall be considered to be a part of the Premises. Additionally, Tenant, at its sole expense, shall repair, replace and maintain in good condition and in accordance with all Laws and the equipment manufacturer’s suggested service programs, all portions of the Premises (excluding the core portion of the Building’s Systems, which shall be maintained by Landlord pursuant to Section 7.4, and the branch lines of the plumbing, electrical and HVAC systems, including all duct work, exclusively serving the Premises, which shall be maintained by Landlord at Tenant’s cost and expense) and Tenant’s Off-Premises Equipment, if any, and all areas, improvements and separate systems, e.g., supplemental HVAC systems, if any, exclusively serving the Premises. Notwithstanding any other provision in this Lease to the contrary, with respect to any portion of the Premises visible from any common area inside or outside of the Building (the “</w:t>
      </w:r>
      <w:r>
        <w:rPr>
          <w:rFonts w:ascii="Arial" w:cs="Arial" w:eastAsia="Arial" w:hAnsi="Arial"/>
          <w:sz w:val="16"/>
          <w:szCs w:val="16"/>
          <w:b w:val="1"/>
          <w:bCs w:val="1"/>
          <w:u w:val="single" w:color="auto"/>
          <w:color w:val="auto"/>
        </w:rPr>
        <w:t>Visible Premises</w:t>
      </w:r>
      <w:r>
        <w:rPr>
          <w:rFonts w:ascii="Arial" w:cs="Arial" w:eastAsia="Arial" w:hAnsi="Arial"/>
          <w:sz w:val="16"/>
          <w:szCs w:val="16"/>
          <w:color w:val="auto"/>
        </w:rPr>
        <w:t>”). Tenant shall (a) maintain such Visible Premises and furniture, fixtures and equipment located therein in a neat and first-class condition throughout the Term and any extension thereof, (b) not use the Visible Premises for storage, (c) obtain Landlord’s prior written consent as to the interior paint color, signage, carpeting, furniture and equipment contained in the Visible Premises, (d) complete within the Visible Premises any requested cleaning within one business day after Landlord’s written request therefor, and (e) complete within the Visible Premises any requested repairs, alterations or changes within five business days after Landlord’s written request therefor. Tenant shall repair or replace, subject to Landlord’s direction and supervision, any damage to the Project caused by a Tenant Party. If (1) Tenant fails to commence to make such repairs or replacements within 15 days after the occurrence of such damage and thereafter diligently pursue the completion thereof (or, in the case of an emergency, such shorter period of time as is reasonable given the circumstances), or (2) notwithstanding such diligence, Tenant fails to complete such repairs or replacements within 30 days after the occurrence of such damage (or, in the case of an emergency, such shorter period of time as is reasonable given the circumstances), then Landlord may make the same at Tenant’s cost. If any such damage occurs outside of the Premises, or if such damage occurs inside the Premises but affects the Building’s Systems and/or Building’s Structure or any other area outside the Premises, then Landlord may elect to repair such damage at Tenant’s expense, rather than having Tenant repair such damage. The actual, reasonable out-of-pocket cost of all maintenance, repair or replacement work performed by Landlord under this Section 8, in each case plus an administrative fee of 15% of such cost, shall be paid by Tenant to Landlord within 30 days after Landlord has invoiced Tenant therefor.</w:t>
      </w:r>
    </w:p>
    <w:p>
      <w:pPr>
        <w:spacing w:after="0" w:line="169"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All work described in this Section 8 shall be performed only by Landlord or by contractors and subcontractors approved in writing by Landlord and only in accordance with plans and specifications approved by Landlord in writing. If Landlord elects, in its sole discretion, to supervise any work described in this Section 8, Tenant shall pay to Landlord a construction management fee equal to 5% of the cost of such work. Tenant shall cause all contractors and subcontractors to procure and maintain insurance coverage naming Landlord, Landlord’s Mortgagee, Landlord’s property management company and Landlord’s asset management company as additional insureds against such risks, in such amounts, and with such companies as Landlord may reasonably require.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and shall use materials of a quality that is at least equal to the quality designated by Landlord as the minimum standard for the Building, and in such manner as to cause a minimum of disruption to the other occupants of the Project and interference with other construction in progress and with the transaction of business in the Project and the related complex. Landlord may designate reasonable rules, regulations and procedures for the performance of all such work in the Building (including insurance requirements for contractors) and, to the extent reasonably necessary to avoid disruption to the occupants of the Building, shall have the right to designate the time when such work may be performed. All such work which may affect the Building’s Structure or the Building’s Systems must be approved by the Project’s engineer of record, at Tenant’s expense and, at Landlord’s election, must be performed by Landlord’s usual contractor for such work. All work affecting the roof of the Building must be performed by Landlord’s roofing contractor and no such work will be permitted if it would void or reduce or otherwise adversely affect the warranty on the roof. Upon completion of any work described in this Section 8, except with respect to any Permitted Alterations or any repairs required to be made by Tenant under Section 8.2, Tenant shall furnish Landlord with accurate reproducible “as-built” CADD files of the improvements as constructed.</w:t>
      </w:r>
    </w:p>
    <w:p>
      <w:pPr>
        <w:spacing w:after="0" w:line="177"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Mechanic’s Liens</w:t>
      </w:r>
      <w:r>
        <w:rPr>
          <w:rFonts w:ascii="Arial" w:cs="Arial" w:eastAsia="Arial" w:hAnsi="Arial"/>
          <w:sz w:val="17"/>
          <w:szCs w:val="17"/>
          <w:b w:val="1"/>
          <w:bCs w:val="1"/>
          <w:color w:val="auto"/>
        </w:rPr>
        <w:t>.</w:t>
      </w:r>
      <w:r>
        <w:rPr>
          <w:rFonts w:ascii="Arial" w:cs="Arial" w:eastAsia="Arial" w:hAnsi="Arial"/>
          <w:sz w:val="17"/>
          <w:szCs w:val="17"/>
          <w:color w:val="auto"/>
        </w:rPr>
        <w:t xml:space="preserve"> All work performed, materials furnished, or obligations incurred by or at the request of a Tenant Party shall be deemed authorized and ordered by Tenant only, and Tenant shall not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permit any mechanic’s or construction liens to be filed against the Premises or the Project in connection therewith. Upon completion of any such work, Tenant shall deliver to Landlord final unconditional lien waivers from all contractors, subcontractors and materialmen who performed such work. If such a lien is filed, then Tenant shall, within ten business days after Landlord has delivered notice of the filing thereof to Tenant (or such earlier time period as may be necessary to prevent the forfeiture of the Premises, the Project or any interest of Landlord therein or the imposition of a civil or criminal fine with respect thereto), either</w:t>
      </w:r>
    </w:p>
    <w:p>
      <w:pPr>
        <w:spacing w:after="0" w:line="2" w:lineRule="exact"/>
        <w:rPr>
          <w:sz w:val="20"/>
          <w:szCs w:val="20"/>
          <w:color w:val="auto"/>
        </w:rPr>
      </w:pPr>
    </w:p>
    <w:p>
      <w:pPr>
        <w:ind w:right="40" w:firstLine="5"/>
        <w:spacing w:after="0" w:line="296" w:lineRule="auto"/>
        <w:tabs>
          <w:tab w:leader="none" w:pos="238"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pay the amount of the lien and cause the lien to be released of record, or (b) diligently contest such lien and deliver to Landlord a bond or other security reasonably satisfactory to Landlord. If Tenant fails to timely take either such action, then Landlord may pay the lien claim, and any amounts so paid, including actual, out-of-pocket expenses and applicable interest, shall be paid by Tenant to Landlord within ten business days after Landlord has invoiced Tenant therefor. Landlord and Tenant acknowledge and agree that their relationship is and shall be solely that of “landlord-tenant” (thereby excluding a relationship of “owner-contractor,” “owner-agent” or other similar relationships) and that Tenant is not authorized to act as Landlord’s common law agent or construction agent in connection with any work performed in the Premises.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w:t>
      </w:r>
    </w:p>
    <w:p>
      <w:pPr>
        <w:sectPr>
          <w:pgSz w:w="11900" w:h="16838" w:orient="portrait"/>
          <w:cols w:equalWidth="0" w:num="1">
            <w:col w:w="11420"/>
          </w:cols>
          <w:pgMar w:left="240" w:top="127" w:right="239" w:bottom="0" w:gutter="0" w:footer="0" w:header="0"/>
        </w:sectPr>
      </w:pPr>
    </w:p>
    <w:bookmarkStart w:id="227" w:name="page228"/>
    <w:bookmarkEnd w:id="227"/>
    <w:p>
      <w:pPr>
        <w:spacing w:after="0" w:line="57" w:lineRule="exact"/>
        <w:rPr>
          <w:sz w:val="20"/>
          <w:szCs w:val="20"/>
          <w:color w:val="auto"/>
        </w:rPr>
      </w:pPr>
    </w:p>
    <w:p>
      <w:pPr>
        <w:ind w:right="320"/>
        <w:spacing w:after="0" w:line="322" w:lineRule="auto"/>
        <w:rPr>
          <w:sz w:val="20"/>
          <w:szCs w:val="20"/>
          <w:color w:val="auto"/>
        </w:rPr>
      </w:pPr>
      <w:r>
        <w:rPr>
          <w:rFonts w:ascii="Arial" w:cs="Arial" w:eastAsia="Arial" w:hAnsi="Arial"/>
          <w:sz w:val="16"/>
          <w:szCs w:val="16"/>
          <w:color w:val="auto"/>
        </w:rPr>
        <w:t>Tenant Party, except to the extent such claim, demand, cause of action, suit, judgment, damage or expense is solely attributable to Landlord’s failure to comply with the Lease (including the provisions of this Section 8). This indemnity provision shall survive termination or expiration of this Lease.</w:t>
      </w:r>
    </w:p>
    <w:p>
      <w:pPr>
        <w:spacing w:after="0" w:line="13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Janitorial Services</w:t>
      </w:r>
      <w:r>
        <w:rPr>
          <w:rFonts w:ascii="Arial" w:cs="Arial" w:eastAsia="Arial" w:hAnsi="Arial"/>
          <w:sz w:val="16"/>
          <w:szCs w:val="16"/>
          <w:color w:val="auto"/>
        </w:rPr>
        <w:t>. Landlord, as part of Operating Costs, shall provide janitorial services in the Premises and arrange for trash removal and recycling services from the Premises. Notwithstanding the forgoing, Tenant shall have the right to provide janitorial services to the Premises at Tenant’s sole cost and expense, in lieu of using the janitorial service provided by Landlord, provided (a) Tenant gives Landlord prior written notice that Tenant intends to provide such service, which notice shall specify the name of the janitorial service provider Tenant desires to use and the date Tenant desires to commence providing such service (which notice may be given prior to the Commencement Date), (b) Tenant shall not be permitted to use more than one janitorial service provider to provide janitorial services to the Premises (so that different portions of the Premises may not be cleaned by different janitorial service providers), (c) Tenant obtains Landlord’s prior written approval (not to be unreasonably withheld or delayed) of such janitorial service provider (or any replacement for such provider), (d) Tenant’s janitorial service provider provides janitorial and recycling services for the Premises on weekdays during the Term (exclusive of holidays) in accordance with cleaning specifications that are reasonable and customary for the first class office space, (e) Tenant’s provision of janitorial services does not cause any labor disharmony or disruption (subject to the following terms of this Section), (f) Tenant’s janitorial service provider is bonded and maintains at all times insurance reasonably required by Landlord (and furnishes evidence to Landlord of such insurance upon request from Landlord, which evidence may include, without limitation, a certificate of insurance, if requested by Landlord) and (g) Landlord shall have the right to require Tenant to cause its janitorial service provider to use “green” cleaning products and equipment to clean the Premises or, if Landlord is maintaining or seeking to obtain a LEED certification for the Building, such products and equipment as are required to be used in order to obtain or maintain such certification. Once Tenant has obtained the necessary approvals from Landlord, Landlord and Tenant shall coordinate to select a date on which Tenant shall commence to provide janitorial services to the Premises and Tenant shall commence to provide such services in accordance with this Section 8.5 on the date agreed upon, using the janitorial service provider approved by Landlord (the “</w:t>
      </w:r>
      <w:r>
        <w:rPr>
          <w:rFonts w:ascii="Arial" w:cs="Arial" w:eastAsia="Arial" w:hAnsi="Arial"/>
          <w:sz w:val="16"/>
          <w:szCs w:val="16"/>
          <w:b w:val="1"/>
          <w:bCs w:val="1"/>
          <w:u w:val="single" w:color="auto"/>
          <w:color w:val="auto"/>
        </w:rPr>
        <w:t>Approved Janitorial Contractor</w:t>
      </w:r>
      <w:r>
        <w:rPr>
          <w:rFonts w:ascii="Arial" w:cs="Arial" w:eastAsia="Arial" w:hAnsi="Arial"/>
          <w:sz w:val="16"/>
          <w:szCs w:val="16"/>
          <w:color w:val="auto"/>
        </w:rPr>
        <w:t>”) and from and after such date Landlord shall have no further obligation to provide janitorial services to the Premises, except as set forth in the next sentence. If Tenant subsequently elects not to provide janitorial services to the Premises in accordance with this Section 8.5, Landlord agrees to resume providing janitorial services to the Premises in the manner specified above, upon at least 30 days’ prior written notice from Tenant and, thereafter, Tenant shall have no further right to provide janitorial services to the Premises. Landlord will not unreasonably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withhold its consent to Tenant’s janitorial service provider as long as such provider is a reputable, adequately bonded and insured company (in Landlord’s reasonable judgment) with experience cleaning office space in commercial buildings and will not cause labor disharmony or disruption at the Building. If the presence of Tenant’s Approved Janitorial Contractor at the Building causes labor disharmony or disruption (as determined by Landlord), Tenant shall take any actions reasonably necessary to resolve such disruption, including having any pickets removed and, at the request of Landlord, suspending any work being performed in the Premises giving rise to such dispute until such time as Landlord shall have given its written consent for the resumption of such work (which consent shall not be unreasonably withheld or delayed). If such dispute cannot be resolved within a reasonable period of time, Tenant’s right to provide such janitorial services to the Premises shall terminate, and Landlord shall provide janitorial services to the Premises in the manner specified above.</w:t>
      </w:r>
    </w:p>
    <w:p>
      <w:pPr>
        <w:spacing w:after="0" w:line="164" w:lineRule="exact"/>
        <w:rPr>
          <w:sz w:val="20"/>
          <w:szCs w:val="20"/>
          <w:color w:val="auto"/>
        </w:rPr>
      </w:pPr>
    </w:p>
    <w:p>
      <w:pPr>
        <w:ind w:firstLine="634"/>
        <w:spacing w:after="0" w:line="275" w:lineRule="auto"/>
        <w:tabs>
          <w:tab w:leader="none" w:pos="1258" w:val="left"/>
        </w:tabs>
        <w:numPr>
          <w:ilvl w:val="0"/>
          <w:numId w:val="193"/>
        </w:numPr>
        <w:rPr>
          <w:rFonts w:ascii="Arial" w:cs="Arial" w:eastAsia="Arial" w:hAnsi="Arial"/>
          <w:sz w:val="16"/>
          <w:szCs w:val="16"/>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color w:val="auto"/>
        </w:rPr>
        <w:t>. Tenant shall continuously occupy and use the Premises only for the Permitted Use and shall comply with all Laws relating to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 access to, and occupancy of the Premises and will not commit waste, overload the Building’s Structure or the Building’s Systems or subject the Premises to use that would damage the Premises. The population density within the Premises as a whole shall at no time exceed one person for each 250 rentable square feet in the Premises; however, such population density may from time to time exceed such number on a temporary basis for meetings, conferences and other events of a temporary nature. Subject to the Building rules and regulations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the other provisions of this Lease, Tenant will be provided access to the Premises 24 hours per day, seven days per week. Tenant may use the Premises after normal business hours; however, such hours of operation shall not affect (i) the normal Building hours specified in Section 7.1, or (ii) Tenant’s obligation to request and pay for, among other things, after-hours HVAC service as provided in Section 7.1 and all costs and expenses incurred by Landlord as a result of Tenant operating in the Premises beyond the normal Building hours specified in Section 7.1, including any additional cost and expense to provide the services contemplated by this Lease, such as any additional janitorial and day porter service to the common areas, and such costs and services shall be paid by Tenant to Landlord within 30 days following Landlord’s delivery to Tenant of an invoice therefor, and such costs shall not be included in Operating Costs. Notwithstanding anything in this Lease to the contrary, as between Landlord and Tenant, (a) except as expressly provided below,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6"/>
          <w:szCs w:val="16"/>
          <w:b w:val="1"/>
          <w:bCs w:val="1"/>
          <w:u w:val="single" w:color="auto"/>
          <w:color w:val="auto"/>
        </w:rPr>
        <w:t>Disabilities Acts</w:t>
      </w:r>
      <w:r>
        <w:rPr>
          <w:rFonts w:ascii="Arial" w:cs="Arial" w:eastAsia="Arial" w:hAnsi="Arial"/>
          <w:sz w:val="16"/>
          <w:szCs w:val="16"/>
          <w:color w:val="auto"/>
        </w:rPr>
        <w:t xml:space="preserve">”) in the Premises, and (b) Landlord shall bear the risk of (1) complying with the Disabilities Acts in the common areas of the Building, as well as (2) complying with the Disabilities Acts (as such Disabilities Acts are codified and interpreted as of the date of this Lease) in the Premises to the extent such non-compliance was caused by a condition which existed due to the construction of the Premises (but only if the Working Drawings complied with the Disabilities Acts) as of the date Landlord tenders possession of the Premises to Tenant, in each case in clause (1) and (2) above other than compliance that is necessitated by the use of the Premises for other than the Permitted Use or as a result of any alterations or additions, including the design of any initial tenant improvement work, made by or on behalf of a Tenant Party (which risk and responsibility shall be borne by Tenant). If, however, any non-compliance with the Disabilities Acts in the Premises is due to a defect in the Architect’s Working Drawings (as each is defined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Tenant’s sole remedy shall be an action against the Architect, and Landlord shall have no liability therefor (however Landlord, at no cost to Landlord, shall reasonably cooperate with Tenant in any actions against the Architect). The Premises shall not be used for any use which is disreputable, creates extraordinary fire hazards, or results in an increased rate of insurance on the Project or its contents, or for the storage of any Hazardous Materials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found in typical office supplies [e.g., photocopier toner] and then only in compliance with all Laws and in a reasonable and prudent manner). Tenant shall not use any substantial portion of the Premises for a “call center,” any other telemarketing use, or any credit processing use. Tenant may use any existing wiring or cabling in the Premises in its current “</w:t>
      </w:r>
      <w:r>
        <w:rPr>
          <w:rFonts w:ascii="Arial" w:cs="Arial" w:eastAsia="Arial" w:hAnsi="Arial"/>
          <w:sz w:val="16"/>
          <w:szCs w:val="16"/>
          <w:b w:val="1"/>
          <w:bCs w:val="1"/>
          <w:color w:val="auto"/>
        </w:rPr>
        <w:t>AS-IS</w:t>
      </w:r>
      <w:r>
        <w:rPr>
          <w:rFonts w:ascii="Arial" w:cs="Arial" w:eastAsia="Arial" w:hAnsi="Arial"/>
          <w:sz w:val="16"/>
          <w:szCs w:val="16"/>
          <w:color w:val="auto"/>
        </w:rPr>
        <w:t>” condition (and Landlord covenants that such existing wiring shall remain in the Premises during the Term to the extent permitted by Laws); however, any additional wiring or cabling installed by Tenant or modifications made to the existing wiring or cabling shall be at Tenant’s sole cost and expense. During the Term, Tenant shall leave any pre-existing but unused wiring and cabling undamaged and in a neat and organized fashion, labeled, and comparable to its current condition. If, because of a Tenant Party’s acts or omissions or because Tenant vacates the Premises, the rate of insurance on the Building or its contents increases, then such acts or omissions shall be an Event of Default,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194"/>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and Subletting</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330"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Except as provided in Section 10.8, Tenant shall not, without the prior written consent of Landlord, (a) assign, transfer, or encumber this Lease or any estate or interest herein, whether directly or by operation of law, (b) permit any other entity to become Tenant hereunder by merger, consolidation, or other reorganization, (c) if Tenant is an entity other than a corporation whose stock is publicly traded, permit the transfer of an ownership interest</w:t>
      </w:r>
    </w:p>
    <w:p>
      <w:pPr>
        <w:sectPr>
          <w:pgSz w:w="11900" w:h="16896" w:orient="portrait"/>
          <w:cols w:equalWidth="0" w:num="1">
            <w:col w:w="11420"/>
          </w:cols>
          <w:pgMar w:left="240" w:top="127" w:right="239" w:bottom="0" w:gutter="0" w:footer="0" w:header="0"/>
        </w:sectPr>
      </w:pPr>
    </w:p>
    <w:bookmarkStart w:id="228" w:name="page229"/>
    <w:bookmarkEnd w:id="228"/>
    <w:p>
      <w:pPr>
        <w:spacing w:after="0" w:line="1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Tenant so as to result in a change in the current direct or indirect control of Tenant, (d) sublet any portion of the Premises, (e) grant any license, concession, or other right of occupancy of any portion of the Premises, (f) permit the use of the Premises by any parties other than Tenant, or (g) sell or otherwise transfer, in one or more transactions, a majority of Tenant’s assets (any of the events listed in Section 10.1(a) through 10.1(g) being a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w:t>
      </w:r>
    </w:p>
    <w:p>
      <w:pPr>
        <w:spacing w:after="0" w:line="148" w:lineRule="exact"/>
        <w:rPr>
          <w:sz w:val="20"/>
          <w:szCs w:val="20"/>
          <w:color w:val="auto"/>
        </w:rPr>
      </w:pPr>
    </w:p>
    <w:p>
      <w:pPr>
        <w:ind w:right="20" w:firstLine="1259"/>
        <w:spacing w:after="0" w:line="27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Consent Standards</w:t>
      </w:r>
      <w:r>
        <w:rPr>
          <w:rFonts w:ascii="Arial" w:cs="Arial" w:eastAsia="Arial" w:hAnsi="Arial"/>
          <w:sz w:val="16"/>
          <w:szCs w:val="16"/>
          <w:color w:val="auto"/>
        </w:rPr>
        <w:t>. Landlord shall not unreasonably withhold its consent to any assignment of Tenant’s entire interest in this Lease or subletting of the Premises, so long as the proposed transferee (a) is creditworthy, (b)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the Project or the related complex, (c) will not use the Premises, Building or Project in a manner that would materially increase Operating Costs or the pedestrian or vehicular traffic to the Premises, Building or Project, (d) is not a governmental or quasi-governmental entity, or subdivision or agency thereof, or any other entity entitled to the defense of sovereign immunity, (e) is not another occupant of the Project or the related complex or an Affiliate of such occupant, (f) is not currently and has not in the past been involved in litigation with Landlord or any of its Affiliates, (g) meets Landlord’s reasonable standards for tenants of the Project and is otherwise compatible with the character of the occupancy of the Project and the related complex, and (h) is not a person or entity with whom Landlord is then, or has been within the nine-month period prior to the time Tenant seeks to enter into such assignment or subletting, negotiating to lease space in the Project or the related complex or any Affiliate of any such person or entity; otherwise, Landlord may withhold its consent in its sole discretion. Additionally, Landlord may withhold its consent in its sole discretion to any proposed Transfer if any Event of Default by Tenant then exists. For the purposes of clause (h) above, “</w:t>
      </w:r>
      <w:r>
        <w:rPr>
          <w:rFonts w:ascii="Arial" w:cs="Arial" w:eastAsia="Arial" w:hAnsi="Arial"/>
          <w:sz w:val="16"/>
          <w:szCs w:val="16"/>
          <w:b w:val="1"/>
          <w:bCs w:val="1"/>
          <w:u w:val="single" w:color="auto"/>
          <w:color w:val="auto"/>
        </w:rPr>
        <w:t>negotiating to lease space</w:t>
      </w:r>
      <w:r>
        <w:rPr>
          <w:rFonts w:ascii="Arial" w:cs="Arial" w:eastAsia="Arial" w:hAnsi="Arial"/>
          <w:sz w:val="16"/>
          <w:szCs w:val="16"/>
          <w:color w:val="auto"/>
        </w:rPr>
        <w:t>” shall mean any of the following: Landlord has received a request for proposal from a prospective tenant or its broker, Landlord has submitted a written lease proposal, or Landlord has initiated space planning for a prospective tenant. Any Transfer made while an Event of Default exists hereunder, irrespective whether Landlord’s consent is required hereunder with respect to the Transfer, shall be voidable by Landlord in Landlord’s sole discretion. In agreeing to act reasonably, Landlord is agreeing to act in a manner consistent with the standards followed by large institutional owners of commercial real estate and Landlord is permitted to consider the financial terms of the Transfer and the impact of the Transfer on Landlord’s own leasing efforts and the value of the Project. Landlord may condition its consent to a Transfer on an increase in the Security Deposit or receipt of a guaranty from a suitable party. Landlord shall not be required to act reasonably in considering any request to pledge or encumber this Lease or any interest therein.</w:t>
      </w:r>
    </w:p>
    <w:p>
      <w:pPr>
        <w:spacing w:after="0" w:line="175"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Request for Consent</w:t>
      </w:r>
      <w:r>
        <w:rPr>
          <w:rFonts w:ascii="Arial" w:cs="Arial" w:eastAsia="Arial" w:hAnsi="Arial"/>
          <w:sz w:val="17"/>
          <w:szCs w:val="17"/>
          <w:color w:val="auto"/>
        </w:rPr>
        <w:t>. If Tenant requests Landlord’s consent to a Transfer, then,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Concurrently with Tenant’s notice of any request for consent to a Transfer, Tenant shall pay to Landlord a fee of $500 to defray Landlord’s expenses in reviewing such request, and Tenant shall also reimburse Landlord immediately upon request for its reasonable attorneys’ fees and other expenses incurred in connection with considering any request for consent to a Transfer (which shall not exceed $1,500, provided Landlord’s standard consent form is used without material modification or negotiation).</w:t>
      </w:r>
    </w:p>
    <w:p>
      <w:pPr>
        <w:spacing w:after="0" w:line="177" w:lineRule="exact"/>
        <w:rPr>
          <w:sz w:val="20"/>
          <w:szCs w:val="20"/>
          <w:color w:val="auto"/>
        </w:rPr>
      </w:pPr>
    </w:p>
    <w:p>
      <w:pPr>
        <w:jc w:val="both"/>
        <w:ind w:right="200" w:firstLine="1259"/>
        <w:spacing w:after="0" w:line="30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Conditions to Consent</w:t>
      </w:r>
      <w:r>
        <w:rPr>
          <w:rFonts w:ascii="Arial" w:cs="Arial" w:eastAsia="Arial" w:hAnsi="Arial"/>
          <w:sz w:val="16"/>
          <w:szCs w:val="16"/>
          <w:color w:val="auto"/>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Transfer shall release Tenant from its obligations under this Lease, but rather Tenant and its transferee shall be jointly and severally liable therefor. Landlord’s consent to any Transfer shall not waive Landlord’s rights as to any subsequent Transfers and no subtenant of any portion of the Premises shall be permitted to further sublease any portion of its subleased space.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Landlord shall not be responsible for the costs of any demising walls or other improvements necessitated by a proposed subletting or assignment.</w:t>
      </w:r>
    </w:p>
    <w:p>
      <w:pPr>
        <w:spacing w:after="0" w:line="147" w:lineRule="exact"/>
        <w:rPr>
          <w:sz w:val="20"/>
          <w:szCs w:val="20"/>
          <w:color w:val="auto"/>
        </w:rPr>
      </w:pPr>
    </w:p>
    <w:p>
      <w:pPr>
        <w:ind w:right="80" w:firstLine="1259"/>
        <w:spacing w:after="0" w:line="29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b w:val="1"/>
          <w:bCs w:val="1"/>
          <w:u w:val="single" w:color="auto"/>
          <w:color w:val="auto"/>
        </w:rPr>
        <w:t>Attornment by Subtenants</w:t>
      </w:r>
      <w:r>
        <w:rPr>
          <w:rFonts w:ascii="Arial" w:cs="Arial" w:eastAsia="Arial" w:hAnsi="Arial"/>
          <w:sz w:val="15"/>
          <w:szCs w:val="15"/>
          <w:color w:val="auto"/>
        </w:rPr>
        <w:t>. Each sublease by Tenant hereunder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take over all of the right, title and interest of Tenant, as sublandlord, under such sublease, and such subtenant shall, at Landlord’s option, attorn to Landlord pursuant to the then executory provisions of such sublease, except that Landlord shall not be</w:t>
      </w:r>
    </w:p>
    <w:p>
      <w:pPr>
        <w:jc w:val="both"/>
        <w:ind w:right="80" w:firstLine="5"/>
        <w:spacing w:after="0" w:line="291" w:lineRule="auto"/>
        <w:tabs>
          <w:tab w:leader="none" w:pos="23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liable for any previous act or omission of Tenant under such sublease, (b) subject to any counterclaim, offset or defense that such subtenant might have against Tenant, (c) bound by any previous modification of such sublease not approved by Landlord in writing or by any rent or additional rent or advance rent which such subtenant might have paid for more than the current month to Tenant, and all such rent shall remain due and owing, notwithstanding such advance payment,</w:t>
      </w:r>
    </w:p>
    <w:p>
      <w:pPr>
        <w:spacing w:after="0" w:line="1" w:lineRule="exact"/>
        <w:rPr>
          <w:rFonts w:ascii="Arial" w:cs="Arial" w:eastAsia="Arial" w:hAnsi="Arial"/>
          <w:sz w:val="15"/>
          <w:szCs w:val="15"/>
          <w:color w:val="auto"/>
        </w:rPr>
      </w:pPr>
    </w:p>
    <w:p>
      <w:pPr>
        <w:ind w:right="20" w:firstLine="5"/>
        <w:spacing w:after="0" w:line="261" w:lineRule="auto"/>
        <w:tabs>
          <w:tab w:leader="none" w:pos="24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w:t>
      </w:r>
    </w:p>
    <w:p>
      <w:pPr>
        <w:spacing w:after="0" w:line="175" w:lineRule="exact"/>
        <w:rPr>
          <w:sz w:val="20"/>
          <w:szCs w:val="20"/>
          <w:color w:val="auto"/>
        </w:rPr>
      </w:pPr>
    </w:p>
    <w:p>
      <w:pPr>
        <w:ind w:right="20" w:firstLine="1259"/>
        <w:spacing w:after="0" w:line="26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Cancellation</w:t>
      </w:r>
      <w:r>
        <w:rPr>
          <w:rFonts w:ascii="Arial" w:cs="Arial" w:eastAsia="Arial" w:hAnsi="Arial"/>
          <w:sz w:val="17"/>
          <w:szCs w:val="17"/>
          <w:color w:val="auto"/>
        </w:rPr>
        <w:t>. In the event of a proposed assignment of the Lease or a sublease of more than 35% of the Premises leased to Tenant as of the Lease Date, Landlord may, within 30 days after submission of Tenant’s written request for Landlord’s consent to such assignment or subletting, cancel this Lease as to the portion of the Premises proposed to be sublet or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the portion of the Premises covered by the proposed Transfer. Thereafter, Landlord may lease such portion of the Premises to the prospective transferee (or to any other person) without liability to Tenant. For purposes of clarification and the avoidance of doubt, Landlord’s rights under this Section 10.6 shall not apply with respect to any Permitted Transfer (defined below).</w:t>
      </w:r>
    </w:p>
    <w:p>
      <w:pPr>
        <w:spacing w:after="0" w:line="173" w:lineRule="exact"/>
        <w:rPr>
          <w:sz w:val="20"/>
          <w:szCs w:val="20"/>
          <w:color w:val="auto"/>
        </w:rPr>
      </w:pPr>
    </w:p>
    <w:p>
      <w:pPr>
        <w:ind w:right="200" w:firstLine="1259"/>
        <w:spacing w:after="0" w:line="29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Additional Compensation</w:t>
      </w:r>
      <w:r>
        <w:rPr>
          <w:rFonts w:ascii="Arial" w:cs="Arial" w:eastAsia="Arial" w:hAnsi="Arial"/>
          <w:sz w:val="16"/>
          <w:szCs w:val="16"/>
          <w:color w:val="auto"/>
        </w:rPr>
        <w:t>. Tenant shall pay to Landlord, immediately upon receipt thereof, 50% of the excess (or while an Event of Default exists, 100% of the excess) of (a) all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(b) the Rent allocable to the portion of the Premises covered thereby.</w:t>
      </w:r>
    </w:p>
    <w:p>
      <w:pPr>
        <w:spacing w:after="0" w:line="153" w:lineRule="exact"/>
        <w:rPr>
          <w:sz w:val="20"/>
          <w:szCs w:val="20"/>
          <w:color w:val="auto"/>
        </w:rPr>
      </w:pPr>
    </w:p>
    <w:p>
      <w:pPr>
        <w:ind w:firstLine="1259"/>
        <w:spacing w:after="0" w:line="36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b w:val="1"/>
          <w:bCs w:val="1"/>
          <w:u w:val="single" w:color="auto"/>
          <w:color w:val="auto"/>
        </w:rPr>
        <w:t>Permitted Transfers</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Section 10.1, Tenant may Transfer all or part of its interest in this Lease or all or part of the Premises or an ownership interest in Tenant so as to result in a change in the direct or indirect control of Tenant (a “</w:t>
      </w:r>
      <w:r>
        <w:rPr>
          <w:rFonts w:ascii="Arial" w:cs="Arial" w:eastAsia="Arial" w:hAnsi="Arial"/>
          <w:sz w:val="15"/>
          <w:szCs w:val="15"/>
          <w:b w:val="1"/>
          <w:bCs w:val="1"/>
          <w:u w:val="single" w:color="auto"/>
          <w:color w:val="auto"/>
        </w:rPr>
        <w:t>Permitted Transfer</w:t>
      </w:r>
      <w:r>
        <w:rPr>
          <w:rFonts w:ascii="Arial" w:cs="Arial" w:eastAsia="Arial" w:hAnsi="Arial"/>
          <w:sz w:val="15"/>
          <w:szCs w:val="15"/>
          <w:color w:val="auto"/>
        </w:rPr>
        <w:t>”) to the following types of</w:t>
      </w:r>
    </w:p>
    <w:p>
      <w:pPr>
        <w:sectPr>
          <w:pgSz w:w="11900" w:h="16857" w:orient="portrait"/>
          <w:cols w:equalWidth="0" w:num="1">
            <w:col w:w="11420"/>
          </w:cols>
          <w:pgMar w:left="240" w:top="127" w:right="239" w:bottom="0" w:gutter="0" w:footer="0" w:header="0"/>
        </w:sectPr>
      </w:pPr>
    </w:p>
    <w:bookmarkStart w:id="229" w:name="page230"/>
    <w:bookmarkEnd w:id="229"/>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entities (a “</w:t>
      </w:r>
      <w:r>
        <w:rPr>
          <w:rFonts w:ascii="Arial" w:cs="Arial" w:eastAsia="Arial" w:hAnsi="Arial"/>
          <w:sz w:val="17"/>
          <w:szCs w:val="17"/>
          <w:b w:val="1"/>
          <w:bCs w:val="1"/>
          <w:u w:val="single" w:color="auto"/>
          <w:color w:val="auto"/>
        </w:rPr>
        <w:t>Permitted Transferee</w:t>
      </w:r>
      <w:r>
        <w:rPr>
          <w:rFonts w:ascii="Arial" w:cs="Arial" w:eastAsia="Arial" w:hAnsi="Arial"/>
          <w:sz w:val="17"/>
          <w:szCs w:val="17"/>
          <w:color w:val="auto"/>
        </w:rPr>
        <w:t>”) without the written consent of Landlord:</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6"/>
          <w:szCs w:val="16"/>
          <w:color w:val="auto"/>
        </w:rPr>
        <w:t>an Affiliate of Tenant;</w:t>
      </w:r>
    </w:p>
    <w:p>
      <w:pPr>
        <w:spacing w:after="0" w:line="224" w:lineRule="exact"/>
        <w:rPr>
          <w:sz w:val="20"/>
          <w:szCs w:val="20"/>
          <w:color w:val="auto"/>
        </w:rPr>
      </w:pPr>
    </w:p>
    <w:p>
      <w:pPr>
        <w:ind w:left="640" w:right="40" w:firstLine="1258"/>
        <w:spacing w:after="0" w:line="289" w:lineRule="auto"/>
        <w:rPr>
          <w:sz w:val="20"/>
          <w:szCs w:val="20"/>
          <w:color w:val="auto"/>
        </w:rPr>
      </w:pPr>
      <w:r>
        <w:rPr>
          <w:rFonts w:ascii="Arial" w:cs="Arial" w:eastAsia="Arial" w:hAnsi="Arial"/>
          <w:sz w:val="17"/>
          <w:szCs w:val="17"/>
          <w:color w:val="auto"/>
        </w:rPr>
        <w:t>10.8.2 any corporation, limited partnership, limited liability partnership, limited liability company or other business entity in which or with which Tenant, or its corporate successors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assigns, is merged or consolidated, in accordance with applicable statutory provisions governing merger and consolidation of business entities, so long as</w:t>
      </w:r>
    </w:p>
    <w:p>
      <w:pPr>
        <w:spacing w:after="0" w:line="49" w:lineRule="exact"/>
        <w:rPr>
          <w:sz w:val="20"/>
          <w:szCs w:val="20"/>
          <w:color w:val="auto"/>
        </w:rPr>
      </w:pPr>
    </w:p>
    <w:p>
      <w:pPr>
        <w:ind w:left="640" w:right="400" w:hanging="6"/>
        <w:spacing w:after="0" w:line="275" w:lineRule="auto"/>
        <w:tabs>
          <w:tab w:leader="none" w:pos="87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Tenant’s obligations hereunder are assumed by the entity surviving such merger or created by such consolidation; and (b) the proposed transferee satisfies the Tangible Net Worth/Credit Threshold as of the effective date of the Permitted Transfer;</w:t>
      </w:r>
    </w:p>
    <w:p>
      <w:pPr>
        <w:spacing w:after="0" w:line="169" w:lineRule="exact"/>
        <w:rPr>
          <w:sz w:val="20"/>
          <w:szCs w:val="20"/>
          <w:color w:val="auto"/>
        </w:rPr>
      </w:pPr>
    </w:p>
    <w:p>
      <w:pPr>
        <w:ind w:left="640" w:right="160" w:firstLine="1258"/>
        <w:spacing w:after="0" w:line="298" w:lineRule="auto"/>
        <w:rPr>
          <w:sz w:val="20"/>
          <w:szCs w:val="20"/>
          <w:color w:val="auto"/>
        </w:rPr>
      </w:pPr>
      <w:r>
        <w:rPr>
          <w:rFonts w:ascii="Arial" w:cs="Arial" w:eastAsia="Arial" w:hAnsi="Arial"/>
          <w:sz w:val="16"/>
          <w:szCs w:val="16"/>
          <w:color w:val="auto"/>
        </w:rPr>
        <w:t>10.8.3 any corporation, limited partnership, limited liability partnership, limited liability company or other business entity acquiring all or substantially all of Tenant’s assets, so long as (a) Tenant’s obligations hereunder are assumed by the entity acquiring such assets; and (b) the proposed transferee satisfies the Tangible Net Worth/Credit Threshold as of the effective date of the Permitted Transfer; or</w:t>
      </w:r>
    </w:p>
    <w:p>
      <w:pPr>
        <w:spacing w:after="0" w:line="154" w:lineRule="exact"/>
        <w:rPr>
          <w:sz w:val="20"/>
          <w:szCs w:val="20"/>
          <w:color w:val="auto"/>
        </w:rPr>
      </w:pPr>
    </w:p>
    <w:p>
      <w:pPr>
        <w:ind w:left="640" w:firstLine="1258"/>
        <w:spacing w:after="0" w:line="298" w:lineRule="auto"/>
        <w:rPr>
          <w:sz w:val="20"/>
          <w:szCs w:val="20"/>
          <w:color w:val="auto"/>
        </w:rPr>
      </w:pPr>
      <w:r>
        <w:rPr>
          <w:rFonts w:ascii="Arial" w:cs="Arial" w:eastAsia="Arial" w:hAnsi="Arial"/>
          <w:sz w:val="16"/>
          <w:szCs w:val="16"/>
          <w:color w:val="auto"/>
        </w:rPr>
        <w:t>10.8.4 any corporation, limited partnership, limited liability partnership, limited liability company or other business entity or individuals acquiring, directly or indirectly, and whether through an initial public offering of stock or otherwise, a controlling interest in Tenant or any indirect owner of Tenant, so long as Tenant continues to satisfy the Tangible Net Worth/Credit Threshold as of the effective date of the Permitted Transfer.</w:t>
      </w:r>
    </w:p>
    <w:p>
      <w:pPr>
        <w:spacing w:after="0" w:line="154" w:lineRule="exact"/>
        <w:rPr>
          <w:sz w:val="20"/>
          <w:szCs w:val="20"/>
          <w:color w:val="auto"/>
        </w:rPr>
      </w:pPr>
    </w:p>
    <w:p>
      <w:pPr>
        <w:ind w:left="640"/>
        <w:spacing w:after="0" w:line="276" w:lineRule="auto"/>
        <w:rPr>
          <w:sz w:val="20"/>
          <w:szCs w:val="20"/>
          <w:color w:val="auto"/>
        </w:rPr>
      </w:pPr>
      <w:r>
        <w:rPr>
          <w:rFonts w:ascii="Arial" w:cs="Arial" w:eastAsia="Arial" w:hAnsi="Arial"/>
          <w:sz w:val="16"/>
          <w:szCs w:val="16"/>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or the Project or the related complex, Landlord or other tenants of the Project or the related complex. No later than ten business days after the effective date of any Permitted Transfer, Tenant agrees to furnish Landlord with (1) copies of the instrument effecting any of the foregoing Transfers, (2) documentation establishing Tenant’s satisfaction of the requirements set forth above applicable to any such Transfer, and (3) evidence of insurance as required under this Lease with respect to the Permitted Transferee. The occurrence of a Permitted Transfer shall not waive Landlord’s rights as to any subsequent Transfers, and any subsequent Transfer by a Permitted Transferee shall be subject to the terms of this Section 10. As used herein, the term “</w:t>
      </w:r>
      <w:r>
        <w:rPr>
          <w:rFonts w:ascii="Arial" w:cs="Arial" w:eastAsia="Arial" w:hAnsi="Arial"/>
          <w:sz w:val="16"/>
          <w:szCs w:val="16"/>
          <w:b w:val="1"/>
          <w:bCs w:val="1"/>
          <w:u w:val="single" w:color="auto"/>
          <w:color w:val="auto"/>
        </w:rPr>
        <w:t>Tangible Net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Worth/Credit Threshold</w:t>
      </w:r>
      <w:r>
        <w:rPr>
          <w:rFonts w:ascii="Arial" w:cs="Arial" w:eastAsia="Arial" w:hAnsi="Arial"/>
          <w:sz w:val="16"/>
          <w:szCs w:val="16"/>
          <w:color w:val="auto"/>
        </w:rPr>
        <w:t>” shall mean (A) the proposed Permitted Transferee has a Tangible Net Worth equal to or greater than $50,000,000 as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by financial statements audited by a certified public accounting firm reasonably acceptable to Landlord, and (B) if the proposed Permitted Transferee has been assigned a Corporate Debt Rating, then such proposed Permitted Transferee’s Corporate Debt Rating satisfies the Corporate Debt Rating Requirement. As used herein, “</w:t>
      </w:r>
      <w:r>
        <w:rPr>
          <w:rFonts w:ascii="Arial" w:cs="Arial" w:eastAsia="Arial" w:hAnsi="Arial"/>
          <w:sz w:val="16"/>
          <w:szCs w:val="16"/>
          <w:b w:val="1"/>
          <w:bCs w:val="1"/>
          <w:u w:val="single" w:color="auto"/>
          <w:color w:val="auto"/>
        </w:rPr>
        <w:t>Tangible Net Worth</w:t>
      </w:r>
      <w:r>
        <w:rPr>
          <w:rFonts w:ascii="Arial" w:cs="Arial" w:eastAsia="Arial" w:hAnsi="Arial"/>
          <w:sz w:val="16"/>
          <w:szCs w:val="16"/>
          <w:color w:val="auto"/>
        </w:rPr>
        <w:t>” means the excess of total assets over total liabilities, in each case as determined in accordance with generally accepted accounting principles consistently applied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excluding, however, from the determination of total assets all assets which would be classified as intangible assets under GAAP including goodwill, licenses, patents, trademarks, trade names, copyrights, and franchises. “</w:t>
      </w:r>
      <w:r>
        <w:rPr>
          <w:rFonts w:ascii="Arial" w:cs="Arial" w:eastAsia="Arial" w:hAnsi="Arial"/>
          <w:sz w:val="16"/>
          <w:szCs w:val="16"/>
          <w:b w:val="1"/>
          <w:bCs w:val="1"/>
          <w:u w:val="single" w:color="auto"/>
          <w:color w:val="auto"/>
        </w:rPr>
        <w:t>Corporate Debt Rating</w:t>
      </w:r>
      <w:r>
        <w:rPr>
          <w:rFonts w:ascii="Arial" w:cs="Arial" w:eastAsia="Arial" w:hAnsi="Arial"/>
          <w:sz w:val="16"/>
          <w:szCs w:val="16"/>
          <w:color w:val="auto"/>
        </w:rPr>
        <w:t>” shall mean either a general corporate debt rating or an unsecured corporate debt rating by either Standard &amp; Poor’s Corporation (“</w:t>
      </w:r>
      <w:r>
        <w:rPr>
          <w:rFonts w:ascii="Arial" w:cs="Arial" w:eastAsia="Arial" w:hAnsi="Arial"/>
          <w:sz w:val="16"/>
          <w:szCs w:val="16"/>
          <w:b w:val="1"/>
          <w:bCs w:val="1"/>
          <w:u w:val="single" w:color="auto"/>
          <w:color w:val="auto"/>
        </w:rPr>
        <w:t>S&amp;P</w:t>
      </w:r>
      <w:r>
        <w:rPr>
          <w:rFonts w:ascii="Arial" w:cs="Arial" w:eastAsia="Arial" w:hAnsi="Arial"/>
          <w:sz w:val="16"/>
          <w:szCs w:val="16"/>
          <w:color w:val="auto"/>
        </w:rPr>
        <w:t>”) or Moody’s Investor Service (“</w:t>
      </w:r>
      <w:r>
        <w:rPr>
          <w:rFonts w:ascii="Arial" w:cs="Arial" w:eastAsia="Arial" w:hAnsi="Arial"/>
          <w:sz w:val="16"/>
          <w:szCs w:val="16"/>
          <w:b w:val="1"/>
          <w:bCs w:val="1"/>
          <w:u w:val="single" w:color="auto"/>
          <w:color w:val="auto"/>
        </w:rPr>
        <w:t>Moody’s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Corporate Debt Rating Requirement</w:t>
      </w:r>
      <w:r>
        <w:rPr>
          <w:rFonts w:ascii="Arial" w:cs="Arial" w:eastAsia="Arial" w:hAnsi="Arial"/>
          <w:sz w:val="16"/>
          <w:szCs w:val="16"/>
          <w:color w:val="auto"/>
        </w:rPr>
        <w:t>” shall mean a Corporate Debt Rating of BBB or better (as determined by S&amp;P) and Baa2 or better (as determined by Moody’s).</w:t>
      </w:r>
    </w:p>
    <w:p>
      <w:pPr>
        <w:spacing w:after="0" w:line="171" w:lineRule="exact"/>
        <w:rPr>
          <w:sz w:val="20"/>
          <w:szCs w:val="20"/>
          <w:color w:val="auto"/>
        </w:rPr>
      </w:pPr>
    </w:p>
    <w:p>
      <w:pPr>
        <w:ind w:left="1260" w:hanging="626"/>
        <w:spacing w:after="0"/>
        <w:tabs>
          <w:tab w:leader="none" w:pos="1260" w:val="left"/>
        </w:tabs>
        <w:numPr>
          <w:ilvl w:val="0"/>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 Waivers; Subrogation; Indemnity</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Effective as of the earlier of (a) the date Tenant enters or occupies the Premises, or (b) the Commencement Date, and continuing throughout the Term, Tenant shall maintain the following insurance policies: (1) commercial general liability insurance (including property damage, bodily injury and personal injury coverage) in amounts of $1,000,000 per occurrence in primary coverage, with an additional $5,000,000 in umbrella coverage or, following the expiration of the initial Term, such greater amounts as landlords of similar class buildings in the Northwest Austin, Texas submarket are then generally requiring (and, if the use and occupancy of the Premises include any activity or matter that is or may be excluded from coverage under a commercial general liability policy [e.g., use of hazardous materials or the sale, service or consumption of alcoholic beverages], Tenant shall obtain such endorsements to the commercial general liability policy or otherwise obtain insurance to insure all liability arising from such activity or matter [including liquor liability, if applicable] in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amounts as Landlord may reasonably require), insuring Tenant (and naming as additional insureds Landlord and, provided in each case that Landlord has delivered to Tenant written notice of the names and addresses thereof, Landlord’s property management company, Landlord’s asset management company and, if requested in writing by Landlord, Landlord’s Mortgagee), against liability for injury to or death of a person or persons or damage to property arising from the use and occupancy of the Premises and (without implying any consent by Landlord to the installation thereof) the installation, operation, maintenance, repair or removal of Tenant’s Off-Premises Equipment, (2) cause of loss-special risk form (formerly “all-risk”) insurance (including, but not limited to, sprinkler leakage, ordinance and law, sewer back-up, windstorm and collapse coverage) covering the full value of all alterations and improvements and betterments in the Premises, naming Landlord and Landlord’s Mortgagee as additional loss payees as their interests may appear, (3) cause of loss-special risk form (formerly “all-risk”) insurance covering the full value of all furniture, trade fixtures, equipment and personal property (including property of Tenant or others) in the Premises or otherwise placed in the Project by or on behalf of a Tenant Party (including Tenant’s Off-Premises Equipment), (4) contractual liability insurance sufficient to cover Tenant’s indemnity obligations hereunder (but only if such contractual liability insurance is not already included in Tenant’s commercial general liability insurance policy),</w:t>
      </w:r>
    </w:p>
    <w:p>
      <w:pPr>
        <w:spacing w:after="0" w:line="4" w:lineRule="exact"/>
        <w:rPr>
          <w:sz w:val="20"/>
          <w:szCs w:val="20"/>
          <w:color w:val="auto"/>
        </w:rPr>
      </w:pPr>
    </w:p>
    <w:p>
      <w:pPr>
        <w:ind w:right="20" w:firstLine="5"/>
        <w:spacing w:after="0" w:line="297" w:lineRule="auto"/>
        <w:tabs>
          <w:tab w:leader="none" w:pos="247" w:val="left"/>
        </w:tabs>
        <w:numPr>
          <w:ilvl w:val="0"/>
          <w:numId w:val="199"/>
        </w:numPr>
        <w:rPr>
          <w:rFonts w:ascii="Arial" w:cs="Arial" w:eastAsia="Arial" w:hAnsi="Arial"/>
          <w:sz w:val="15"/>
          <w:szCs w:val="15"/>
          <w:color w:val="auto"/>
        </w:rPr>
      </w:pPr>
      <w:r>
        <w:rPr>
          <w:rFonts w:ascii="Arial" w:cs="Arial" w:eastAsia="Arial" w:hAnsi="Arial"/>
          <w:sz w:val="15"/>
          <w:szCs w:val="15"/>
          <w:color w:val="auto"/>
        </w:rPr>
        <w:t>commercial auto liability insurance (if applicable) covering automobiles owned, hired or used by Tenant in carrying on its business with limits not less than $1,000,000 combined single limit for each accident, insuring Tenant (and naming as additional insureds Landlord, Landlord’s property management company, Landlord’s asset management company and, if requested in writing by Landlord, Landlord’s Mortgagee, in each case to the extent Landlord has provided written notice of such names and addressses), (6) worker’s compensation insurance and employer’s liability insurance with statutory limits, and (7) business interruption insurance in an amount equal to or greater than 12 months of Tenant’s actual, sustained probable loss. Tenant’s insurance shall be primary and non-contributory when any policy issued to Landlord provides duplicate or similar coverage, and in such circumstance Landlord’s policy will be excess over Tenant’s policy. Tenant shall furnish to Landlord certificates of such insurance, proof that Tenant’s laboratory use is covered by its commercial general liability policy or that Tenant has obtained separate environmental coverage (provided that Tenant shall not be required to obtain or carry separate pollution liability coverage), and such other evidence reasonably satisfactory to Landlord of the maintenance of all insurance coverages required hereunder at least ten days prior to the earlier of the Commencement Date or the date Tenant enters or occupies the Premises (in any event, within ten days of the effective date of coverage), and at least 15 days prior to each renewal of said insurance, and Tenant shall endeavor to obtain a written obligation on the part of each insurance company to notify Landlord at least 30</w:t>
      </w:r>
    </w:p>
    <w:p>
      <w:pPr>
        <w:sectPr>
          <w:pgSz w:w="11900" w:h="16872" w:orient="portrait"/>
          <w:cols w:equalWidth="0" w:num="1">
            <w:col w:w="11420"/>
          </w:cols>
          <w:pgMar w:left="240" w:top="121" w:right="239" w:bottom="0" w:gutter="0" w:footer="0" w:header="0"/>
        </w:sectPr>
      </w:pPr>
    </w:p>
    <w:bookmarkStart w:id="230" w:name="page231"/>
    <w:bookmarkEnd w:id="230"/>
    <w:p>
      <w:pPr>
        <w:spacing w:after="0" w:line="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days before cancellation or a material change of any such insurance policies (and if Tenant is not successful, Tenant shall notify Landlord in writing of such cancellation or material change by the deadlines set forth above). All such insurance policies shall be issued by companies with an A.M. Best rating of A+:VIII or better. However, no review or approval of any insurance certificate or policy by Landlord shall derogate from or diminish Landlord’s rights or Tenant’s obligations hereunder.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15% of such cost.</w:t>
      </w:r>
    </w:p>
    <w:p>
      <w:pPr>
        <w:spacing w:after="0" w:line="16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b w:val="1"/>
          <w:bCs w:val="1"/>
          <w:u w:val="single" w:color="auto"/>
          <w:color w:val="auto"/>
        </w:rPr>
        <w:t>Landlord’s Insurance</w:t>
      </w:r>
      <w:r>
        <w:rPr>
          <w:rFonts w:ascii="Arial" w:cs="Arial" w:eastAsia="Arial" w:hAnsi="Arial"/>
          <w:sz w:val="16"/>
          <w:szCs w:val="16"/>
          <w:color w:val="auto"/>
        </w:rPr>
        <w:t>. Throughout the Term of this Lease, Landlord shall maintain, as a minimum, the following insurance policies:</w:t>
      </w:r>
    </w:p>
    <w:p>
      <w:pPr>
        <w:spacing w:after="0" w:line="32" w:lineRule="exact"/>
        <w:rPr>
          <w:sz w:val="20"/>
          <w:szCs w:val="20"/>
          <w:color w:val="auto"/>
        </w:rPr>
      </w:pPr>
    </w:p>
    <w:p>
      <w:pPr>
        <w:ind w:left="240" w:hanging="235"/>
        <w:spacing w:after="0"/>
        <w:tabs>
          <w:tab w:leader="none" w:pos="2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property insurance for the Building’s replacement value (excluding property required to be insured by Tenant), less a commercially-reasonable deductible if</w:t>
      </w:r>
    </w:p>
    <w:p>
      <w:pPr>
        <w:spacing w:after="0" w:line="25" w:lineRule="exact"/>
        <w:rPr>
          <w:rFonts w:ascii="Arial" w:cs="Arial" w:eastAsia="Arial" w:hAnsi="Arial"/>
          <w:sz w:val="16"/>
          <w:szCs w:val="16"/>
          <w:color w:val="auto"/>
        </w:rPr>
      </w:pPr>
    </w:p>
    <w:p>
      <w:pPr>
        <w:ind w:right="20"/>
        <w:spacing w:after="0" w:line="259" w:lineRule="auto"/>
        <w:rPr>
          <w:rFonts w:ascii="Arial" w:cs="Arial" w:eastAsia="Arial" w:hAnsi="Arial"/>
          <w:sz w:val="16"/>
          <w:szCs w:val="16"/>
          <w:color w:val="auto"/>
        </w:rPr>
      </w:pPr>
      <w:r>
        <w:rPr>
          <w:rFonts w:ascii="Arial" w:cs="Arial" w:eastAsia="Arial" w:hAnsi="Arial"/>
          <w:sz w:val="17"/>
          <w:szCs w:val="17"/>
          <w:color w:val="auto"/>
        </w:rPr>
        <w:t>Landlord so chooses, and (b) commercial general liability insurance in an amount of not less than $5,000,000. Landlord may, but is not obligated to, maintain such other insurance and additional coverages as it may deem necessary. The cost of all insurance carried by Landlord with respect to the Project shall be included in Operating Costs. The foregoing insurance policies and any other insurance carried by Landlord shall be for the sole benefit of Landlord and under Landlord’s sole control, and Tenant shall have no right or claim to any proceeds thereof or any other rights thereunder. Any insurance required to be maintained by Landlord may be taken out under a blanket insurance policy or policies covering other buildings, property or insureds in addition to the Building and Landlord. In such event, the costs of any such blanket insurance policy or policies shall be reasonably allocated to the Project and the other properties covered by such policy or policies as reasonably determined by Landlord and included as part of Operating Costs. Notwithstanding anything in this Lease to the contrary, Landlord’s indemnity obligations under this Lease shall be limited to the extent any such claim is insured against under the terms of any insurance policy maintained by Landlord (or is required to be maintained by Landlord under the terms of this Lease); provided that such limitation shall not apply if the act for which there is an indemnity obligation falls under the policy exclusions.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No Subrogation; Waiver of Property Claims</w:t>
      </w:r>
      <w:r>
        <w:rPr>
          <w:rFonts w:ascii="Arial" w:cs="Arial" w:eastAsia="Arial" w:hAnsi="Arial"/>
          <w:sz w:val="16"/>
          <w:szCs w:val="16"/>
          <w:color w:val="auto"/>
        </w:rPr>
        <w:t xml:space="preserve">. Landlord and Tenant each waives any claim it might have against the other for any damage to or theft, destruction, loss, or loss of use of any property, to the extent the same is insured (or required by this Lease to be insured) against under any insurance policy of the types described in this Section 11 that covers the Project, the Premises, Landlord’s or Tenant’s fixtures, personal property, leasehold improvements, or business, or is required to be insured against under the terms hereof, </w:t>
      </w:r>
      <w:r>
        <w:rPr>
          <w:rFonts w:ascii="Arial" w:cs="Arial" w:eastAsia="Arial" w:hAnsi="Arial"/>
          <w:sz w:val="16"/>
          <w:szCs w:val="16"/>
          <w:b w:val="1"/>
          <w:bCs w:val="1"/>
          <w:color w:val="auto"/>
        </w:rPr>
        <w:t>regardless of whether the negligence of the other party caused such</w:t>
      </w:r>
      <w:r>
        <w:rPr>
          <w:rFonts w:ascii="Arial" w:cs="Arial" w:eastAsia="Arial" w:hAnsi="Arial"/>
          <w:sz w:val="16"/>
          <w:szCs w:val="16"/>
          <w:color w:val="auto"/>
        </w:rPr>
        <w:t xml:space="preserve"> </w:t>
      </w:r>
      <w:r>
        <w:rPr>
          <w:rFonts w:ascii="Arial" w:cs="Arial" w:eastAsia="Arial" w:hAnsi="Arial"/>
          <w:sz w:val="16"/>
          <w:szCs w:val="16"/>
          <w:b w:val="1"/>
          <w:bCs w:val="1"/>
          <w:color w:val="auto"/>
        </w:rPr>
        <w:t>Loss (defined below)</w:t>
      </w:r>
      <w:r>
        <w:rPr>
          <w:rFonts w:ascii="Arial" w:cs="Arial" w:eastAsia="Arial" w:hAnsi="Arial"/>
          <w:sz w:val="16"/>
          <w:szCs w:val="16"/>
          <w:color w:val="auto"/>
        </w:rPr>
        <w:t>. Additionally, Tenant waives any claim it may have against Landlord for any Loss to the extent such Loss is caused by a terrorist act.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or the related complex, caused by casualty, theft, fire, third parties or any other matter or cause, </w:t>
      </w:r>
      <w:r>
        <w:rPr>
          <w:rFonts w:ascii="Arial" w:cs="Arial" w:eastAsia="Arial" w:hAnsi="Arial"/>
          <w:sz w:val="16"/>
          <w:szCs w:val="16"/>
          <w:b w:val="1"/>
          <w:bCs w:val="1"/>
          <w:color w:val="auto"/>
        </w:rPr>
        <w:t>regardless of whether the negligence of any party caused such loss in whole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 in part. </w:t>
      </w:r>
      <w:r>
        <w:rPr>
          <w:rFonts w:ascii="Arial" w:cs="Arial" w:eastAsia="Arial" w:hAnsi="Arial"/>
          <w:sz w:val="16"/>
          <w:szCs w:val="16"/>
          <w:color w:val="auto"/>
        </w:rPr>
        <w:t>Tenant acknowledges that Landlord shall not carry insurance on, and shall not be responsible for damage to, any property of any Tenant Party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or about the Project or the related complex.</w:t>
      </w:r>
    </w:p>
    <w:p>
      <w:pPr>
        <w:spacing w:after="0" w:line="169" w:lineRule="exact"/>
        <w:rPr>
          <w:sz w:val="20"/>
          <w:szCs w:val="20"/>
          <w:color w:val="auto"/>
        </w:rPr>
      </w:pPr>
    </w:p>
    <w:p>
      <w:pPr>
        <w:ind w:right="40" w:firstLine="1259"/>
        <w:spacing w:after="0" w:line="279"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Subject to Section 11.3,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Arial" w:cs="Arial" w:eastAsia="Arial" w:hAnsi="Arial"/>
          <w:sz w:val="16"/>
          <w:szCs w:val="16"/>
          <w:b w:val="1"/>
          <w:bCs w:val="1"/>
          <w:u w:val="single" w:color="auto"/>
          <w:color w:val="auto"/>
        </w:rPr>
        <w:t>Loss</w:t>
      </w:r>
      <w:r>
        <w:rPr>
          <w:rFonts w:ascii="Arial" w:cs="Arial" w:eastAsia="Arial" w:hAnsi="Arial"/>
          <w:sz w:val="16"/>
          <w:szCs w:val="16"/>
          <w:color w:val="auto"/>
        </w:rPr>
        <w:t>”) (a) occurring in or on the Project (other than within the Premises) to the extent caused by the negligence or willful misconduct of any Tenant Party, (b) occurring in the Premises, or</w:t>
      </w:r>
    </w:p>
    <w:p>
      <w:pPr>
        <w:spacing w:after="0" w:line="1" w:lineRule="exact"/>
        <w:rPr>
          <w:sz w:val="20"/>
          <w:szCs w:val="20"/>
          <w:color w:val="auto"/>
        </w:rPr>
      </w:pPr>
    </w:p>
    <w:p>
      <w:pPr>
        <w:ind w:right="40" w:firstLine="5"/>
        <w:spacing w:after="0" w:line="276" w:lineRule="auto"/>
        <w:tabs>
          <w:tab w:leader="none" w:pos="23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arising out of the installation, operation, maintenance, repair or removal of any property of any Tenant Party located in or about the Project, including Tenant’s Off-Premises Equipment. </w:t>
      </w:r>
      <w:r>
        <w:rPr>
          <w:rFonts w:ascii="Arial" w:cs="Arial" w:eastAsia="Arial" w:hAnsi="Arial"/>
          <w:sz w:val="16"/>
          <w:szCs w:val="16"/>
          <w:b w:val="1"/>
          <w:bCs w:val="1"/>
          <w:color w:val="auto"/>
        </w:rPr>
        <w:t>It being agreed that clauses (b) and (c) of this indemnity are intended to indemnify Landlord and its agents against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consequences of their own negligence or fault, 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 </w:t>
      </w:r>
      <w:r>
        <w:rPr>
          <w:rFonts w:ascii="Arial" w:cs="Arial" w:eastAsia="Arial" w:hAnsi="Arial"/>
          <w:sz w:val="16"/>
          <w:szCs w:val="16"/>
          <w:color w:val="auto"/>
        </w:rPr>
        <w:t>Subject to Section 11.3,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defend, indemnify, and hold harmless Tenant and its agents from and against all claims, demands, liabilities, causes of action, suits, judgments, damages, and expenses (including reasonable attorneys’ fees) for any Loss arising from any occurrence (1) in or on the Building’s or Project’s common areas to the extent caused by the negligence of Landlord or its agents, or (2) anywhere at the Project (including the Premises) to the extent caused by the gross negligence or willful misconduct of Landlord or its agents.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1"/>
          <w:numId w:val="201"/>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 Attornment: Notice to Landlord’s Mortgagee</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This Lease shall be subordinate to any deed of trust, mortgage, or other security instrument (each, a “</w:t>
      </w:r>
      <w:r>
        <w:rPr>
          <w:rFonts w:ascii="Arial" w:cs="Arial" w:eastAsia="Arial" w:hAnsi="Arial"/>
          <w:sz w:val="16"/>
          <w:szCs w:val="16"/>
          <w:b w:val="1"/>
          <w:bCs w:val="1"/>
          <w:u w:val="single" w:color="auto"/>
          <w:color w:val="auto"/>
        </w:rPr>
        <w:t>Mortgage</w:t>
      </w:r>
      <w:r>
        <w:rPr>
          <w:rFonts w:ascii="Arial" w:cs="Arial" w:eastAsia="Arial" w:hAnsi="Arial"/>
          <w:sz w:val="16"/>
          <w:szCs w:val="16"/>
          <w:color w:val="auto"/>
        </w:rPr>
        <w:t>”), or any ground lease, master lease, or primary lease (each, a “</w:t>
      </w:r>
      <w:r>
        <w:rPr>
          <w:rFonts w:ascii="Arial" w:cs="Arial" w:eastAsia="Arial" w:hAnsi="Arial"/>
          <w:sz w:val="16"/>
          <w:szCs w:val="16"/>
          <w:b w:val="1"/>
          <w:bCs w:val="1"/>
          <w:u w:val="single" w:color="auto"/>
          <w:color w:val="auto"/>
        </w:rPr>
        <w:t>Primary Lease</w:t>
      </w:r>
      <w:r>
        <w:rPr>
          <w:rFonts w:ascii="Arial" w:cs="Arial" w:eastAsia="Arial" w:hAnsi="Arial"/>
          <w:sz w:val="16"/>
          <w:szCs w:val="16"/>
          <w:color w:val="auto"/>
        </w:rPr>
        <w:t>”), that now or hereafter covers ail or any part of the Premises (the mortgagee under any such Mortgage, beneficiary under any such deed of trust, or the lessor under any such Primary Lease is referred to herein as a “</w:t>
      </w:r>
      <w:r>
        <w:rPr>
          <w:rFonts w:ascii="Arial" w:cs="Arial" w:eastAsia="Arial" w:hAnsi="Arial"/>
          <w:sz w:val="16"/>
          <w:szCs w:val="16"/>
          <w:b w:val="1"/>
          <w:bCs w:val="1"/>
          <w:u w:val="single" w:color="auto"/>
          <w:color w:val="auto"/>
        </w:rPr>
        <w:t>Landlord’s Mortgagee</w:t>
      </w:r>
      <w:r>
        <w:rPr>
          <w:rFonts w:ascii="Arial" w:cs="Arial" w:eastAsia="Arial" w:hAnsi="Arial"/>
          <w:sz w:val="16"/>
          <w:szCs w:val="16"/>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u w:val="single" w:color="auto"/>
          <w:color w:val="auto"/>
        </w:rPr>
        <w:t>Attornment</w:t>
      </w:r>
      <w:r>
        <w:rPr>
          <w:rFonts w:ascii="Arial" w:cs="Arial" w:eastAsia="Arial" w:hAnsi="Arial"/>
          <w:sz w:val="17"/>
          <w:szCs w:val="17"/>
          <w:color w:val="auto"/>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spacing w:after="0" w:line="162" w:lineRule="exact"/>
        <w:rPr>
          <w:sz w:val="20"/>
          <w:szCs w:val="20"/>
          <w:color w:val="auto"/>
        </w:rPr>
      </w:pPr>
    </w:p>
    <w:p>
      <w:pPr>
        <w:ind w:right="320" w:firstLine="1259"/>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u w:val="single" w:color="auto"/>
          <w:color w:val="auto"/>
        </w:rPr>
        <w:t>Notice to Landlord’s Mortgagee</w:t>
      </w:r>
      <w:r>
        <w:rPr>
          <w:rFonts w:ascii="Arial" w:cs="Arial" w:eastAsia="Arial" w:hAnsi="Arial"/>
          <w:sz w:val="17"/>
          <w:szCs w:val="17"/>
          <w:color w:val="auto"/>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by written notice delivered in accordance with Section 25.6 below, and affording such Landlord’s Mortgagee a reasonable opportunity to perform Landlord’s obligations hereunder.</w:t>
      </w:r>
    </w:p>
    <w:p>
      <w:pPr>
        <w:sectPr>
          <w:pgSz w:w="11900" w:h="16854" w:orient="portrait"/>
          <w:cols w:equalWidth="0" w:num="1">
            <w:col w:w="11400"/>
          </w:cols>
          <w:pgMar w:left="240" w:top="128" w:right="259" w:bottom="0" w:gutter="0" w:footer="0" w:header="0"/>
        </w:sectPr>
      </w:pPr>
    </w:p>
    <w:bookmarkStart w:id="231" w:name="page232"/>
    <w:bookmarkEnd w:id="231"/>
    <w:p>
      <w:pPr>
        <w:spacing w:after="0" w:line="1" w:lineRule="exact"/>
        <w:rPr>
          <w:sz w:val="20"/>
          <w:szCs w:val="20"/>
          <w:color w:val="auto"/>
        </w:rPr>
      </w:pPr>
    </w:p>
    <w:p>
      <w:pPr>
        <w:ind w:right="60" w:firstLine="1259"/>
        <w:spacing w:after="0" w:line="276"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u w:val="single" w:color="auto"/>
          <w:color w:val="auto"/>
        </w:rPr>
        <w:t>Landlord’s Mortgagee’s Protection Provisions</w:t>
      </w:r>
      <w:r>
        <w:rPr>
          <w:rFonts w:ascii="Arial" w:cs="Arial" w:eastAsia="Arial" w:hAnsi="Arial"/>
          <w:sz w:val="16"/>
          <w:szCs w:val="16"/>
          <w:color w:val="auto"/>
        </w:rPr>
        <w:t>. If Landlord’s Mortgagee shall succeed to the interest of Landlord under this Lease, Landlord’s Mortgagee shall not be: (a) liable for any act or omission of any prior lessor (including Landlord); (b) bound by any rent or additional rent or advance rent which Tenant might have paid for more than the current month to any prior lessor (including Landlord), and all such rent shall remain due and owing, notwithstanding such advance payment; (c) bound by any security or advance rental deposit made by Tenant which is not delivered or paid over to Landlord’s Mortgagee and with respect to which Tenant shall look solely to Landlord for refund or reimbursement; (d)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(e) subject to the defenses which Tenant might have against any prior lessor (including Landlord); and (f) subject to the offsets which Tenant might have against any prior lessor (including Landlord) except for those offset rights which (1) are expressly provided in this Lease, (2) relate to periods of time following the acquisition of the Building by Landlord’s Mortgagee, and (3)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fee simple title to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 Upon the occurrence of a default by Landlord on its obligations to Landlord’s Mortgagee (a “</w:t>
      </w:r>
      <w:r>
        <w:rPr>
          <w:rFonts w:ascii="Arial" w:cs="Arial" w:eastAsia="Arial" w:hAnsi="Arial"/>
          <w:sz w:val="16"/>
          <w:szCs w:val="16"/>
          <w:b w:val="1"/>
          <w:bCs w:val="1"/>
          <w:u w:val="single" w:color="auto"/>
          <w:color w:val="auto"/>
        </w:rPr>
        <w:t>Mortgage Default</w:t>
      </w:r>
      <w:r>
        <w:rPr>
          <w:rFonts w:ascii="Arial" w:cs="Arial" w:eastAsia="Arial" w:hAnsi="Arial"/>
          <w:sz w:val="16"/>
          <w:szCs w:val="16"/>
          <w:color w:val="auto"/>
        </w:rPr>
        <w:t>”) and while such Mortgage Default is continuing, Landlord’s Mortgagee is authorized to direct Tenant to make all payments of Rent directly to Landlord’s Mortgagee at such address and in such manner as Landlord’s Mortgagee shall designate, and Tenant is hereby authorized to pay all Rent due during the continuance of any such Mortgage Default directly to Landlord’s Mortgagee without any obligation to inquire into or determine (A) the reasons for paying or delivering such amounts to Landlord’s Mortgagee, (B) the application of such amounts, (C) the status of Landlord’s relations with Landlord’s Mortgagee or its agent, (D) whether a Mortgage Default has occurred, or (E) whether the demand is in compliance with the provisions of any loan. If any conflict exists or arise between the terms of this Section 12.4 and the terms of the mortgagee protection provisions contained in any executed subordination, non-disturbance and attornment agreement, the terms of the mortgagee protection provisions in the executed subordination, non-disturbance and attornment agreement shall prevail.</w:t>
      </w:r>
    </w:p>
    <w:p>
      <w:pPr>
        <w:spacing w:after="0" w:line="171"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u w:val="single" w:color="auto"/>
          <w:color w:val="auto"/>
        </w:rPr>
        <w:t>Subordination. Non-Disturbance and Attornment Agreement</w:t>
      </w:r>
      <w:r>
        <w:rPr>
          <w:rFonts w:ascii="Arial" w:cs="Arial" w:eastAsia="Arial" w:hAnsi="Arial"/>
          <w:sz w:val="16"/>
          <w:szCs w:val="16"/>
          <w:color w:val="auto"/>
        </w:rPr>
        <w:t xml:space="preserve">. Landlord shall use reasonable efforts to obtain, within 30 days following Tenant’s execution of this Lease, a subordination, non-disturbance and attornment agreement from the current Landlord’s Mortgagee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or another form reasonably acceptable to Tenant and such Landlord’s Mortgagee; however, Landlord’s failure to obtain such agreement shall not constitute a default by Landlord hereunder or prohibit the mortgaging of the Building; and further provided that any third-party costs associated with obtaining such subordination, non-disturbance and attornment agreement shall be paid by Tenant within 15 days after Landlord’s written request therefor. Landlord represents and warrants to Tenant that, provided Tenant executes the form of subordination, non-disturbance and attornment agreement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without any changes other than completing any blanks, there shall be no charge associated with the initial agreement.</w:t>
      </w:r>
    </w:p>
    <w:p>
      <w:pPr>
        <w:spacing w:after="0" w:line="159" w:lineRule="exact"/>
        <w:rPr>
          <w:sz w:val="20"/>
          <w:szCs w:val="20"/>
          <w:color w:val="auto"/>
        </w:rPr>
      </w:pPr>
    </w:p>
    <w:p>
      <w:pPr>
        <w:ind w:firstLine="634"/>
        <w:spacing w:after="0" w:line="277" w:lineRule="auto"/>
        <w:tabs>
          <w:tab w:leader="none" w:pos="1254" w:val="left"/>
        </w:tabs>
        <w:numPr>
          <w:ilvl w:val="0"/>
          <w:numId w:val="202"/>
        </w:numPr>
        <w:rPr>
          <w:rFonts w:ascii="Arial" w:cs="Arial" w:eastAsia="Arial" w:hAnsi="Arial"/>
          <w:sz w:val="17"/>
          <w:szCs w:val="17"/>
          <w:color w:val="auto"/>
        </w:rPr>
      </w:pPr>
      <w:r>
        <w:rPr>
          <w:rFonts w:ascii="Arial" w:cs="Arial" w:eastAsia="Arial" w:hAnsi="Arial"/>
          <w:sz w:val="17"/>
          <w:szCs w:val="17"/>
          <w:b w:val="1"/>
          <w:bCs w:val="1"/>
          <w:u w:val="single" w:color="auto"/>
          <w:color w:val="auto"/>
        </w:rPr>
        <w:t>Rules and Regulations</w:t>
      </w:r>
      <w:r>
        <w:rPr>
          <w:rFonts w:ascii="Arial" w:cs="Arial" w:eastAsia="Arial" w:hAnsi="Arial"/>
          <w:sz w:val="17"/>
          <w:szCs w:val="17"/>
          <w:color w:val="auto"/>
        </w:rPr>
        <w:t>. Tenant shall comply with the rules and regulations of the Project which are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C</w:t>
      </w:r>
      <w:r>
        <w:rPr>
          <w:rFonts w:ascii="Arial" w:cs="Arial" w:eastAsia="Arial" w:hAnsi="Arial"/>
          <w:sz w:val="17"/>
          <w:szCs w:val="17"/>
          <w:color w:val="auto"/>
        </w:rPr>
        <w:t>.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change such rules and regulations for the safety, care, or cleanliness of the Project and related facilities, provided that such changes are generally applicable to all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tenants of the Project whose leases require such compliance and Tenant is notified of such changes, will not unreasonably interfere with Tenant’s use of the Premises and are enforced by Landlord in a non-discriminatory manner among all tenants whose leases require such compliance. Tenant shall be responsible for the compliance or noncompliance with such rules and regulations by each Tenant Party.</w:t>
      </w:r>
    </w:p>
    <w:p>
      <w:pPr>
        <w:spacing w:after="0" w:line="166" w:lineRule="exact"/>
        <w:rPr>
          <w:sz w:val="20"/>
          <w:szCs w:val="20"/>
          <w:color w:val="auto"/>
        </w:rPr>
      </w:pPr>
    </w:p>
    <w:p>
      <w:pPr>
        <w:ind w:left="1260" w:hanging="626"/>
        <w:spacing w:after="0"/>
        <w:tabs>
          <w:tab w:leader="none" w:pos="1260" w:val="left"/>
        </w:tabs>
        <w:numPr>
          <w:ilvl w:val="0"/>
          <w:numId w:val="203"/>
        </w:numPr>
        <w:rPr>
          <w:rFonts w:ascii="Arial" w:cs="Arial" w:eastAsia="Arial" w:hAnsi="Arial"/>
          <w:sz w:val="17"/>
          <w:szCs w:val="17"/>
          <w:color w:val="auto"/>
        </w:rPr>
      </w:pPr>
      <w:r>
        <w:rPr>
          <w:rFonts w:ascii="Arial" w:cs="Arial" w:eastAsia="Arial" w:hAnsi="Arial"/>
          <w:sz w:val="17"/>
          <w:szCs w:val="17"/>
          <w:b w:val="1"/>
          <w:bCs w:val="1"/>
          <w:u w:val="single" w:color="auto"/>
          <w:color w:val="auto"/>
        </w:rPr>
        <w:t>Condemnatio</w:t>
      </w:r>
      <w:r>
        <w:rPr>
          <w:rFonts w:ascii="Arial" w:cs="Arial" w:eastAsia="Arial" w:hAnsi="Arial"/>
          <w:sz w:val="17"/>
          <w:szCs w:val="17"/>
          <w:u w:val="single" w:color="auto"/>
          <w:color w:val="auto"/>
        </w:rPr>
        <w:t>n</w:t>
      </w:r>
      <w:r>
        <w:rPr>
          <w:rFonts w:ascii="Arial" w:cs="Arial" w:eastAsia="Arial" w:hAnsi="Arial"/>
          <w:sz w:val="17"/>
          <w:szCs w:val="17"/>
          <w:color w:val="auto"/>
        </w:rPr>
        <w:t>.</w:t>
      </w:r>
    </w:p>
    <w:p>
      <w:pPr>
        <w:spacing w:after="0" w:line="224"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Total Taking</w:t>
      </w:r>
      <w:r>
        <w:rPr>
          <w:rFonts w:ascii="Arial" w:cs="Arial" w:eastAsia="Arial" w:hAnsi="Arial"/>
          <w:sz w:val="17"/>
          <w:szCs w:val="17"/>
          <w:color w:val="auto"/>
        </w:rPr>
        <w:t>. If the entire Building or Premises are taken by right of eminent domain or conveyed in lieu thereof (a “</w:t>
      </w:r>
      <w:r>
        <w:rPr>
          <w:rFonts w:ascii="Arial" w:cs="Arial" w:eastAsia="Arial" w:hAnsi="Arial"/>
          <w:sz w:val="17"/>
          <w:szCs w:val="17"/>
          <w:b w:val="1"/>
          <w:bCs w:val="1"/>
          <w:u w:val="single" w:color="auto"/>
          <w:color w:val="auto"/>
        </w:rPr>
        <w:t>Taking</w:t>
      </w:r>
      <w:r>
        <w:rPr>
          <w:rFonts w:ascii="Arial" w:cs="Arial" w:eastAsia="Arial" w:hAnsi="Arial"/>
          <w:sz w:val="17"/>
          <w:szCs w:val="17"/>
          <w:color w:val="auto"/>
        </w:rPr>
        <w:t>”), this Lease shall terminate as of the date of the Taking.</w:t>
      </w:r>
    </w:p>
    <w:p>
      <w:pPr>
        <w:spacing w:after="0" w:line="145" w:lineRule="exact"/>
        <w:rPr>
          <w:sz w:val="20"/>
          <w:szCs w:val="20"/>
          <w:color w:val="auto"/>
        </w:rPr>
      </w:pPr>
    </w:p>
    <w:p>
      <w:pPr>
        <w:jc w:val="both"/>
        <w:ind w:right="160" w:firstLine="1259"/>
        <w:spacing w:after="0" w:line="267"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Partial Taking - Tenant’s Rights</w:t>
      </w:r>
      <w:r>
        <w:rPr>
          <w:rFonts w:ascii="Arial" w:cs="Arial" w:eastAsia="Arial" w:hAnsi="Arial"/>
          <w:sz w:val="17"/>
          <w:szCs w:val="17"/>
          <w:color w:val="auto"/>
        </w:rPr>
        <w:t>. If any part of the Building becomes subject to a Taking and such Taking will prevent Tenant from conducting on a permanent basis its business in the Premises in a manner reasonably comparable to that conducted immediately before such Taking, then Tenant may terminate this Lease as of the date of such Taking by giving written notice to Landlord within 30 days after the Taking, and Basic Rent and Additional Rent shall be apportioned as of the date of such Taking. If Tenant does not terminate this Lease, then Basic Rent and Additional Rent shall be abated on a proportional basis as to that portion of the Premises rendered untenantable by the Taking.</w:t>
      </w:r>
    </w:p>
    <w:p>
      <w:pPr>
        <w:spacing w:after="0" w:line="171"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Partial Taking - Landlord’s Rights</w:t>
      </w:r>
      <w:r>
        <w:rPr>
          <w:rFonts w:ascii="Arial" w:cs="Arial" w:eastAsia="Arial" w:hAnsi="Arial"/>
          <w:sz w:val="17"/>
          <w:szCs w:val="17"/>
          <w:color w:val="auto"/>
        </w:rPr>
        <w:t>. If any material portion, but less than all, of the Building or Project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Basic Rent and Additional Rent shall abate as provided in the last sentence of Section 14.2.</w:t>
      </w:r>
    </w:p>
    <w:p>
      <w:pPr>
        <w:spacing w:after="0" w:line="171"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If any Taking occurs, then Landlord shall receive the entire award or other compensation for the Project and other improvements taken; however, Tenant may separately pursue a claim (to the extent it will not reduce Landlord’s award) against the condemnor for the value of Tenant’s personal property which Tenant is entitled to remove under this Lease, moving costs and loss of business.</w:t>
      </w:r>
    </w:p>
    <w:p>
      <w:pPr>
        <w:spacing w:after="0" w:line="162" w:lineRule="exact"/>
        <w:rPr>
          <w:sz w:val="20"/>
          <w:szCs w:val="20"/>
          <w:color w:val="auto"/>
        </w:rPr>
      </w:pPr>
    </w:p>
    <w:p>
      <w:pPr>
        <w:ind w:left="1260" w:hanging="626"/>
        <w:spacing w:after="0"/>
        <w:tabs>
          <w:tab w:leader="none" w:pos="1260" w:val="left"/>
        </w:tabs>
        <w:numPr>
          <w:ilvl w:val="0"/>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Fire or Other Casualty</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330"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Repair Estimate</w:t>
      </w:r>
      <w:r>
        <w:rPr>
          <w:rFonts w:ascii="Arial" w:cs="Arial" w:eastAsia="Arial" w:hAnsi="Arial"/>
          <w:sz w:val="16"/>
          <w:szCs w:val="16"/>
          <w:color w:val="auto"/>
        </w:rPr>
        <w:t>. If the Premises or the Project are damaged by fire or other casualty (a “</w:t>
      </w:r>
      <w:r>
        <w:rPr>
          <w:rFonts w:ascii="Arial" w:cs="Arial" w:eastAsia="Arial" w:hAnsi="Arial"/>
          <w:sz w:val="16"/>
          <w:szCs w:val="16"/>
          <w:b w:val="1"/>
          <w:bCs w:val="1"/>
          <w:u w:val="single" w:color="auto"/>
          <w:color w:val="auto"/>
        </w:rPr>
        <w:t>Casualty</w:t>
      </w:r>
      <w:r>
        <w:rPr>
          <w:rFonts w:ascii="Arial" w:cs="Arial" w:eastAsia="Arial" w:hAnsi="Arial"/>
          <w:sz w:val="16"/>
          <w:szCs w:val="16"/>
          <w:color w:val="auto"/>
        </w:rPr>
        <w:t>”), Landlord shall, within 60 days after such Casualty, deliver to Tenant a good faith estimate (the “</w:t>
      </w:r>
      <w:r>
        <w:rPr>
          <w:rFonts w:ascii="Arial" w:cs="Arial" w:eastAsia="Arial" w:hAnsi="Arial"/>
          <w:sz w:val="16"/>
          <w:szCs w:val="16"/>
          <w:b w:val="1"/>
          <w:bCs w:val="1"/>
          <w:u w:val="single" w:color="auto"/>
          <w:color w:val="auto"/>
        </w:rPr>
        <w:t>Damage Notice</w:t>
      </w:r>
      <w:r>
        <w:rPr>
          <w:rFonts w:ascii="Arial" w:cs="Arial" w:eastAsia="Arial" w:hAnsi="Arial"/>
          <w:sz w:val="16"/>
          <w:szCs w:val="16"/>
          <w:color w:val="auto"/>
        </w:rPr>
        <w:t>”) of the time needed to repair the damage caused by such Casualty.</w:t>
      </w:r>
    </w:p>
    <w:p>
      <w:pPr>
        <w:spacing w:after="0" w:line="123"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Tenant’s Rights</w:t>
      </w:r>
      <w:r>
        <w:rPr>
          <w:rFonts w:ascii="Arial" w:cs="Arial" w:eastAsia="Arial" w:hAnsi="Arial"/>
          <w:sz w:val="17"/>
          <w:szCs w:val="17"/>
          <w:color w:val="auto"/>
        </w:rPr>
        <w:t>. If the Premises are damaged by Casualty such that Tenant is prevented from conducting its business in the Premises in a manner reasonably comparable to that conducted immediately before such Casualty and Landlord estimates that the damage caused thereby for which Landlord is responsible to repair under this Lease pursuant to Section 15.4 below cannot be repaired within 210 days after the commencement of repairs (the “</w:t>
      </w:r>
      <w:r>
        <w:rPr>
          <w:rFonts w:ascii="Arial" w:cs="Arial" w:eastAsia="Arial" w:hAnsi="Arial"/>
          <w:sz w:val="17"/>
          <w:szCs w:val="17"/>
          <w:b w:val="1"/>
          <w:bCs w:val="1"/>
          <w:u w:val="single" w:color="auto"/>
          <w:color w:val="auto"/>
        </w:rPr>
        <w:t>Repair Period</w:t>
      </w:r>
      <w:r>
        <w:rPr>
          <w:rFonts w:ascii="Arial" w:cs="Arial" w:eastAsia="Arial" w:hAnsi="Arial"/>
          <w:sz w:val="17"/>
          <w:szCs w:val="17"/>
          <w:color w:val="auto"/>
        </w:rPr>
        <w:t>”), then Tenant may terminate this Lease by delivering written notice to Landlord of its election to terminate within 30 days after the Damage Notice has been delivered to Tenant.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b w:val="1"/>
          <w:bCs w:val="1"/>
          <w:u w:val="single" w:color="auto"/>
          <w:color w:val="auto"/>
        </w:rPr>
        <w:t>Landlord’s Rights</w:t>
      </w:r>
      <w:r>
        <w:rPr>
          <w:rFonts w:ascii="Arial" w:cs="Arial" w:eastAsia="Arial" w:hAnsi="Arial"/>
          <w:sz w:val="15"/>
          <w:szCs w:val="15"/>
          <w:color w:val="auto"/>
        </w:rPr>
        <w:t>. If a Casualty occurs and (a) Landlord estimates that the damage cannot be repaired within the Repair Period,</w:t>
      </w:r>
    </w:p>
    <w:p>
      <w:pPr>
        <w:spacing w:after="0" w:line="32" w:lineRule="exact"/>
        <w:rPr>
          <w:sz w:val="20"/>
          <w:szCs w:val="20"/>
          <w:color w:val="auto"/>
        </w:rPr>
      </w:pPr>
    </w:p>
    <w:p>
      <w:pPr>
        <w:ind w:right="20" w:firstLine="5"/>
        <w:spacing w:after="0" w:line="343" w:lineRule="auto"/>
        <w:tabs>
          <w:tab w:leader="none" w:pos="24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damage exceeds 50% of the replacement cost thereof (excluding foundations and footings), as estimated by Landlord, and such damage occurs during the last two years of the Term, (c) regardless of the extent of damage, the damage is not fully covered by Landlord’s insurance policies or Landlord makes a good faith</w:t>
      </w:r>
    </w:p>
    <w:p>
      <w:pPr>
        <w:sectPr>
          <w:pgSz w:w="11900" w:h="16839" w:orient="portrait"/>
          <w:cols w:equalWidth="0" w:num="1">
            <w:col w:w="11420"/>
          </w:cols>
          <w:pgMar w:left="240" w:top="331" w:right="239" w:bottom="0" w:gutter="0" w:footer="0" w:header="0"/>
        </w:sectPr>
      </w:pPr>
    </w:p>
    <w:bookmarkStart w:id="232" w:name="page233"/>
    <w:bookmarkEnd w:id="232"/>
    <w:p>
      <w:pPr>
        <w:ind w:right="280"/>
        <w:spacing w:after="0" w:line="273" w:lineRule="auto"/>
        <w:rPr>
          <w:sz w:val="20"/>
          <w:szCs w:val="20"/>
          <w:color w:val="auto"/>
        </w:rPr>
      </w:pPr>
      <w:r>
        <w:rPr>
          <w:rFonts w:ascii="Arial" w:cs="Arial" w:eastAsia="Arial" w:hAnsi="Arial"/>
          <w:sz w:val="17"/>
          <w:szCs w:val="17"/>
          <w:color w:val="auto"/>
        </w:rPr>
        <w:t>determination that restoring the damage would be uneconomical, or (d) Landlord is required to pay any insurance proceeds arising out of the Casualty to a Landlord’s Mortgagee, then Landlord may terminate this Lease by giving written notice of its election to terminate within 30 days after the Damage Notice has been delivered to Tenant.</w:t>
      </w:r>
    </w:p>
    <w:p>
      <w:pPr>
        <w:spacing w:after="0" w:line="166" w:lineRule="exact"/>
        <w:rPr>
          <w:sz w:val="20"/>
          <w:szCs w:val="20"/>
          <w:color w:val="auto"/>
        </w:rPr>
      </w:pPr>
    </w:p>
    <w:p>
      <w:pPr>
        <w:ind w:right="200" w:firstLine="1259"/>
        <w:spacing w:after="0" w:line="277"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Repair Obligation</w:t>
      </w:r>
      <w:r>
        <w:rPr>
          <w:rFonts w:ascii="Arial" w:cs="Arial" w:eastAsia="Arial" w:hAnsi="Arial"/>
          <w:sz w:val="17"/>
          <w:szCs w:val="17"/>
          <w:color w:val="auto"/>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before such Casualty; however, Landlord shall not be required to repair or replace any improvements, alterations or betterments within the Premises (which shall be promptly and with due diligence repaired and restored by Tenant at Tenant’s sole cost and expense) or any furniture, equipment, trade fixtures or personal property of Tenant or others in the Premises or the Project, and Landlord’s obligation to repair or restore the Premises shall be limited to the extent of the insurance proceeds actually received by Landlord for the Casualty in question. If this Lease is terminated under the provisions of this Section 15,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w:t>
      </w:r>
    </w:p>
    <w:p>
      <w:pPr>
        <w:spacing w:after="0" w:line="178"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b w:val="1"/>
          <w:bCs w:val="1"/>
          <w:u w:val="single" w:color="auto"/>
          <w:color w:val="auto"/>
        </w:rPr>
        <w:t>Abatement of Rent</w:t>
      </w:r>
      <w:r>
        <w:rPr>
          <w:rFonts w:ascii="Arial" w:cs="Arial" w:eastAsia="Arial" w:hAnsi="Arial"/>
          <w:sz w:val="17"/>
          <w:szCs w:val="17"/>
          <w:color w:val="auto"/>
        </w:rPr>
        <w:t>. If the Premises are damaged by Casualty, Basic Rent and Additional Rent for the portion of the Premises rendered untenantable by the damage shall be abated on a proportional basis from the date of damage until the earlier of (a) completion of Landlord’s repairs, (b) the date upon which completion of Landlord’s repairs would have occurred but for delays caused by Tenant Parties, or (c) the date of termination of this Lease by Landlord or Tenant as provided above, as the case may be, unless a Tenant Party caused such damage, in which case, Tenant shall continue to pay Basic Rent and Additional Rent without abatement.</w:t>
      </w:r>
    </w:p>
    <w:p>
      <w:pPr>
        <w:spacing w:after="0" w:line="171" w:lineRule="exact"/>
        <w:rPr>
          <w:sz w:val="20"/>
          <w:szCs w:val="20"/>
          <w:color w:val="auto"/>
        </w:rPr>
      </w:pPr>
    </w:p>
    <w:p>
      <w:pPr>
        <w:ind w:right="60" w:firstLine="634"/>
        <w:spacing w:after="0" w:line="281" w:lineRule="auto"/>
        <w:tabs>
          <w:tab w:leader="none" w:pos="1254" w:val="left"/>
        </w:tabs>
        <w:numPr>
          <w:ilvl w:val="0"/>
          <w:numId w:val="206"/>
        </w:numPr>
        <w:rPr>
          <w:rFonts w:ascii="Arial" w:cs="Arial" w:eastAsia="Arial" w:hAnsi="Arial"/>
          <w:sz w:val="16"/>
          <w:szCs w:val="16"/>
          <w:color w:val="auto"/>
        </w:rPr>
      </w:pPr>
      <w:r>
        <w:rPr>
          <w:rFonts w:ascii="Arial" w:cs="Arial" w:eastAsia="Arial" w:hAnsi="Arial"/>
          <w:sz w:val="16"/>
          <w:szCs w:val="16"/>
          <w:b w:val="1"/>
          <w:bCs w:val="1"/>
          <w:u w:val="single" w:color="auto"/>
          <w:color w:val="auto"/>
        </w:rPr>
        <w:t>Personal Property Taxes</w:t>
      </w:r>
      <w:r>
        <w:rPr>
          <w:rFonts w:ascii="Arial" w:cs="Arial" w:eastAsia="Arial" w:hAnsi="Arial"/>
          <w:sz w:val="16"/>
          <w:szCs w:val="16"/>
          <w:color w:val="auto"/>
        </w:rPr>
        <w:t>. Tenant shall be liable for, and shall pay prior to delinquency, all taxes levied or assessed against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furniture, fixtures, betterments, improvements, and alterations placed by any Tenant Party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fixtures, betterments, improvements, and alterations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spacing w:after="0" w:line="164" w:lineRule="exact"/>
        <w:rPr>
          <w:rFonts w:ascii="Arial" w:cs="Arial" w:eastAsia="Arial" w:hAnsi="Arial"/>
          <w:sz w:val="16"/>
          <w:szCs w:val="16"/>
          <w:color w:val="auto"/>
        </w:rPr>
      </w:pPr>
    </w:p>
    <w:p>
      <w:pPr>
        <w:ind w:right="440" w:firstLine="634"/>
        <w:spacing w:after="0" w:line="297" w:lineRule="auto"/>
        <w:tabs>
          <w:tab w:leader="none" w:pos="1254" w:val="left"/>
        </w:tabs>
        <w:numPr>
          <w:ilvl w:val="0"/>
          <w:numId w:val="206"/>
        </w:numPr>
        <w:rPr>
          <w:rFonts w:ascii="Arial" w:cs="Arial" w:eastAsia="Arial" w:hAnsi="Arial"/>
          <w:sz w:val="17"/>
          <w:szCs w:val="17"/>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Each of the following occurrences shall be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(i.e., a default beyond the applicable notice and cure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as provided in this Section 17):</w:t>
      </w:r>
    </w:p>
    <w:p>
      <w:pPr>
        <w:spacing w:after="0" w:line="145"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u w:val="single" w:color="auto"/>
          <w:color w:val="auto"/>
        </w:rPr>
        <w:t>Payment Default</w:t>
      </w:r>
      <w:r>
        <w:rPr>
          <w:rFonts w:ascii="Arial" w:cs="Arial" w:eastAsia="Arial" w:hAnsi="Arial"/>
          <w:sz w:val="17"/>
          <w:szCs w:val="17"/>
          <w:color w:val="auto"/>
        </w:rPr>
        <w:t>. Tenant’s failure to pay Rent within five days after Landlord has delivered written notice to Tenant that the same is due; however, an Event of Default shall occur hereunder without any obligation of Landlord to give any notice if Tenant fails to pay Rent when due and, during the 12 month interval preceding such failure, Landlord has given Tenant written notice of failure to pay Rent on two or more occasions;</w:t>
      </w:r>
    </w:p>
    <w:p>
      <w:pPr>
        <w:spacing w:after="0" w:line="162"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u w:val="single" w:color="auto"/>
          <w:color w:val="auto"/>
        </w:rPr>
        <w:t>Abandonment</w:t>
      </w:r>
      <w:r>
        <w:rPr>
          <w:rFonts w:ascii="Arial" w:cs="Arial" w:eastAsia="Arial" w:hAnsi="Arial"/>
          <w:sz w:val="17"/>
          <w:szCs w:val="17"/>
          <w:color w:val="auto"/>
        </w:rPr>
        <w:t>. Tenant (a) abandons or vacates the Premises or any substantial portion thereof or (b) fails to continuously operate its business in the Premises;</w:t>
      </w:r>
    </w:p>
    <w:p>
      <w:pPr>
        <w:spacing w:after="0" w:line="145"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u w:val="single" w:color="auto"/>
          <w:color w:val="auto"/>
        </w:rPr>
        <w:t>Estoppel; Subordination; Financial Reports</w:t>
      </w:r>
      <w:r>
        <w:rPr>
          <w:rFonts w:ascii="Arial" w:cs="Arial" w:eastAsia="Arial" w:hAnsi="Arial"/>
          <w:sz w:val="17"/>
          <w:szCs w:val="17"/>
          <w:color w:val="auto"/>
        </w:rPr>
        <w:t>. Tenant fails to provide any estoppel certificate, documentation regarding the subordination of this Lease or financial reports after Landlord’s written request therefor pursuant to Section 25.5, Section 12.1, and Section 25.19 respectively, and such failure shall continue for five days after Landlord’s second written notice thereof to Tenant;</w:t>
      </w:r>
    </w:p>
    <w:p>
      <w:pPr>
        <w:spacing w:after="0" w:line="162"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Tenant fails to procure, maintain and deliver to Landlord evidence of the insurance policies and coverages as required under Section 11.1;</w:t>
      </w:r>
    </w:p>
    <w:p>
      <w:pPr>
        <w:spacing w:after="0" w:line="145" w:lineRule="exact"/>
        <w:rPr>
          <w:sz w:val="20"/>
          <w:szCs w:val="20"/>
          <w:color w:val="auto"/>
        </w:rPr>
      </w:pPr>
    </w:p>
    <w:p>
      <w:pPr>
        <w:jc w:val="both"/>
        <w:ind w:right="40" w:firstLine="1259"/>
        <w:spacing w:after="0" w:line="277"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Mechanic’s Liens</w:t>
      </w:r>
      <w:r>
        <w:rPr>
          <w:rFonts w:ascii="Arial" w:cs="Arial" w:eastAsia="Arial" w:hAnsi="Arial"/>
          <w:sz w:val="17"/>
          <w:szCs w:val="17"/>
          <w:color w:val="auto"/>
        </w:rPr>
        <w:t>. Tenant fails to pay and release of record, or diligently contest and bond around, any mechanic’s or construction lien filed against the Premises or the Project for any work performed, materials furnished, or obligation incurred by or at the request of a Tenant Party, within the time and in the manner required by Section 8.4;</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0" w:firstLine="1259"/>
        <w:spacing w:after="0" w:line="368" w:lineRule="auto"/>
        <w:rPr>
          <w:sz w:val="20"/>
          <w:szCs w:val="20"/>
          <w:color w:val="auto"/>
        </w:rPr>
      </w:pPr>
      <w:r>
        <w:rPr>
          <w:rFonts w:ascii="Arial" w:cs="Arial" w:eastAsia="Arial" w:hAnsi="Arial"/>
          <w:sz w:val="15"/>
          <w:szCs w:val="15"/>
          <w:color w:val="auto"/>
        </w:rPr>
        <w:t xml:space="preserve">17.6 </w:t>
      </w:r>
      <w:r>
        <w:rPr>
          <w:rFonts w:ascii="Arial" w:cs="Arial" w:eastAsia="Arial" w:hAnsi="Arial"/>
          <w:sz w:val="15"/>
          <w:szCs w:val="15"/>
          <w:b w:val="1"/>
          <w:bCs w:val="1"/>
          <w:u w:val="single" w:color="auto"/>
          <w:color w:val="auto"/>
        </w:rPr>
        <w:t>Other Defaults</w:t>
      </w:r>
      <w:r>
        <w:rPr>
          <w:rFonts w:ascii="Arial" w:cs="Arial" w:eastAsia="Arial" w:hAnsi="Arial"/>
          <w:sz w:val="15"/>
          <w:szCs w:val="15"/>
          <w:color w:val="auto"/>
        </w:rPr>
        <w:t>. Tenant’s failure to perform, comply with, or observe any agreement or obligation of Tenant under this Lease other than provided in this Section 17 and the continuance of such failure for a period of more than 30 days after Landlord has delivered to Tenant written notice thereof; and</w:t>
      </w:r>
    </w:p>
    <w:p>
      <w:pPr>
        <w:spacing w:after="0" w:line="100" w:lineRule="exact"/>
        <w:rPr>
          <w:sz w:val="20"/>
          <w:szCs w:val="20"/>
          <w:color w:val="auto"/>
        </w:rPr>
      </w:pPr>
    </w:p>
    <w:p>
      <w:pPr>
        <w:ind w:right="240" w:firstLine="1259"/>
        <w:spacing w:after="0" w:line="265"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b w:val="1"/>
          <w:bCs w:val="1"/>
          <w:u w:val="single" w:color="auto"/>
          <w:color w:val="auto"/>
        </w:rPr>
        <w:t>Insolvency</w:t>
      </w:r>
      <w:r>
        <w:rPr>
          <w:rFonts w:ascii="Arial" w:cs="Arial" w:eastAsia="Arial" w:hAnsi="Arial"/>
          <w:sz w:val="17"/>
          <w:szCs w:val="17"/>
          <w:color w:val="auto"/>
        </w:rPr>
        <w:t>. The filing of a petition by or against Tenant (the term “Tenant” shall include, for the purpose of this Section 17.7, any guarantor of Tenant’s obligations hereunder) (a) in any bankruptcy or other insolvency proceeding; (b) seeking any relief under any state or federal debtor relief law; (c) for the appointment of a liquidator or receiver for all or substantially all of Tenant’s property or for Tenant’s interest in this Lease; (d) for the reorganization or modification of Tenant’s capital structure; or (e)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spacing w:after="0" w:line="173" w:lineRule="exact"/>
        <w:rPr>
          <w:sz w:val="20"/>
          <w:szCs w:val="20"/>
          <w:color w:val="auto"/>
        </w:rPr>
      </w:pPr>
    </w:p>
    <w:p>
      <w:pPr>
        <w:ind w:right="400" w:firstLine="634"/>
        <w:spacing w:after="0" w:line="297" w:lineRule="auto"/>
        <w:tabs>
          <w:tab w:leader="none" w:pos="1254" w:val="left"/>
        </w:tabs>
        <w:numPr>
          <w:ilvl w:val="0"/>
          <w:numId w:val="207"/>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Upon any Event of Default, Landlord may, in addition to all other rights and remedies afforded Landlord hereunder or by law 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take any one or more of the following actions:</w:t>
      </w:r>
    </w:p>
    <w:p>
      <w:pPr>
        <w:spacing w:after="0" w:line="145" w:lineRule="exact"/>
        <w:rPr>
          <w:sz w:val="20"/>
          <w:szCs w:val="20"/>
          <w:color w:val="auto"/>
        </w:rPr>
      </w:pPr>
    </w:p>
    <w:p>
      <w:pPr>
        <w:ind w:firstLine="1259"/>
        <w:spacing w:after="0" w:line="287"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u w:val="single" w:color="auto"/>
          <w:color w:val="auto"/>
        </w:rPr>
        <w:t>Termination of Lease</w:t>
      </w:r>
      <w:r>
        <w:rPr>
          <w:rFonts w:ascii="Arial" w:cs="Arial" w:eastAsia="Arial" w:hAnsi="Arial"/>
          <w:sz w:val="16"/>
          <w:szCs w:val="16"/>
          <w:color w:val="auto"/>
        </w:rPr>
        <w:t xml:space="preserve">. Terminate this Lease by giving Tenant written notice thereof, in which event Tenant shall pay to Landlord the sum of (a) all Rent accrued hereunder through the date of termination, (b) all amounts due under Section 19.1, and (c) an amount equal to (but in no event less than zero) (1) the total Rent that Tenant would have been required to pay for the remainder of the Term discounted to present value at a per annum rate equal to the “Prime Rate” as published on the date this Lease is terminated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its listing of “Money Rates” minus one percent, minus (2) the then present fair rental value of the Premises, as determined by Landlord in Landlord’s reasonable discretion, for such period, similarly discounted;</w:t>
      </w:r>
    </w:p>
    <w:p>
      <w:pPr>
        <w:sectPr>
          <w:pgSz w:w="11900" w:h="16838" w:orient="portrait"/>
          <w:cols w:equalWidth="0" w:num="1">
            <w:col w:w="11420"/>
          </w:cols>
          <w:pgMar w:left="240" w:top="127" w:right="239" w:bottom="0" w:gutter="0" w:footer="0" w:header="0"/>
        </w:sectPr>
      </w:pPr>
    </w:p>
    <w:bookmarkStart w:id="233" w:name="page234"/>
    <w:bookmarkEnd w:id="233"/>
    <w:p>
      <w:pPr>
        <w:ind w:firstLine="1259"/>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b w:val="1"/>
          <w:bCs w:val="1"/>
          <w:u w:val="single" w:color="auto"/>
          <w:color w:val="auto"/>
        </w:rPr>
        <w:t>Termination of Possession</w:t>
      </w:r>
      <w:r>
        <w:rPr>
          <w:rFonts w:ascii="Arial" w:cs="Arial" w:eastAsia="Arial" w:hAnsi="Arial"/>
          <w:sz w:val="16"/>
          <w:szCs w:val="16"/>
          <w:color w:val="auto"/>
        </w:rPr>
        <w:t>. Terminate Tenant’s right to possess the Premises without terminating this Lease by giving written notice thereof to Tenant, in which event Tenant shall pay to Landlord (a) all Rent and other amounts accrued hereunder to the date of termination of possession, (b) all amounts due from time to time under Section 19.1, and (c) all Rent and other net sums required hereunder to be paid by Tenant during the remainder of the Term, diminished by any net sums thereafter received by Landlord through reletting the Premises during such period, after deducting all costs incurred by Landlord in reletting the Premises. If Landlord elects to terminate Tenant’s right to possession without terminating this Lease, and to retake possession of the Premises (and Landlord shall have no duty to make such election), Landlord shall use reasonable efforts to relet the Premises as further described in Section 19.4 below. Provided Landlord substantially complies with Section 19.4,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18.2. If Landlord elects to proceed under this Section 18.2, it may at any time elect to terminate this Lease under Section 18.1;</w:t>
      </w:r>
    </w:p>
    <w:p>
      <w:pPr>
        <w:spacing w:after="0" w:line="166" w:lineRule="exact"/>
        <w:rPr>
          <w:sz w:val="20"/>
          <w:szCs w:val="20"/>
          <w:color w:val="auto"/>
        </w:rPr>
      </w:pPr>
    </w:p>
    <w:p>
      <w:pPr>
        <w:ind w:firstLine="1259"/>
        <w:spacing w:after="0" w:line="270"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u w:val="single" w:color="auto"/>
          <w:color w:val="auto"/>
        </w:rPr>
        <w:t>Perform Acts on Behalf of Tenant</w:t>
      </w:r>
      <w:r>
        <w:rPr>
          <w:rFonts w:ascii="Arial" w:cs="Arial" w:eastAsia="Arial" w:hAnsi="Arial"/>
          <w:sz w:val="17"/>
          <w:szCs w:val="17"/>
          <w:color w:val="auto"/>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w:t>
      </w:r>
    </w:p>
    <w:p>
      <w:pPr>
        <w:spacing w:after="0" w:line="169"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u w:val="single" w:color="auto"/>
          <w:color w:val="auto"/>
        </w:rPr>
        <w:t>Suspension of Services</w:t>
      </w:r>
      <w:r>
        <w:rPr>
          <w:rFonts w:ascii="Arial" w:cs="Arial" w:eastAsia="Arial" w:hAnsi="Arial"/>
          <w:sz w:val="17"/>
          <w:szCs w:val="17"/>
          <w:color w:val="auto"/>
        </w:rPr>
        <w:t>. Suspend any services required to be provided by Landlord hereunder without being liable for any claim for damages therefor; or</w:t>
      </w:r>
    </w:p>
    <w:p>
      <w:pPr>
        <w:spacing w:after="0" w:line="145" w:lineRule="exact"/>
        <w:rPr>
          <w:sz w:val="20"/>
          <w:szCs w:val="20"/>
          <w:color w:val="auto"/>
        </w:rPr>
      </w:pPr>
    </w:p>
    <w:p>
      <w:pPr>
        <w:ind w:right="540" w:firstLine="1259"/>
        <w:spacing w:after="0" w:line="368" w:lineRule="auto"/>
        <w:rPr>
          <w:sz w:val="20"/>
          <w:szCs w:val="20"/>
          <w:color w:val="auto"/>
        </w:rPr>
      </w:pPr>
      <w:r>
        <w:rPr>
          <w:rFonts w:ascii="Arial" w:cs="Arial" w:eastAsia="Arial" w:hAnsi="Arial"/>
          <w:sz w:val="15"/>
          <w:szCs w:val="15"/>
          <w:color w:val="auto"/>
        </w:rPr>
        <w:t xml:space="preserve">18.5 </w:t>
      </w:r>
      <w:r>
        <w:rPr>
          <w:rFonts w:ascii="Arial" w:cs="Arial" w:eastAsia="Arial" w:hAnsi="Arial"/>
          <w:sz w:val="15"/>
          <w:szCs w:val="15"/>
          <w:b w:val="1"/>
          <w:bCs w:val="1"/>
          <w:u w:val="single" w:color="auto"/>
          <w:color w:val="auto"/>
        </w:rPr>
        <w:t>Alteration of Locks</w:t>
      </w:r>
      <w:r>
        <w:rPr>
          <w:rFonts w:ascii="Arial" w:cs="Arial" w:eastAsia="Arial" w:hAnsi="Arial"/>
          <w:sz w:val="15"/>
          <w:szCs w:val="15"/>
          <w:color w:val="auto"/>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by Tenant; Non-Waiver; Cumulative Remedies; Mitigation of Damage</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u w:val="single" w:color="auto"/>
          <w:color w:val="auto"/>
        </w:rPr>
        <w:t>Payment by Tenant</w:t>
      </w:r>
      <w:r>
        <w:rPr>
          <w:rFonts w:ascii="Arial" w:cs="Arial" w:eastAsia="Arial" w:hAnsi="Arial"/>
          <w:sz w:val="16"/>
          <w:szCs w:val="16"/>
          <w:color w:val="auto"/>
        </w:rPr>
        <w:t>. Upon any Event of Default, Tenant shall pay to Landlord all amounts, costs, losses and/or expenses incurred, abated or foregone by Landlord (including court costs and reasonable attorneys’ fees and expenses) in (a) obtaining possession of the Premises, (b) removing, storing and/or disposing of Tenant’s or any other occupant’s property, (c) repairing, restoring, altering, remodeling, or otherwise putting the Premises into condition acceptable to a new tenant, (d) if Tenant is dispossessed of the Premises and this Lease is not terminated, reletting all or any part of the Premises (including brokerage commissions, cost of tenant finish work, and other costs incidental to such reletting), (e) performing Tenant’s obligations under this Lease which Tenant failed to perform, (f) enforcing, or advising Landlord of, its rights, remedies, and recourses arising out of the default, and (g) securing this Lease, including all commissions, allowances, reasonable attorneys’ fees, and if this Lease or any amendment hereto contains any abated Rent granted by Landlord as an inducement or concession to secure this Lease or amendment hereto, the full amount of all Rent so abated (and such abated amounts shall be payable immediately by Tenant to Landlord, without any obligation by Landlord to provide written notice thereof to Tenant, and Tenant’s right to any abated rent accruing following such Event of Default shall immediately terminate).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69" w:lineRule="exact"/>
        <w:rPr>
          <w:sz w:val="20"/>
          <w:szCs w:val="20"/>
          <w:color w:val="auto"/>
        </w:rPr>
      </w:pPr>
    </w:p>
    <w:p>
      <w:pPr>
        <w:ind w:right="220" w:firstLine="1259"/>
        <w:spacing w:after="0" w:line="287"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Landlord’s acceptance of Rent following an Event of Default shall not waive Landlord’s rights 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58"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b w:val="1"/>
          <w:bCs w:val="1"/>
          <w:u w:val="single" w:color="auto"/>
          <w:color w:val="auto"/>
        </w:rPr>
        <w:t>Cumulative Remedies</w:t>
      </w:r>
      <w:r>
        <w:rPr>
          <w:rFonts w:ascii="Arial" w:cs="Arial" w:eastAsia="Arial" w:hAnsi="Arial"/>
          <w:sz w:val="17"/>
          <w:szCs w:val="17"/>
          <w:color w:val="auto"/>
        </w:rPr>
        <w:t>. Any and all remedies set forth in this Lease: (a) shall be in addition to any and all other remedies Landlord may have at law or in equity, (b) shall be cumulative, and (c) may be pursued successively or concurrently as Landlord may elect. The exercise of any remedy by Landlord shall not be deemed an election of remedies or preclude Landlord from exercising any other remedies in the future. Additionally, Tenant shall defend, indemnify and hold harmless Landlord, Landlord’s Mortgagee and their respective representatives and agents from and against all claims, demands, liabilities, causes of action, suits, judgments, damages and expenses (including reasonable attorneys’ fees) arising from Tenant’s failure to perform its obligations under this Lease.</w:t>
      </w:r>
    </w:p>
    <w:p>
      <w:pPr>
        <w:spacing w:after="0" w:line="173" w:lineRule="exact"/>
        <w:rPr>
          <w:sz w:val="20"/>
          <w:szCs w:val="20"/>
          <w:color w:val="auto"/>
        </w:rPr>
      </w:pPr>
    </w:p>
    <w:p>
      <w:pPr>
        <w:ind w:firstLine="1259"/>
        <w:spacing w:after="0" w:line="294" w:lineRule="auto"/>
        <w:rPr>
          <w:sz w:val="20"/>
          <w:szCs w:val="20"/>
          <w:color w:val="auto"/>
        </w:rPr>
      </w:pPr>
      <w:r>
        <w:rPr>
          <w:rFonts w:ascii="Arial" w:cs="Arial" w:eastAsia="Arial" w:hAnsi="Arial"/>
          <w:sz w:val="15"/>
          <w:szCs w:val="15"/>
          <w:color w:val="auto"/>
        </w:rPr>
        <w:t xml:space="preserve">19.4 </w:t>
      </w:r>
      <w:r>
        <w:rPr>
          <w:rFonts w:ascii="Arial" w:cs="Arial" w:eastAsia="Arial" w:hAnsi="Arial"/>
          <w:sz w:val="15"/>
          <w:szCs w:val="15"/>
          <w:b w:val="1"/>
          <w:bCs w:val="1"/>
          <w:u w:val="single" w:color="auto"/>
          <w:color w:val="auto"/>
        </w:rPr>
        <w:t>Mitigation of Damage</w:t>
      </w:r>
      <w:r>
        <w:rPr>
          <w:rFonts w:ascii="Arial" w:cs="Arial" w:eastAsia="Arial" w:hAnsi="Arial"/>
          <w:sz w:val="15"/>
          <w:szCs w:val="15"/>
          <w:color w:val="auto"/>
        </w:rPr>
        <w:t>. The parties agree any duty imposed by Law on Landlord to mitigate damages after a default by Tenant under this Lease shall be satisfied in full if Landlord uses reasonable efforts to lease the Premises to another tenant (a “</w:t>
      </w:r>
      <w:r>
        <w:rPr>
          <w:rFonts w:ascii="Arial" w:cs="Arial" w:eastAsia="Arial" w:hAnsi="Arial"/>
          <w:sz w:val="15"/>
          <w:szCs w:val="15"/>
          <w:b w:val="1"/>
          <w:bCs w:val="1"/>
          <w:u w:val="single" w:color="auto"/>
          <w:color w:val="auto"/>
        </w:rPr>
        <w:t>Substitute Tenant</w:t>
      </w:r>
      <w:r>
        <w:rPr>
          <w:rFonts w:ascii="Arial" w:cs="Arial" w:eastAsia="Arial" w:hAnsi="Arial"/>
          <w:sz w:val="15"/>
          <w:szCs w:val="15"/>
          <w:color w:val="auto"/>
        </w:rPr>
        <w:t>”) in accordance with the following criteria: (a) Landlord shall have no obligation to solicit or entertain negotiations with any Substitute Tenant for the Premises until 60 days following the date upon which Landlord obtains full and complete possession of the Premises, including the relinquishment by Tenant of any claim to possession of the Premises by written notice from Tenant to Landlord; (b) Landlord shall not be obligated to lease or show the Premises on a priority basis or offer the Premises to any prospective tenant when other space in the Project or the related complex is or soon will be available; (c) Landlord shall not be obligated to lease the Premises to a Substitute Tenant for less than the current fair market value of the Premises, as determined by Landlord in its sole discretion, nor will Landlord be obligated to enter into a new lease for the Premises under other terms and conditions that are unacceptable to Landlord under Landlord’s then-current leasing policies;</w:t>
      </w:r>
    </w:p>
    <w:p>
      <w:pPr>
        <w:spacing w:after="0" w:line="6" w:lineRule="exact"/>
        <w:rPr>
          <w:sz w:val="20"/>
          <w:szCs w:val="20"/>
          <w:color w:val="auto"/>
        </w:rPr>
      </w:pPr>
    </w:p>
    <w:p>
      <w:pPr>
        <w:ind w:right="40" w:firstLine="5"/>
        <w:spacing w:after="0" w:line="273" w:lineRule="auto"/>
        <w:tabs>
          <w:tab w:leader="none" w:pos="2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Landlord shall not be obligated to enter into a lease with a Substitute Tenant: (1) whose use would violate any restriction, covenant or requirement contained in the lease of another tenant in the Project or the related complex; (2) whose use would adversely affect the reputation of the Project or the related complex;</w:t>
      </w:r>
    </w:p>
    <w:p>
      <w:pPr>
        <w:ind w:right="140"/>
        <w:spacing w:after="0" w:line="261" w:lineRule="auto"/>
        <w:rPr>
          <w:rFonts w:ascii="Arial" w:cs="Arial" w:eastAsia="Arial" w:hAnsi="Arial"/>
          <w:sz w:val="16"/>
          <w:szCs w:val="16"/>
          <w:color w:val="auto"/>
        </w:rPr>
      </w:pPr>
      <w:r>
        <w:rPr>
          <w:rFonts w:ascii="Arial" w:cs="Arial" w:eastAsia="Arial" w:hAnsi="Arial"/>
          <w:sz w:val="17"/>
          <w:szCs w:val="17"/>
          <w:color w:val="auto"/>
        </w:rPr>
        <w:t>(3) whose use would require any addition to or modification of the Premises or Project or the related complex in order to comply with applicable Law, including building codes; (4) who does not satisfy the Tangible Net Worth/Credit Threshold or who does not have, in Landlord’s sole opinion, the creditworthiness to be an acceptable tenant; (5) that is a governmental entity, or quasi-governmental entity, or subdivision or agency thereof, or any other entity entitled to the defense of sovereign immunity; or (6) that does not meet Landlord’s reasonable standards for tenants of the Project or the related complex or is otherwise incompatible with the character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573" w:gutter="0" w:footer="0" w:header="0"/>
        </w:sectPr>
      </w:pPr>
    </w:p>
    <w:bookmarkStart w:id="234" w:name="page235"/>
    <w:bookmarkEnd w:id="234"/>
    <w:p>
      <w:pPr>
        <w:ind w:right="140"/>
        <w:spacing w:after="0" w:line="278" w:lineRule="auto"/>
        <w:rPr>
          <w:sz w:val="20"/>
          <w:szCs w:val="20"/>
          <w:color w:val="auto"/>
        </w:rPr>
      </w:pPr>
      <w:r>
        <w:rPr>
          <w:rFonts w:ascii="Arial" w:cs="Arial" w:eastAsia="Arial" w:hAnsi="Arial"/>
          <w:sz w:val="16"/>
          <w:szCs w:val="16"/>
          <w:color w:val="auto"/>
        </w:rPr>
        <w:t>occupancy of the Project, as reasonably determined by Landlord; and (e) Landlord shall not be required to expend any amount of money to alter, remodel or otherwise make the Premises suitable for use by a Substitute Tenant unless: (1) Tenant pays any such amount to Landlord prior to Landlord’s execution of a lease with such Substitute Tenant (which payment shall not relieve Tenant of any amount it owes Landlord as a result of Tenant’s default under this Lease); or</w:t>
      </w:r>
    </w:p>
    <w:p>
      <w:pPr>
        <w:spacing w:after="0" w:line="2" w:lineRule="exact"/>
        <w:rPr>
          <w:sz w:val="20"/>
          <w:szCs w:val="20"/>
          <w:color w:val="auto"/>
        </w:rPr>
      </w:pPr>
    </w:p>
    <w:p>
      <w:pPr>
        <w:ind w:right="400" w:firstLine="5"/>
        <w:spacing w:after="0" w:line="275" w:lineRule="auto"/>
        <w:tabs>
          <w:tab w:leader="none" w:pos="24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Landlord, in Landlord’s sole discretion, determines any such expenditure is financially prudent in connection with entering into a lease with the Substitute Tenant.</w:t>
      </w:r>
    </w:p>
    <w:p>
      <w:pPr>
        <w:spacing w:after="0" w:line="163" w:lineRule="exact"/>
        <w:rPr>
          <w:rFonts w:ascii="Arial" w:cs="Arial" w:eastAsia="Arial" w:hAnsi="Arial"/>
          <w:sz w:val="17"/>
          <w:szCs w:val="17"/>
          <w:color w:val="auto"/>
        </w:rPr>
      </w:pPr>
    </w:p>
    <w:p>
      <w:pPr>
        <w:ind w:right="20" w:firstLine="634"/>
        <w:spacing w:after="0" w:line="297" w:lineRule="auto"/>
        <w:tabs>
          <w:tab w:leader="none" w:pos="1254" w:val="left"/>
        </w:tabs>
        <w:numPr>
          <w:ilvl w:val="1"/>
          <w:numId w:val="210"/>
        </w:numPr>
        <w:rPr>
          <w:rFonts w:ascii="Arial" w:cs="Arial" w:eastAsia="Arial" w:hAnsi="Arial"/>
          <w:sz w:val="15"/>
          <w:szCs w:val="15"/>
          <w:color w:val="auto"/>
        </w:rPr>
      </w:pPr>
      <w:r>
        <w:rPr>
          <w:rFonts w:ascii="Arial" w:cs="Arial" w:eastAsia="Arial" w:hAnsi="Arial"/>
          <w:sz w:val="15"/>
          <w:szCs w:val="15"/>
          <w:b w:val="1"/>
          <w:bCs w:val="1"/>
          <w:u w:val="single" w:color="auto"/>
          <w:color w:val="auto"/>
        </w:rPr>
        <w:t>Landlord’s Lien</w:t>
      </w:r>
      <w:r>
        <w:rPr>
          <w:rFonts w:ascii="Arial" w:cs="Arial" w:eastAsia="Arial" w:hAnsi="Arial"/>
          <w:sz w:val="15"/>
          <w:szCs w:val="15"/>
          <w:color w:val="auto"/>
        </w:rPr>
        <w:t>. In addition to any statutory landlord’s lien, now or hereafter enacted, Tenant grants to Landlord, to secure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obligations hereunder, a security interest in all of Tenant’s furniture, fixtures, inventory and equipment situated in or upon the Premises or the Project, and all proceeds thereof (except merchandise sold in the ordinary course of business) (collectively, the “</w:t>
      </w:r>
      <w:r>
        <w:rPr>
          <w:rFonts w:ascii="Arial" w:cs="Arial" w:eastAsia="Arial" w:hAnsi="Arial"/>
          <w:sz w:val="15"/>
          <w:szCs w:val="15"/>
          <w:b w:val="1"/>
          <w:bCs w:val="1"/>
          <w:u w:val="single" w:color="auto"/>
          <w:color w:val="auto"/>
        </w:rPr>
        <w:t>Collateral</w:t>
      </w:r>
      <w:r>
        <w:rPr>
          <w:rFonts w:ascii="Arial" w:cs="Arial" w:eastAsia="Arial" w:hAnsi="Arial"/>
          <w:sz w:val="15"/>
          <w:szCs w:val="15"/>
          <w:color w:val="auto"/>
        </w:rPr>
        <w:t>”), and the Collateral shall not be removed from the Premises or the Project without the prior written consent of Landlord until all obligations of Tenant have been fully performed. For the purposes of this Section 20, there shall be a rebuttable presumption that all property located in the Premises is owned by Tenant. For the avoidance of doubt, the Collateral shall not include any contract rights, accounts receivable or other similar intangible property of Tenant located at the Premises or the Project or associated with Tenant’s use of the Premises. Upon the occurrence of an Event of Default, Landlord may, in addition to all other remedies, without notice or demand except as provided below, exercise the rights afforded to a secured party under the Uniform Commercial Code of the state in which the Premises are located (the “</w:t>
      </w:r>
      <w:r>
        <w:rPr>
          <w:rFonts w:ascii="Arial" w:cs="Arial" w:eastAsia="Arial" w:hAnsi="Arial"/>
          <w:sz w:val="15"/>
          <w:szCs w:val="15"/>
          <w:b w:val="1"/>
          <w:bCs w:val="1"/>
          <w:u w:val="single" w:color="auto"/>
          <w:color w:val="auto"/>
        </w:rPr>
        <w:t>UCC</w:t>
      </w:r>
      <w:r>
        <w:rPr>
          <w:rFonts w:ascii="Arial" w:cs="Arial" w:eastAsia="Arial" w:hAnsi="Arial"/>
          <w:sz w:val="15"/>
          <w:szCs w:val="15"/>
          <w:color w:val="auto"/>
        </w:rPr>
        <w:t>”). To the extent the UCC requires Landlord to give to Tenant notice of any act or event and such notice cannot be validly waived before a default occurs, then five-days’ prior written notice thereof shall be reasonable notice of the act or event. In order to perfect such security interest, Landlord may file any financing statement or other instrument necessary at Tenant’s expense at the state and county Uniform Commercial Code filing offices. Upon Tenant’s written request, Landlord shall subordinate the security interest in the Collateral granted to Landlord under this Section 20, to Tenant’s primary line of credit provider so long as such credit provider is an institutional lender unaffiliated with Tenant, and Landlord and Tenant shall, at Tenant’s expense, execute Landlord’s standard form of subordination documentation to evidence such subordination; provided, however, such subordination shall not apply to any Collateral paid for in whole or in part by Landlord.</w:t>
      </w:r>
    </w:p>
    <w:p>
      <w:pPr>
        <w:spacing w:after="0" w:line="157" w:lineRule="exact"/>
        <w:rPr>
          <w:rFonts w:ascii="Arial" w:cs="Arial" w:eastAsia="Arial" w:hAnsi="Arial"/>
          <w:sz w:val="15"/>
          <w:szCs w:val="15"/>
          <w:color w:val="auto"/>
        </w:rPr>
      </w:pPr>
    </w:p>
    <w:p>
      <w:pPr>
        <w:ind w:firstLine="634"/>
        <w:spacing w:after="0" w:line="276" w:lineRule="auto"/>
        <w:tabs>
          <w:tab w:leader="none" w:pos="1254" w:val="left"/>
        </w:tabs>
        <w:numPr>
          <w:ilvl w:val="1"/>
          <w:numId w:val="210"/>
        </w:numPr>
        <w:rPr>
          <w:rFonts w:ascii="Arial" w:cs="Arial" w:eastAsia="Arial" w:hAnsi="Arial"/>
          <w:sz w:val="16"/>
          <w:szCs w:val="16"/>
          <w:color w:val="auto"/>
        </w:rPr>
      </w:pP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by Landlord shall be deemed an acceptance of a surrender of the Premises, and no agreement to accept a</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shall be valid unless it is in writing and signed by Landlord. At the expiration or termination of this Lease or Tenant’s right to possess the Premises, Tenant shall (a) deliver to Landlord the Premises broom-clean with all improvements located therein in good repair and condition (except for condemnation and Casualty damage not caused by Tenant, as to which Sections 14 and 15 shall control, and reasonable wear and tear, defined below), free of any liens or encumbrances and free of Hazardous Materials placed on the Premises during the Term; (b) deliver to Landlord all keys to the Premises and all access cards to the Project; (c) remove all unattached trade fixtures, furniture (including demountable walls), and personal property placed in the Premises or elsewhere in the Project by a Tenant Party and unattached equipment located in the Premises (but Tenant may not remove any such item which was paid for, in whole or in part, by Landlord unless Landlord requires such removal); (d) remove any and all cabling (including conduit) installed in the Premises or elsewhere in the Project by or on behalf of a Tenant Party, including all connections for such cabling, at Tenant’s sole cost (Landlord will have the right, however, upon notice to Tenant, given prior to the expiration or earlier termination of the Term, to require Tenant to abandon and leave in place, without additional payment to Tenant or credit against Rent, any and all such cabling [including conduit], whether located in the Premises or elsewhere in the Project, and if Landlord so elects, Tenant covenants that such cabling (and all pre-existing cabling in the Premises installed by previous tenants and used by Tenant) shall be left in a neat and safe condition in accordance with the requirements of all applicable Laws, including the National Electric Code or any successor statute, and shall be terminated at both ends of a connector, properly labeled at each end and in each electrical closet and junction box); and (e) remove such alterations, additions, improvements, and Tenant’s Off-Premises Equipment as Landlord may require and restore the areas surrounding such Tenant’s Off-Premises Equipment to their conditions existing immediately prior to the installation of such Tenant’s Off-Premises Equipment; however, Tenant shall not be required to remove the existing safety shower or any addition or improvement to the Premises or the Project (including wiring and cabling) if Landlord has specifically agreed in writing that the improvement or addition in question need not be removed. Upon Tenant’s written request made no earlier than six months prior to the expiration of the Term, Landlord shall notify Tenant whether Landlord shall require Tenant to remove all wiring, cabling and conduit installed in or about the Premises or the Project by any Tenant Party during the Term, The term “</w:t>
      </w:r>
      <w:r>
        <w:rPr>
          <w:rFonts w:ascii="Arial" w:cs="Arial" w:eastAsia="Arial" w:hAnsi="Arial"/>
          <w:sz w:val="16"/>
          <w:szCs w:val="16"/>
          <w:b w:val="1"/>
          <w:bCs w:val="1"/>
          <w:u w:val="single" w:color="auto"/>
          <w:color w:val="auto"/>
        </w:rPr>
        <w:t>reasonable wear and tear</w:t>
      </w:r>
      <w:r>
        <w:rPr>
          <w:rFonts w:ascii="Arial" w:cs="Arial" w:eastAsia="Arial" w:hAnsi="Arial"/>
          <w:sz w:val="16"/>
          <w:szCs w:val="16"/>
          <w:color w:val="auto"/>
        </w:rPr>
        <w:t>” as used herein shall mean such reasonable, normal and customary wear and tear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 xml:space="preserve">associated with reasonable, normal and customary use of the item in question that (A) is solely cosmetic in nature and (B) does not impair the function of the item in question for its intended use. Tenant shall repair all damage caused by the removal of the items described above. If Tenant fails to remove any property, including any of the property described above, Landlord may, at Landlord’s option, (1) deem such items to have been abandoned by Tenant, the title thereof shall immediately pass to Landlord at no cost to Landlord, and such items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hereunder or otherwise, (2) remove such items, perform any work required to be performed by Tenant hereunder, and repair all damage caused by such work, and Tenant shall reimburse Landlord on demand for any reasonable expenses which Landlord may incur in effecting compliance with Tenant’s obligations hereunder (including collection costs and attorneys’ fees), plus interest thereon at the Default Rate, or (2) elect any of the actions described in clauses (1) and (2) above as Landlord may elect in its sole discretion. Notwithstanding the requirements of clause (e) above to the contrary, Tenant shall not be required to remove any alterations, installations or improvements constructed inside the Premises as part of the initial Work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which do not exceed or differ in any material respect from customary, standard type of installations or improvements for general, executive and administrative offices or diagnostic testing laboratories in comparable buildings in the submarket in which the Building is located; however, Tenant may be required by Landlord to remove any non-standard alterations, additions or improvements, including server rooms, data centers, computer rooms, specialty ceilings, or any items that would have above-average demolition costs (“</w:t>
      </w:r>
      <w:r>
        <w:rPr>
          <w:rFonts w:ascii="Arial" w:cs="Arial" w:eastAsia="Arial" w:hAnsi="Arial"/>
          <w:sz w:val="15"/>
          <w:szCs w:val="15"/>
          <w:b w:val="1"/>
          <w:bCs w:val="1"/>
          <w:u w:val="single" w:color="auto"/>
          <w:color w:val="auto"/>
        </w:rPr>
        <w:t>Non-Standard Alterations</w:t>
      </w:r>
      <w:r>
        <w:rPr>
          <w:rFonts w:ascii="Arial" w:cs="Arial" w:eastAsia="Arial" w:hAnsi="Arial"/>
          <w:sz w:val="15"/>
          <w:szCs w:val="15"/>
          <w:color w:val="auto"/>
        </w:rPr>
        <w:t>”). In connection with Landlord’s review and approval of any of Tenant’s proposed alterations, additions or improvements to the Premises, Landlord may notify Tenant in writing, contemporaneously with Landlord’s notice of approval to Tenant with respect to the improvements in question, that Landlord will require Tenant to remove such alterations prior to the expiration of the Term; however, if Tenant submits plans and specifications to Landlord for proposed alterations, additions or improvements to the Premises and delivers a Removal Notice (defined below) to Landlord contemporaneously with such submission by Tenant, and Landlord fails to notify Tenant that Tenant will be required to remove such alterations, additions or improvements to the Premises at the expiration of the Term, Landlord may not request such removal at the expiration of the Term. A “</w:t>
      </w:r>
      <w:r>
        <w:rPr>
          <w:rFonts w:ascii="Arial" w:cs="Arial" w:eastAsia="Arial" w:hAnsi="Arial"/>
          <w:sz w:val="15"/>
          <w:szCs w:val="15"/>
          <w:b w:val="1"/>
          <w:bCs w:val="1"/>
          <w:u w:val="single" w:color="auto"/>
          <w:color w:val="auto"/>
        </w:rPr>
        <w:t>Removal Notice</w:t>
      </w:r>
      <w:r>
        <w:rPr>
          <w:rFonts w:ascii="Arial" w:cs="Arial" w:eastAsia="Arial" w:hAnsi="Arial"/>
          <w:sz w:val="15"/>
          <w:szCs w:val="15"/>
          <w:color w:val="auto"/>
        </w:rPr>
        <w:t xml:space="preserve">” means a written notice from Tenant to Landlord that conspicuously states in bold, uppercase typeface that Tenant will not be required to remove the alterations, additions or improvements in question at the end of the Term unless, contemporaneously with Landlord’s notice of approval to Tenant with respect to the improvements in question, Landlord notifies Tenant in writing that Landlord will require Tenant to remove such alterations prior to the expiration of the Term. Notwithstanding the foregoing, if Tenant does not obtain Landlord’s prior written consent for any alterations, additions or improvements to the Premises (whether such approval is required hereunder or otherwise), Tenant shall remove all such alterations, additions, improvements, trade fixtures, personal property, equipment, wiring, conduits, cabling, and furniture (including Tenant’s Off-Premises Equipment) as Landlord may request in writing. For the avoidance of doubt, Tenant shall not be required to remove any laboratory fixtures or equipment existing in the Premises as of the Lease Date or contemplated by the approved Space Plans,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or the Working Drawings, to the extent such Working Drawings provide for the construction only of the tenant improvements depicted on the Space Plans. Notwithstanding anything in this Lease to the contrary, in all cases Tenant shall be required to remove, and to restore the Premises or Project, as applicable, to their previous condition, any wiring and cabling installed in the Premises or elsewhere in the Project by or on behalf of any Tenant Party, any alterations or relocations of base-Building’s Systems made after completion of the initial Work, any improvements or signage incorporating Tenant’s name or logo, internal stairwells, vaults, raised flooring, any alteration, improvement or equipment installed by or on behalf of any Tenant Party not complying with Laws, and, unless Landlord has expressly stated otherwise in writing, all of Tenant’s Off-Premises Equipment, including any</w:t>
      </w:r>
    </w:p>
    <w:p>
      <w:pPr>
        <w:sectPr>
          <w:pgSz w:w="11900" w:h="16838" w:orient="portrait"/>
          <w:cols w:equalWidth="0" w:num="1">
            <w:col w:w="11420"/>
          </w:cols>
          <w:pgMar w:left="240" w:top="127" w:right="239" w:bottom="0" w:gutter="0" w:footer="0" w:header="0"/>
        </w:sectPr>
      </w:pPr>
    </w:p>
    <w:bookmarkStart w:id="235" w:name="page236"/>
    <w:bookmarkEnd w:id="235"/>
    <w:p>
      <w:pPr>
        <w:spacing w:after="0" w:line="57"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color w:val="auto"/>
        </w:rPr>
        <w:t>supplemental HVAC equipment, rooftop equipment, etc. (all such items in this sentence being “</w:t>
      </w:r>
      <w:r>
        <w:rPr>
          <w:rFonts w:ascii="Arial" w:cs="Arial" w:eastAsia="Arial" w:hAnsi="Arial"/>
          <w:sz w:val="17"/>
          <w:szCs w:val="17"/>
          <w:b w:val="1"/>
          <w:bCs w:val="1"/>
          <w:u w:val="single" w:color="auto"/>
          <w:color w:val="auto"/>
        </w:rPr>
        <w:t>Mandatory Removal Items</w:t>
      </w:r>
      <w:r>
        <w:rPr>
          <w:rFonts w:ascii="Arial" w:cs="Arial" w:eastAsia="Arial" w:hAnsi="Arial"/>
          <w:sz w:val="17"/>
          <w:szCs w:val="17"/>
          <w:color w:val="auto"/>
        </w:rPr>
        <w:t>”). The provisions of this Section 21 shall survive the end of the Term.</w:t>
      </w:r>
    </w:p>
    <w:p>
      <w:pPr>
        <w:spacing w:after="0" w:line="145" w:lineRule="exact"/>
        <w:rPr>
          <w:sz w:val="20"/>
          <w:szCs w:val="20"/>
          <w:color w:val="auto"/>
        </w:rPr>
      </w:pPr>
    </w:p>
    <w:p>
      <w:pPr>
        <w:ind w:right="40" w:firstLine="634"/>
        <w:spacing w:after="0" w:line="285" w:lineRule="auto"/>
        <w:tabs>
          <w:tab w:leader="none" w:pos="1254"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fails to vacate the Premises at the end of the Term, then Tenant shall be a tenant at sufferance and,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damages and remedies to which Landlord may be entitled for such holding over, (a) Tenant shall pay, in addition to the other Rent, Basic Rent equal to 150% of the Rent payable during the last month of the Term,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fees) and liability resulting from such failure, including any claims made by any succeeding tenant founded upon such failure to surrender, and any lost profits or other consequential damages to Landlord resulting therefrom.</w:t>
      </w:r>
    </w:p>
    <w:p>
      <w:pPr>
        <w:spacing w:after="0" w:line="152" w:lineRule="exact"/>
        <w:rPr>
          <w:sz w:val="20"/>
          <w:szCs w:val="20"/>
          <w:color w:val="auto"/>
        </w:rPr>
      </w:pPr>
    </w:p>
    <w:p>
      <w:pPr>
        <w:ind w:left="1260" w:hanging="626"/>
        <w:spacing w:after="0"/>
        <w:tabs>
          <w:tab w:leader="none" w:pos="1260" w:val="left"/>
        </w:tabs>
        <w:numPr>
          <w:ilvl w:val="0"/>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Rights Reserved by Landlord</w:t>
      </w:r>
      <w:r>
        <w:rPr>
          <w:rFonts w:ascii="Arial" w:cs="Arial" w:eastAsia="Arial" w:hAnsi="Arial"/>
          <w:sz w:val="17"/>
          <w:szCs w:val="17"/>
          <w:color w:val="auto"/>
        </w:rPr>
        <w:t>. Landlord shall have the following rights:</w:t>
      </w:r>
    </w:p>
    <w:p>
      <w:pPr>
        <w:spacing w:after="0" w:line="224"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b w:val="1"/>
          <w:bCs w:val="1"/>
          <w:u w:val="single" w:color="auto"/>
          <w:color w:val="auto"/>
        </w:rPr>
        <w:t>Building Operations</w:t>
      </w:r>
      <w:r>
        <w:rPr>
          <w:rFonts w:ascii="Arial" w:cs="Arial" w:eastAsia="Arial" w:hAnsi="Arial"/>
          <w:sz w:val="17"/>
          <w:szCs w:val="17"/>
          <w:color w:val="auto"/>
        </w:rPr>
        <w:t>. To decorate and to make inspections, repairs, alterations, additions, changes, or improvements,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w:t>
      </w:r>
    </w:p>
    <w:p>
      <w:pPr>
        <w:spacing w:after="0" w:line="173"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Security</w:t>
      </w:r>
      <w:r>
        <w:rPr>
          <w:rFonts w:ascii="Arial" w:cs="Arial" w:eastAsia="Arial" w:hAnsi="Arial"/>
          <w:sz w:val="17"/>
          <w:szCs w:val="17"/>
          <w:color w:val="auto"/>
        </w:rPr>
        <w:t>. To take such reasonable measures as Landlord deems advisable for the security of the Building and its occupants;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 which may include, by way of example but not limitation, that persons entering or leaving the Building, whether or not during normal business hours, identify themselves to a security officer by registration or otherwise and that such persons establish their right to enter or leave the Building;</w:t>
      </w:r>
    </w:p>
    <w:p>
      <w:pPr>
        <w:spacing w:after="0" w:line="173"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Prospective Purchasers and Lenders</w:t>
      </w:r>
      <w:r>
        <w:rPr>
          <w:rFonts w:ascii="Arial" w:cs="Arial" w:eastAsia="Arial" w:hAnsi="Arial"/>
          <w:sz w:val="17"/>
          <w:szCs w:val="17"/>
          <w:color w:val="auto"/>
        </w:rPr>
        <w:t>. Upon at least 24 hours’ advance prior notice (which notice may be verbal) to Tenant, to enter the Premises at all reasonable hours to show the Premises to prospective purchasers or lenders; and</w:t>
      </w:r>
    </w:p>
    <w:p>
      <w:pPr>
        <w:spacing w:after="0" w:line="145" w:lineRule="exact"/>
        <w:rPr>
          <w:sz w:val="20"/>
          <w:szCs w:val="20"/>
          <w:color w:val="auto"/>
        </w:rPr>
      </w:pPr>
    </w:p>
    <w:p>
      <w:pPr>
        <w:ind w:right="60" w:firstLine="1259"/>
        <w:spacing w:after="0" w:line="27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Prospective Tenants</w:t>
      </w:r>
      <w:r>
        <w:rPr>
          <w:rFonts w:ascii="Arial" w:cs="Arial" w:eastAsia="Arial" w:hAnsi="Arial"/>
          <w:sz w:val="17"/>
          <w:szCs w:val="17"/>
          <w:color w:val="auto"/>
        </w:rPr>
        <w:t>. At any time during the last 12 months of the Term (or earlier if Tenant has notified Landlord in writing that it does not desire to renew the Term) upon at least 24 hours’ advance prior notice (which notice may be verbal) to Tenant, or at any time following the occurrence of an Event of Default, to enter the Premises at all reasonable hours to show the Premises to prospective tenants.</w:t>
      </w:r>
    </w:p>
    <w:p>
      <w:pPr>
        <w:spacing w:after="0" w:line="16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In exercising the foregoing rights in this Section 23, Landlord shall use commercially reasonable efforts to minimize any interference with Tenant’s occupancy, access and use of the Premises.</w:t>
      </w:r>
    </w:p>
    <w:p>
      <w:pPr>
        <w:spacing w:after="0" w:line="152" w:lineRule="exact"/>
        <w:rPr>
          <w:sz w:val="20"/>
          <w:szCs w:val="20"/>
          <w:color w:val="auto"/>
        </w:rPr>
      </w:pPr>
    </w:p>
    <w:p>
      <w:pPr>
        <w:ind w:left="1260" w:hanging="626"/>
        <w:spacing w:after="0"/>
        <w:tabs>
          <w:tab w:leader="none" w:pos="1260" w:val="left"/>
        </w:tabs>
        <w:numPr>
          <w:ilvl w:val="0"/>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t>Substitution Space</w:t>
      </w:r>
      <w:r>
        <w:rPr>
          <w:rFonts w:ascii="Arial" w:cs="Arial" w:eastAsia="Arial" w:hAnsi="Arial"/>
          <w:sz w:val="17"/>
          <w:szCs w:val="17"/>
          <w:color w:val="auto"/>
        </w:rPr>
        <w:t>. [Intentionally deleted].</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b w:val="1"/>
          <w:bCs w:val="1"/>
          <w:u w:val="single" w:color="auto"/>
          <w:color w:val="auto"/>
        </w:rPr>
        <w:t>Landlord Transfer</w:t>
      </w:r>
      <w:r>
        <w:rPr>
          <w:rFonts w:ascii="Arial" w:cs="Arial" w:eastAsia="Arial" w:hAnsi="Arial"/>
          <w:sz w:val="17"/>
          <w:szCs w:val="17"/>
          <w:color w:val="auto"/>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spacing w:after="0" w:line="162" w:lineRule="exact"/>
        <w:rPr>
          <w:sz w:val="20"/>
          <w:szCs w:val="20"/>
          <w:color w:val="auto"/>
        </w:rPr>
      </w:pPr>
    </w:p>
    <w:p>
      <w:pPr>
        <w:ind w:right="100" w:firstLine="1259"/>
        <w:spacing w:after="0" w:line="281"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b w:val="1"/>
          <w:bCs w:val="1"/>
          <w:u w:val="single" w:color="auto"/>
          <w:color w:val="auto"/>
        </w:rPr>
        <w:t>Landlord’s Liability</w:t>
      </w:r>
      <w:r>
        <w:rPr>
          <w:rFonts w:ascii="Arial" w:cs="Arial" w:eastAsia="Arial" w:hAnsi="Arial"/>
          <w:sz w:val="16"/>
          <w:szCs w:val="16"/>
          <w:color w:val="auto"/>
        </w:rPr>
        <w:t>. The liability of Landlord (and its successors,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net proceeds derived from the sale thereof, and, to the extent actually received by Landlord (thus excluding amounts paid to Landlord’s Mortgagees), and following the issuance of a final, non-appealable judgment in favor of Tenant, any undistributed insurance proceeds and condemnation awards that were not applied to the restoration of the Project or any related complex, and Landlord (and its partners, shareholders or members) shall not be personally liable for any deficiency. Additionally, Tenant hereby waives its statutory lien under Section 91.004 of the Texas Property Code. The provisions of this Section shall survive any expiration or termination of this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Other than for Tenant’s or Landlord’s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w:t>
      </w:r>
    </w:p>
    <w:p>
      <w:pPr>
        <w:spacing w:after="0" w:line="171" w:lineRule="exact"/>
        <w:rPr>
          <w:sz w:val="20"/>
          <w:szCs w:val="20"/>
          <w:color w:val="auto"/>
        </w:rPr>
      </w:pPr>
    </w:p>
    <w:p>
      <w:pPr>
        <w:ind w:right="420" w:firstLine="1259"/>
        <w:spacing w:after="0" w:line="292" w:lineRule="auto"/>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b w:val="1"/>
          <w:bCs w:val="1"/>
          <w:u w:val="single" w:color="auto"/>
          <w:color w:val="auto"/>
        </w:rPr>
        <w:t>Brokerage</w:t>
      </w:r>
      <w:r>
        <w:rPr>
          <w:rFonts w:ascii="Arial" w:cs="Arial" w:eastAsia="Arial" w:hAnsi="Arial"/>
          <w:sz w:val="16"/>
          <w:szCs w:val="16"/>
          <w:color w:val="auto"/>
        </w:rPr>
        <w:t>. Neither Landlord nor Tenant has dealt with any broker or agent in connection with the negotiation or execution of this Lease, other than HPI Real Estate, Inc. and Jones Lang LaSalle Brokerage, Inc, whose commissions shall be paid by Landlord pursuant to separate written agreements. Tenant and Landlord shall each indemnify the other against all costs, expenses, attorneys’ fees, liens and other liability for commissions or other compensation claimed by any other broker or agent claiming the same by, through, or under the indemnifying party.</w:t>
      </w:r>
    </w:p>
    <w:p>
      <w:pPr>
        <w:spacing w:after="0" w:line="153" w:lineRule="exact"/>
        <w:rPr>
          <w:sz w:val="20"/>
          <w:szCs w:val="20"/>
          <w:color w:val="auto"/>
        </w:rPr>
      </w:pPr>
    </w:p>
    <w:p>
      <w:pPr>
        <w:ind w:right="180" w:firstLine="1259"/>
        <w:spacing w:after="0" w:line="330" w:lineRule="auto"/>
        <w:rPr>
          <w:sz w:val="20"/>
          <w:szCs w:val="20"/>
          <w:color w:val="auto"/>
        </w:rPr>
      </w:pPr>
      <w:r>
        <w:rPr>
          <w:rFonts w:ascii="Arial" w:cs="Arial" w:eastAsia="Arial" w:hAnsi="Arial"/>
          <w:sz w:val="15"/>
          <w:szCs w:val="15"/>
          <w:color w:val="auto"/>
        </w:rPr>
        <w:t xml:space="preserve">25.5 </w:t>
      </w:r>
      <w:r>
        <w:rPr>
          <w:rFonts w:ascii="Arial" w:cs="Arial" w:eastAsia="Arial" w:hAnsi="Arial"/>
          <w:sz w:val="15"/>
          <w:szCs w:val="15"/>
          <w:b w:val="1"/>
          <w:bCs w:val="1"/>
          <w:u w:val="single" w:color="auto"/>
          <w:color w:val="auto"/>
        </w:rPr>
        <w:t>Estoppel Certificates</w:t>
      </w:r>
      <w:r>
        <w:rPr>
          <w:rFonts w:ascii="Arial" w:cs="Arial" w:eastAsia="Arial" w:hAnsi="Arial"/>
          <w:sz w:val="15"/>
          <w:szCs w:val="15"/>
          <w:color w:val="auto"/>
        </w:rPr>
        <w:t>. From time to time, Tenant shall furnish to any party designated by Landlord, within ten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w:t>
      </w:r>
    </w:p>
    <w:p>
      <w:pPr>
        <w:sectPr>
          <w:pgSz w:w="11900" w:h="16896" w:orient="portrait"/>
          <w:cols w:equalWidth="0" w:num="1">
            <w:col w:w="11420"/>
          </w:cols>
          <w:pgMar w:left="240" w:top="121" w:right="239" w:bottom="0" w:gutter="0" w:footer="0" w:header="0"/>
        </w:sectPr>
      </w:pPr>
    </w:p>
    <w:bookmarkStart w:id="236" w:name="page237"/>
    <w:bookmarkEnd w:id="236"/>
    <w:p>
      <w:pPr>
        <w:ind w:right="120"/>
        <w:spacing w:after="0" w:line="300" w:lineRule="auto"/>
        <w:rPr>
          <w:sz w:val="20"/>
          <w:szCs w:val="20"/>
          <w:color w:val="auto"/>
        </w:rPr>
      </w:pPr>
      <w:r>
        <w:rPr>
          <w:rFonts w:ascii="Arial" w:cs="Arial" w:eastAsia="Arial" w:hAnsi="Arial"/>
          <w:sz w:val="15"/>
          <w:szCs w:val="15"/>
          <w:color w:val="auto"/>
        </w:rPr>
        <w:t xml:space="preserve">estoppel certificate to be signed by Tenant is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If Tenant does not deliver to Landlord the certificate signed by Tenant within such required time period, Landlord, Landlord’s Mortgagee and any prospective purchaser or mortgagee, may conclusively presume and rely upon the following facts:</w:t>
      </w:r>
    </w:p>
    <w:p>
      <w:pPr>
        <w:ind w:right="80" w:firstLine="5"/>
        <w:spacing w:after="0" w:line="263" w:lineRule="auto"/>
        <w:tabs>
          <w:tab w:leader="none" w:pos="23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this Lease is in full force and effect; (b) the terms and provisions of this Lease have not been changed except as otherwise represented by Landlord; (c) not more than one monthly installment of Basic Rent and other charges have been paid in advance; (d) there are no claims against Landlord nor any defenses or rights of offset against collection of Rent or other charges; and (e) Landlord is not in default under this Lease. In such event, Tenant shall be estopped from denying the truth of the presumed facts.</w:t>
      </w:r>
    </w:p>
    <w:p>
      <w:pPr>
        <w:spacing w:after="0" w:line="174"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given pursuant to this Lease shall be in writing and shall be (a) mailed by first class, United States Mail, postage prepaid, certified, with return receipt requested, and addressed to the parties hereto at the address specified in the Basic Lease Information, (b) hand-delivered to the intended addressee, (c) sent by a nationally recognized overnight courier service, or (d) sent by facsimile transmission during normal business hours followed by a confirmatory letter sent in another manner permitted hereunder. All notices shall be effective upon delivery (which, in the case of delivery by facsimile transmission, shall be deemed to occur at the time of delivery indicated on the electronic confirmation of the facsimile so long as the confirmatory letter referenced above is sent) to the address of the addressee (even if such addressee refuses delivery thereof). The parties hereto may change their addresses by giving notice thereof to the other in conformity with this provision.</w:t>
      </w:r>
    </w:p>
    <w:p>
      <w:pPr>
        <w:spacing w:after="0" w:line="159"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b w:val="1"/>
          <w:bCs w:val="1"/>
          <w:u w:val="single" w:color="auto"/>
          <w:color w:val="auto"/>
        </w:rPr>
        <w:t>Separability</w:t>
      </w:r>
      <w:r>
        <w:rPr>
          <w:rFonts w:ascii="Arial" w:cs="Arial" w:eastAsia="Arial" w:hAnsi="Arial"/>
          <w:sz w:val="17"/>
          <w:szCs w:val="17"/>
          <w:color w:val="auto"/>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62"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25.8 </w:t>
      </w:r>
      <w:r>
        <w:rPr>
          <w:rFonts w:ascii="Arial" w:cs="Arial" w:eastAsia="Arial" w:hAnsi="Arial"/>
          <w:sz w:val="16"/>
          <w:szCs w:val="16"/>
          <w:b w:val="1"/>
          <w:bCs w:val="1"/>
          <w:u w:val="single" w:color="auto"/>
          <w:color w:val="auto"/>
        </w:rPr>
        <w:t>Amendments; Binding Effect; No Electronic Records</w:t>
      </w:r>
      <w:r>
        <w:rPr>
          <w:rFonts w:ascii="Arial" w:cs="Arial" w:eastAsia="Arial" w:hAnsi="Arial"/>
          <w:sz w:val="16"/>
          <w:szCs w:val="16"/>
          <w:color w:val="auto"/>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by facsimile transmission as specifically set forth in Section 25.6 or electronic signatures as specifically set forth in Section 25.9; nor shall the use of the phrase “in writing” or the word “written” be construed to include electronic communications except by facsimile transmissions as specifically set forth in Section 25.6 and other electronic signatures as specifically set forth in Section 25.9. The terms and conditions contained in this Lease shall inure to the benefit of and be binding upon the parties hereto, and upon their respective successors in interest and legal representatives, except as otherwise herein expressly provided. This Lease is for the sole benefit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and, other than Landlord’s Mortgagee, no third party shall be deemed a third party beneficiary hereof.</w:t>
      </w:r>
    </w:p>
    <w:p>
      <w:pPr>
        <w:spacing w:after="0" w:line="218" w:lineRule="exact"/>
        <w:rPr>
          <w:sz w:val="20"/>
          <w:szCs w:val="20"/>
          <w:color w:val="auto"/>
        </w:rPr>
      </w:pPr>
    </w:p>
    <w:p>
      <w:pPr>
        <w:ind w:right="40" w:firstLine="1259"/>
        <w:spacing w:after="0" w:line="270" w:lineRule="auto"/>
        <w:rPr>
          <w:sz w:val="20"/>
          <w:szCs w:val="20"/>
          <w:color w:val="auto"/>
        </w:rPr>
      </w:pPr>
      <w:r>
        <w:rPr>
          <w:rFonts w:ascii="Arial" w:cs="Arial" w:eastAsia="Arial" w:hAnsi="Arial"/>
          <w:sz w:val="17"/>
          <w:szCs w:val="17"/>
          <w:color w:val="auto"/>
        </w:rPr>
        <w:t xml:space="preserve">25.9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(and amendments to this Lease) may be executed in any number of counterparts, each of which shall be deemed to be an original, and all of such counterparts shall constitute one document. To facilitate execution of this Lease, the parties may execute and exchange, by telephone facsimile or electronic mail PDF, counterparts of the signature pages. Signature pages may be detached from the counterparts and attached to a single copy of this Lease to physically form one document.</w:t>
      </w:r>
    </w:p>
    <w:p>
      <w:pPr>
        <w:spacing w:after="0" w:line="169"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color w:val="auto"/>
        </w:rPr>
        <w:t xml:space="preserve">25.10 </w:t>
      </w:r>
      <w:r>
        <w:rPr>
          <w:rFonts w:ascii="Arial" w:cs="Arial" w:eastAsia="Arial" w:hAnsi="Arial"/>
          <w:sz w:val="17"/>
          <w:szCs w:val="17"/>
          <w:b w:val="1"/>
          <w:bCs w:val="1"/>
          <w:u w:val="single" w:color="auto"/>
          <w:color w:val="auto"/>
        </w:rPr>
        <w:t>Quiet Enjoyment</w:t>
      </w:r>
      <w:r>
        <w:rPr>
          <w:rFonts w:ascii="Arial" w:cs="Arial" w:eastAsia="Arial" w:hAnsi="Arial"/>
          <w:sz w:val="17"/>
          <w:szCs w:val="17"/>
          <w:color w:val="auto"/>
        </w:rPr>
        <w:t>. Provided Tenant has performed all of its obligations hereunder, Tenant shall peaceably and quietly hold and enjoy the Premises for the Term, without hindrance from Landlord or any party claiming by, through, or under Landlord, but not otherwise, subject to the terms and conditions of this Lease and all matters of record as of the date of this Lease which are applicable to the Premises.</w:t>
      </w:r>
    </w:p>
    <w:p>
      <w:pPr>
        <w:spacing w:after="0" w:line="162" w:lineRule="exact"/>
        <w:rPr>
          <w:sz w:val="20"/>
          <w:szCs w:val="20"/>
          <w:color w:val="auto"/>
        </w:rPr>
      </w:pPr>
    </w:p>
    <w:p>
      <w:pPr>
        <w:jc w:val="both"/>
        <w:ind w:right="80" w:firstLine="1259"/>
        <w:spacing w:after="0" w:line="277" w:lineRule="auto"/>
        <w:rPr>
          <w:sz w:val="20"/>
          <w:szCs w:val="20"/>
          <w:color w:val="auto"/>
        </w:rPr>
      </w:pPr>
      <w:r>
        <w:rPr>
          <w:rFonts w:ascii="Arial" w:cs="Arial" w:eastAsia="Arial" w:hAnsi="Arial"/>
          <w:sz w:val="17"/>
          <w:szCs w:val="17"/>
          <w:color w:val="auto"/>
        </w:rPr>
        <w:t xml:space="preserve">25.11 </w:t>
      </w:r>
      <w:r>
        <w:rPr>
          <w:rFonts w:ascii="Arial" w:cs="Arial" w:eastAsia="Arial" w:hAnsi="Arial"/>
          <w:sz w:val="17"/>
          <w:szCs w:val="17"/>
          <w:b w:val="1"/>
          <w:bCs w:val="1"/>
          <w:u w:val="single" w:color="auto"/>
          <w:color w:val="auto"/>
        </w:rPr>
        <w:t>No Merger</w:t>
      </w:r>
      <w:r>
        <w:rPr>
          <w:rFonts w:ascii="Arial" w:cs="Arial" w:eastAsia="Arial" w:hAnsi="Arial"/>
          <w:sz w:val="17"/>
          <w:szCs w:val="17"/>
          <w:color w:val="auto"/>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spacing w:after="0" w:line="162" w:lineRule="exact"/>
        <w:rPr>
          <w:sz w:val="20"/>
          <w:szCs w:val="20"/>
          <w:color w:val="auto"/>
        </w:rPr>
      </w:pPr>
    </w:p>
    <w:p>
      <w:pPr>
        <w:ind w:right="360" w:firstLine="1259"/>
        <w:spacing w:after="0" w:line="297" w:lineRule="auto"/>
        <w:rPr>
          <w:sz w:val="20"/>
          <w:szCs w:val="20"/>
          <w:color w:val="auto"/>
        </w:rPr>
      </w:pPr>
      <w:r>
        <w:rPr>
          <w:rFonts w:ascii="Arial" w:cs="Arial" w:eastAsia="Arial" w:hAnsi="Arial"/>
          <w:sz w:val="17"/>
          <w:szCs w:val="17"/>
          <w:color w:val="auto"/>
        </w:rPr>
        <w:t xml:space="preserve">25.12 </w:t>
      </w:r>
      <w:r>
        <w:rPr>
          <w:rFonts w:ascii="Arial" w:cs="Arial" w:eastAsia="Arial" w:hAnsi="Arial"/>
          <w:sz w:val="17"/>
          <w:szCs w:val="17"/>
          <w:b w:val="1"/>
          <w:bCs w:val="1"/>
          <w:u w:val="single" w:color="auto"/>
          <w:color w:val="auto"/>
        </w:rPr>
        <w:t>No Offer</w:t>
      </w:r>
      <w:r>
        <w:rPr>
          <w:rFonts w:ascii="Arial" w:cs="Arial" w:eastAsia="Arial" w:hAnsi="Arial"/>
          <w:sz w:val="17"/>
          <w:szCs w:val="17"/>
          <w:color w:val="auto"/>
        </w:rPr>
        <w:t>. The submission of this Lease to Tenant shall not be construed as an offer, and Tenant shall not have any rights under this Lease unless Landlord executes a copy of this Lease and delivers it to Tenant.</w:t>
      </w:r>
    </w:p>
    <w:p>
      <w:pPr>
        <w:spacing w:after="0" w:line="145" w:lineRule="exact"/>
        <w:rPr>
          <w:sz w:val="20"/>
          <w:szCs w:val="20"/>
          <w:color w:val="auto"/>
        </w:rPr>
      </w:pPr>
    </w:p>
    <w:p>
      <w:pPr>
        <w:ind w:right="20" w:firstLine="1259"/>
        <w:spacing w:after="0" w:line="307" w:lineRule="auto"/>
        <w:rPr>
          <w:sz w:val="20"/>
          <w:szCs w:val="20"/>
          <w:color w:val="auto"/>
        </w:rPr>
      </w:pPr>
      <w:r>
        <w:rPr>
          <w:rFonts w:ascii="Arial" w:cs="Arial" w:eastAsia="Arial" w:hAnsi="Arial"/>
          <w:sz w:val="15"/>
          <w:szCs w:val="15"/>
          <w:color w:val="auto"/>
        </w:rPr>
        <w:t xml:space="preserve">25.13 </w:t>
      </w:r>
      <w:r>
        <w:rPr>
          <w:rFonts w:ascii="Arial" w:cs="Arial" w:eastAsia="Arial" w:hAnsi="Arial"/>
          <w:sz w:val="15"/>
          <w:szCs w:val="15"/>
          <w:b w:val="1"/>
          <w:bCs w:val="1"/>
          <w:u w:val="single" w:color="auto"/>
          <w:color w:val="auto"/>
        </w:rPr>
        <w:t>Entire Agreement; No Reliance</w:t>
      </w:r>
      <w:r>
        <w:rPr>
          <w:rFonts w:ascii="Arial" w:cs="Arial" w:eastAsia="Arial" w:hAnsi="Arial"/>
          <w:sz w:val="15"/>
          <w:szCs w:val="15"/>
          <w:color w:val="auto"/>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Except as otherwise provided herein, no subsequent alteration, amendment, change or addition to this Lease shall be binding unless in writing and signed by Landlord and Tenant. The normal rule of construction that any ambiguities be resolved against the drafting party shall not apply to the interpretation of this Lease or any exhibits or amendments hereto. Further, Tenant disclaims any reliance upon any and all representations, warranties or agreements not expressly set forth in this Lease.</w:t>
      </w:r>
    </w:p>
    <w:p>
      <w:pPr>
        <w:spacing w:after="0" w:line="144" w:lineRule="exact"/>
        <w:rPr>
          <w:sz w:val="20"/>
          <w:szCs w:val="20"/>
          <w:color w:val="auto"/>
        </w:rPr>
      </w:pPr>
    </w:p>
    <w:p>
      <w:pPr>
        <w:ind w:right="100" w:firstLine="1259"/>
        <w:spacing w:after="0" w:line="267" w:lineRule="auto"/>
        <w:rPr>
          <w:sz w:val="20"/>
          <w:szCs w:val="20"/>
          <w:color w:val="auto"/>
        </w:rPr>
      </w:pPr>
      <w:r>
        <w:rPr>
          <w:rFonts w:ascii="Arial" w:cs="Arial" w:eastAsia="Arial" w:hAnsi="Arial"/>
          <w:sz w:val="17"/>
          <w:szCs w:val="17"/>
          <w:color w:val="auto"/>
        </w:rPr>
        <w:t xml:space="preserve">25.14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TO THE MAXIMUM EXTENT PERMITTED BY LAW, TENANT (ON BEHALF OF ITSELF AND ITS RESPECTIVE SUCCESSORS, ASSIGNS AND SUBTENANTS) AND LANDLORD EACH, AFTER CONSULTATION WITH COUNSEL, KNOWINGLY WAIVES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71" w:lineRule="exact"/>
        <w:rPr>
          <w:sz w:val="20"/>
          <w:szCs w:val="20"/>
          <w:color w:val="auto"/>
        </w:rPr>
      </w:pPr>
    </w:p>
    <w:p>
      <w:pPr>
        <w:ind w:right="320" w:firstLine="1259"/>
        <w:spacing w:after="0" w:line="297"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Lease shall be governed by and construed in accordance with the laws of the State of Texas and venue for all purposes shall be Travis County, Texas.</w:t>
      </w:r>
    </w:p>
    <w:p>
      <w:pPr>
        <w:spacing w:after="0" w:line="145" w:lineRule="exact"/>
        <w:rPr>
          <w:sz w:val="20"/>
          <w:szCs w:val="20"/>
          <w:color w:val="auto"/>
        </w:rPr>
      </w:pPr>
    </w:p>
    <w:p>
      <w:pPr>
        <w:ind w:right="40" w:firstLine="1259"/>
        <w:spacing w:after="0" w:line="311" w:lineRule="auto"/>
        <w:rPr>
          <w:sz w:val="20"/>
          <w:szCs w:val="20"/>
          <w:color w:val="auto"/>
        </w:rPr>
      </w:pPr>
      <w:r>
        <w:rPr>
          <w:rFonts w:ascii="Arial" w:cs="Arial" w:eastAsia="Arial" w:hAnsi="Arial"/>
          <w:sz w:val="15"/>
          <w:szCs w:val="15"/>
          <w:color w:val="auto"/>
        </w:rPr>
        <w:t xml:space="preserve">25.16 </w:t>
      </w:r>
      <w:r>
        <w:rPr>
          <w:rFonts w:ascii="Arial" w:cs="Arial" w:eastAsia="Arial" w:hAnsi="Arial"/>
          <w:sz w:val="15"/>
          <w:szCs w:val="15"/>
          <w:b w:val="1"/>
          <w:bCs w:val="1"/>
          <w:u w:val="single" w:color="auto"/>
          <w:color w:val="auto"/>
        </w:rPr>
        <w:t>Recording</w:t>
      </w:r>
      <w:r>
        <w:rPr>
          <w:rFonts w:ascii="Arial" w:cs="Arial" w:eastAsia="Arial" w:hAnsi="Arial"/>
          <w:sz w:val="15"/>
          <w:szCs w:val="15"/>
          <w:color w:val="auto"/>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is coupled with an interest and is irrevocable. Landlord acknowledges and agrees that Tenant shall be entitled to file a copy of this Lease with the Securities and Exchange Commission (“</w:t>
      </w:r>
      <w:r>
        <w:rPr>
          <w:rFonts w:ascii="Arial" w:cs="Arial" w:eastAsia="Arial" w:hAnsi="Arial"/>
          <w:sz w:val="15"/>
          <w:szCs w:val="15"/>
          <w:b w:val="1"/>
          <w:bCs w:val="1"/>
          <w:u w:val="single" w:color="auto"/>
          <w:color w:val="auto"/>
        </w:rPr>
        <w:t>SEC</w:t>
      </w:r>
      <w:r>
        <w:rPr>
          <w:rFonts w:ascii="Arial" w:cs="Arial" w:eastAsia="Arial" w:hAnsi="Arial"/>
          <w:sz w:val="15"/>
          <w:szCs w:val="15"/>
          <w:color w:val="auto"/>
        </w:rPr>
        <w:t>”), to the extent such filing is required by the SEC, and such filing shall not violate this provision.</w:t>
      </w:r>
    </w:p>
    <w:p>
      <w:pPr>
        <w:spacing w:after="0" w:line="141"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25.17 </w:t>
      </w:r>
      <w:r>
        <w:rPr>
          <w:rFonts w:ascii="Arial" w:cs="Arial" w:eastAsia="Arial" w:hAnsi="Arial"/>
          <w:sz w:val="17"/>
          <w:szCs w:val="17"/>
          <w:b w:val="1"/>
          <w:bCs w:val="1"/>
          <w:u w:val="single" w:color="auto"/>
          <w:color w:val="auto"/>
        </w:rPr>
        <w:t>Water or Mold Notification</w:t>
      </w:r>
      <w:r>
        <w:rPr>
          <w:rFonts w:ascii="Arial" w:cs="Arial" w:eastAsia="Arial" w:hAnsi="Arial"/>
          <w:sz w:val="17"/>
          <w:szCs w:val="17"/>
          <w:color w:val="auto"/>
        </w:rPr>
        <w:t>. To the extent Tenant or its agents or employees discover any water leakage, water damage or mold in or about the Premises or Project, Tenant shall promptly notify Landlord thereof in writing.</w:t>
      </w:r>
    </w:p>
    <w:p>
      <w:pPr>
        <w:sectPr>
          <w:pgSz w:w="11900" w:h="16838" w:orient="portrait"/>
          <w:cols w:equalWidth="0" w:num="1">
            <w:col w:w="11420"/>
          </w:cols>
          <w:pgMar w:left="240" w:top="127" w:right="239" w:bottom="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37" w:name="page238"/>
    <w:bookmarkEnd w:id="237"/>
    <w:p>
      <w:pPr>
        <w:ind w:right="20" w:firstLine="1259"/>
        <w:spacing w:after="0" w:line="270" w:lineRule="auto"/>
        <w:rPr>
          <w:sz w:val="20"/>
          <w:szCs w:val="20"/>
          <w:color w:val="auto"/>
        </w:rPr>
      </w:pPr>
      <w:r>
        <w:rPr>
          <w:rFonts w:ascii="Arial" w:cs="Arial" w:eastAsia="Arial" w:hAnsi="Arial"/>
          <w:sz w:val="17"/>
          <w:szCs w:val="17"/>
          <w:color w:val="auto"/>
        </w:rPr>
        <w:t xml:space="preserve">25.18 </w:t>
      </w:r>
      <w:r>
        <w:rPr>
          <w:rFonts w:ascii="Arial" w:cs="Arial" w:eastAsia="Arial" w:hAnsi="Arial"/>
          <w:sz w:val="17"/>
          <w:szCs w:val="17"/>
          <w:b w:val="1"/>
          <w:bCs w:val="1"/>
          <w:u w:val="single" w:color="auto"/>
          <w:color w:val="auto"/>
        </w:rPr>
        <w:t>Joint and Several Liability</w:t>
      </w:r>
      <w:r>
        <w:rPr>
          <w:rFonts w:ascii="Arial" w:cs="Arial" w:eastAsia="Arial" w:hAnsi="Arial"/>
          <w:sz w:val="17"/>
          <w:szCs w:val="17"/>
          <w:color w:val="auto"/>
        </w:rPr>
        <w:t>. If Tenant consists of more than one party (or if Tenant permits any other party to occupy the Premises),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69" w:lineRule="exact"/>
        <w:rPr>
          <w:sz w:val="20"/>
          <w:szCs w:val="20"/>
          <w:color w:val="auto"/>
        </w:rPr>
      </w:pPr>
    </w:p>
    <w:p>
      <w:pPr>
        <w:ind w:firstLine="1259"/>
        <w:spacing w:after="0" w:line="296" w:lineRule="auto"/>
        <w:rPr>
          <w:sz w:val="20"/>
          <w:szCs w:val="20"/>
          <w:color w:val="auto"/>
        </w:rPr>
      </w:pPr>
      <w:r>
        <w:rPr>
          <w:rFonts w:ascii="Arial" w:cs="Arial" w:eastAsia="Arial" w:hAnsi="Arial"/>
          <w:sz w:val="15"/>
          <w:szCs w:val="15"/>
          <w:color w:val="auto"/>
        </w:rPr>
        <w:t xml:space="preserve">25.19 </w:t>
      </w:r>
      <w:r>
        <w:rPr>
          <w:rFonts w:ascii="Arial" w:cs="Arial" w:eastAsia="Arial" w:hAnsi="Arial"/>
          <w:sz w:val="15"/>
          <w:szCs w:val="15"/>
          <w:b w:val="1"/>
          <w:bCs w:val="1"/>
          <w:u w:val="single" w:color="auto"/>
          <w:color w:val="auto"/>
        </w:rPr>
        <w:t>Financial Reports</w:t>
      </w:r>
      <w:r>
        <w:rPr>
          <w:rFonts w:ascii="Arial" w:cs="Arial" w:eastAsia="Arial" w:hAnsi="Arial"/>
          <w:sz w:val="15"/>
          <w:szCs w:val="15"/>
          <w:color w:val="auto"/>
        </w:rPr>
        <w:t>. If Tenant is an entity that is domiciled in the United States of America, and whose securities are funded through a public securities exchange subject to regulation by the United States of America publicly traded over exchanges based in the United States and whose financial statements are readily available at no cost to Landlord, the terms of this Section 25.19 shall not apply. Otherwise,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Landlord will not disclose any aspect of Tenant’s financial statements that Tenant designates to Landlord as confidential except</w:t>
      </w:r>
    </w:p>
    <w:p>
      <w:pPr>
        <w:ind w:right="80" w:firstLine="5"/>
        <w:spacing w:after="0" w:line="266" w:lineRule="auto"/>
        <w:tabs>
          <w:tab w:leader="none" w:pos="23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Landlord’s Mortgagee or prospective mortgagees or purchasers of the Building, (b) in litigation between Landlord and Tenant, and/or (c) if required by Law or court order. Tenant shall not be required to deliver the financial statements required under this Section 25.19 more than once in any 12-month period unless requested by Landlord’s Mortgagee or a prospective buyer or lender of the Building or an Event of Default occurs.</w:t>
      </w:r>
    </w:p>
    <w:p>
      <w:pPr>
        <w:spacing w:after="0" w:line="171"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25.20 </w:t>
      </w:r>
      <w:r>
        <w:rPr>
          <w:rFonts w:ascii="Arial" w:cs="Arial" w:eastAsia="Arial" w:hAnsi="Arial"/>
          <w:sz w:val="17"/>
          <w:szCs w:val="17"/>
          <w:b w:val="1"/>
          <w:bCs w:val="1"/>
          <w:u w:val="single" w:color="auto"/>
          <w:color w:val="auto"/>
        </w:rPr>
        <w:t>Landlord’s Fees</w:t>
      </w:r>
      <w:r>
        <w:rPr>
          <w:rFonts w:ascii="Arial" w:cs="Arial" w:eastAsia="Arial" w:hAnsi="Arial"/>
          <w:sz w:val="17"/>
          <w:szCs w:val="17"/>
          <w:color w:val="auto"/>
        </w:rPr>
        <w:t>. Whenever Tenant requests Landlord to take any action not required of Landlord hereunder or give any consent required or permitted under this Lease, Tenant will reimburse Landlord for Landlord’s reasonable, out-of-pocket costs payable to third parties and incurred by Landlord in reviewing and taking the proposed action or consent, including reasonable engineers’ or architects’ fees and reasonable attorneys’ fees (including amounts allocated by Landlord to Landlord’s in-house counsel as well as fees and expenses charged by outside counsel engaged by Landlord), within 30 days after Landlord’s delivery to Tenant of a statement of such costs. Tenant will be obligated to make such reimbursement without regard to whether Landlord consents to any such proposed action.</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25.21</w:t>
      </w:r>
      <w:r>
        <w:rPr>
          <w:sz w:val="20"/>
          <w:szCs w:val="20"/>
          <w:color w:val="auto"/>
        </w:rPr>
        <w:tab/>
      </w:r>
      <w:r>
        <w:rPr>
          <w:rFonts w:ascii="Arial" w:cs="Arial" w:eastAsia="Arial" w:hAnsi="Arial"/>
          <w:sz w:val="15"/>
          <w:szCs w:val="15"/>
          <w:b w:val="1"/>
          <w:bCs w:val="1"/>
          <w:u w:val="single" w:color="auto"/>
          <w:color w:val="auto"/>
        </w:rPr>
        <w:t>Telecommunications</w:t>
      </w:r>
      <w:r>
        <w:rPr>
          <w:rFonts w:ascii="Arial" w:cs="Arial" w:eastAsia="Arial" w:hAnsi="Arial"/>
          <w:sz w:val="15"/>
          <w:szCs w:val="15"/>
          <w:color w:val="auto"/>
        </w:rPr>
        <w:t>. Tenant and its telecommunications companies, including local exchange telecommunications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access vendor services companies, shall have no right of access to and within the Building, for the installation and operation of telecommunications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systems, including voice, video, data, Internet, and any other services provided over wire, fiber optic, microwave, wireless, and any other transmission systems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Telecommunications Services</w:t>
      </w:r>
      <w:r>
        <w:rPr>
          <w:rFonts w:ascii="Arial" w:cs="Arial" w:eastAsia="Arial" w:hAnsi="Arial"/>
          <w:sz w:val="16"/>
          <w:szCs w:val="16"/>
          <w:color w:val="auto"/>
        </w:rPr>
        <w:t>”), for part or all of Tenant’s telecommunications within the Building and from the Building to any other location unless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has previously reviewed and approved all plans, specifications and contracts pertaining to telecommunication service entry points, and any documents to which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 is a party or which may encumber the Project, which consent will not be unreasonably withheld. All providers of Telecommunications Services shall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required to comply with the rules and regulations of the Project, applicable Laws and Landlord’s policies and practices for the Project, and shall be required, 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Landlord’s election, to enter into a license agreement with Landlord to confirm and approve items such as, without limitation, the proposed location (and labeling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wiring, cabling, fiber lines, points of demarcation, entry into the Project, insurance requirements and the like. Tenant acknowledges that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shall not be required to provide or arrange for any Telecommunications Services and that Landlord shall have no liability to any Tenant Party in connection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installation, operation or maintenance of Telecommunications Services or any equipment or facilities relating thereto. Tenant, at its cost and for its own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account, shall be solely responsible for obtaining all Telecommunications Services.</w:t>
      </w:r>
    </w:p>
    <w:p>
      <w:pPr>
        <w:spacing w:after="0" w:line="206"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 xml:space="preserve">25.22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to its attorneys, accountants, employees and existing or prospective financial partners, or if required by Law or court order, provided all parties to whom Tenant is permitted hereunder to disclose such terms and conditions are advised by Tenant of the confidential nature of such terms and conditions and agree to maintain the confidentiality thereof (in each case, prior to disclosure). Tenant shall be liable for any disclosures made in violation of this Section by Tenant or by any entity or individual to whom the terms of and conditions of this Lease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were disclosed or made available by Tenant. The consent by Landlord to any disclosures shall not be deemed to be a waiver on the part of Landlord of any prohibition against any future disclosure.</w:t>
      </w:r>
    </w:p>
    <w:p>
      <w:pPr>
        <w:spacing w:after="0" w:line="152"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 xml:space="preserve">25.23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Tenant (if a corporation, partnership or other business entity) hereby represents and warrants to Landlord that Tenant is and will remain during the Term a duly formed and existing entity qualified to do business in the state in which the Premises are located, that Tenant has full right and authority to execute and deliver this Lease, and that each person signing on behalf of Tenant is authorized to do so, and that Tenant’s organizational identification number assigned by the Delaware Secretary of State is 4198998.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spacing w:after="0" w:line="173"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25.24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The term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means any substance, material, or waste which is now or hereafter classified or considered to be hazardous, toxic, or dangerous under any Law relating to pollution or the protection or regulation of human health, natural resources or the environment, or poses or threatens to pose a hazard to the health or safety of persons on the Premises or in the Project. No Tenant Party shall use, generate, store or Release (defined below), or permit the use, generation, storage or Release of Hazardous Materials on or about the Premises or the Project except in a manner and quantity necessary for the ordinary performance of Tenant’s business, and then in compliance with all Laws and in a reasonable and prudent manner. As used herein,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means depositing, spilling, leaking, pumping, pouring, emitting, emptying, discharging, injecting, escaping, leaching, dumping or disposing. If any Tenant Party breaches its obligations under this Section 25.24, Landlord may immediately take any and all action reasonably appropriate to remedy the same, including taking all appropriate action to clean up or remediate any contamination resulting from such Tenant Party’s use, generation, storage or disposal of Hazardous Materials. Tenant shall defend, indemnify, and hold harmless Landlord and its representatives and agents from and against any and all claims, demands, liabilities, causes of action, suits, judgments, damages and expenses (including reasonable attorneys’ fees and cost of clean up and remediation) arising from any Tenant Party’s failure to comply with the provisions of this Section 25.24. This indemnity provision is intended to allocate responsibility between Landlord and Tenant under environmental Laws and shall survive termination or expiration of this Lease.</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25.25</w:t>
      </w:r>
      <w:r>
        <w:rPr>
          <w:sz w:val="20"/>
          <w:szCs w:val="20"/>
          <w:color w:val="auto"/>
        </w:rPr>
        <w:tab/>
      </w:r>
      <w:r>
        <w:rPr>
          <w:rFonts w:ascii="Arial" w:cs="Arial" w:eastAsia="Arial" w:hAnsi="Arial"/>
          <w:sz w:val="15"/>
          <w:szCs w:val="15"/>
          <w:b w:val="1"/>
          <w:bCs w:val="1"/>
          <w:u w:val="single" w:color="auto"/>
          <w:color w:val="auto"/>
        </w:rPr>
        <w:t>List of Exhibits</w:t>
      </w:r>
      <w:r>
        <w:rPr>
          <w:rFonts w:ascii="Arial" w:cs="Arial" w:eastAsia="Arial" w:hAnsi="Arial"/>
          <w:sz w:val="15"/>
          <w:szCs w:val="15"/>
          <w:color w:val="auto"/>
        </w:rPr>
        <w:t>. All exhibits and attachments attached hereto are incorporated herein by this reference.</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A</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Outline of Premises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B</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Description of the Land</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C</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Building Rules and Regulations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D</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Tenant Finish-Work: Landlord Builds to Plans</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E</w:t>
            </w:r>
          </w:p>
        </w:tc>
        <w:tc>
          <w:tcPr>
            <w:tcW w:w="4080" w:type="dxa"/>
            <w:vAlign w:val="bottom"/>
            <w:gridSpan w:val="2"/>
          </w:tcPr>
          <w:p>
            <w:pPr>
              <w:ind w:left="180"/>
              <w:spacing w:after="0"/>
              <w:rPr>
                <w:sz w:val="20"/>
                <w:szCs w:val="20"/>
                <w:color w:val="auto"/>
              </w:rPr>
            </w:pPr>
            <w:r>
              <w:rPr>
                <w:rFonts w:ascii="Arial" w:cs="Arial" w:eastAsia="Arial" w:hAnsi="Arial"/>
                <w:sz w:val="17"/>
                <w:szCs w:val="17"/>
                <w:color w:val="auto"/>
                <w:w w:val="95"/>
              </w:rPr>
              <w:t>- Form of Confirmation of Commencement Date Letter</w:t>
            </w:r>
          </w:p>
        </w:tc>
      </w:tr>
    </w:tbl>
    <w:p>
      <w:pPr>
        <w:sectPr>
          <w:pgSz w:w="11900" w:h="16838" w:orient="portrait"/>
          <w:cols w:equalWidth="0" w:num="1">
            <w:col w:w="11420"/>
          </w:cols>
          <w:pgMar w:left="240" w:top="567" w:right="239" w:bottom="0" w:gutter="0" w:footer="0" w:header="0"/>
        </w:sectPr>
      </w:pPr>
    </w:p>
    <w:bookmarkStart w:id="238" w:name="page239"/>
    <w:bookmarkEnd w:id="238"/>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F</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Form of Tenant Estoppel Certificate</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G</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Parking</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H</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 Renewal Option</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I</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Form of Subordination, Non-Disturbance and Attornment Agreement</w:t>
            </w:r>
          </w:p>
        </w:tc>
      </w:tr>
    </w:tbl>
    <w:p>
      <w:pPr>
        <w:spacing w:after="0" w:line="192" w:lineRule="exact"/>
        <w:rPr>
          <w:sz w:val="20"/>
          <w:szCs w:val="20"/>
          <w:color w:val="auto"/>
        </w:rPr>
      </w:pPr>
    </w:p>
    <w:p>
      <w:pPr>
        <w:ind w:right="100" w:firstLine="1259"/>
        <w:spacing w:after="0" w:line="277" w:lineRule="auto"/>
        <w:rPr>
          <w:sz w:val="20"/>
          <w:szCs w:val="20"/>
          <w:color w:val="auto"/>
        </w:rPr>
      </w:pPr>
      <w:r>
        <w:rPr>
          <w:rFonts w:ascii="Arial" w:cs="Arial" w:eastAsia="Arial" w:hAnsi="Arial"/>
          <w:sz w:val="17"/>
          <w:szCs w:val="17"/>
          <w:color w:val="auto"/>
        </w:rPr>
        <w:t xml:space="preserve">25.26 </w:t>
      </w:r>
      <w:r>
        <w:rPr>
          <w:rFonts w:ascii="Arial" w:cs="Arial" w:eastAsia="Arial" w:hAnsi="Arial"/>
          <w:sz w:val="17"/>
          <w:szCs w:val="17"/>
          <w:b w:val="1"/>
          <w:bCs w:val="1"/>
          <w:u w:val="single" w:color="auto"/>
          <w:color w:val="auto"/>
        </w:rPr>
        <w:t>Determination of Charges</w:t>
      </w:r>
      <w:r>
        <w:rPr>
          <w:rFonts w:ascii="Arial" w:cs="Arial" w:eastAsia="Arial" w:hAnsi="Arial"/>
          <w:sz w:val="17"/>
          <w:szCs w:val="17"/>
          <w:color w:val="auto"/>
        </w:rPr>
        <w:t>. Landlord and Tenant agree that each provision of this Lease for determining charges and amounts payable by Tenant (including provisions regarding Additional Rent) is commercially reasonable and, as to each such charge or amount, constitutes a statement of the amount of the charge or a method by which the charge is to be computed for purposes of Section 93.012 of the Texas Property Code.</w:t>
      </w:r>
    </w:p>
    <w:p>
      <w:pPr>
        <w:spacing w:after="0" w:line="162" w:lineRule="exact"/>
        <w:rPr>
          <w:sz w:val="20"/>
          <w:szCs w:val="20"/>
          <w:color w:val="auto"/>
        </w:rPr>
      </w:pPr>
    </w:p>
    <w:p>
      <w:pPr>
        <w:ind w:right="220" w:firstLine="1259"/>
        <w:spacing w:after="0" w:line="285" w:lineRule="auto"/>
        <w:rPr>
          <w:sz w:val="20"/>
          <w:szCs w:val="20"/>
          <w:color w:val="auto"/>
        </w:rPr>
      </w:pPr>
      <w:r>
        <w:rPr>
          <w:rFonts w:ascii="Arial" w:cs="Arial" w:eastAsia="Arial" w:hAnsi="Arial"/>
          <w:sz w:val="16"/>
          <w:szCs w:val="16"/>
          <w:color w:val="auto"/>
        </w:rPr>
        <w:t xml:space="preserve">25.27 </w:t>
      </w:r>
      <w:r>
        <w:rPr>
          <w:rFonts w:ascii="Arial" w:cs="Arial" w:eastAsia="Arial" w:hAnsi="Arial"/>
          <w:sz w:val="16"/>
          <w:szCs w:val="16"/>
          <w:b w:val="1"/>
          <w:bCs w:val="1"/>
          <w:u w:val="single" w:color="auto"/>
          <w:color w:val="auto"/>
        </w:rPr>
        <w:t>Prohibited Persons and Transactions</w:t>
      </w:r>
      <w:r>
        <w:rPr>
          <w:rFonts w:ascii="Arial" w:cs="Arial" w:eastAsia="Arial" w:hAnsi="Arial"/>
          <w:sz w:val="16"/>
          <w:szCs w:val="16"/>
          <w:color w:val="auto"/>
        </w:rPr>
        <w:t>. Tenant represents and warrants that neither Tenant nor, to the extent of Tenant’s actual knowledge without duty of inquiry,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of the Department of the Treasury (including those named on OFAC’s Specially Designated Nationals and Blocked Persons List) or under any statute, executive order (including the September 24, 2001, Executive Order Blocking Property and Prohibiting Transactions with Persons Who Commit, Threaten to Commit, or Support Terrorism),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color w:val="auto"/>
        </w:rPr>
        <w:t>other governmental action and is not and will not Transfer this Lease to, contract with or otherwise engage in any dealings or transactions or be otherwise associated with such persons or entities. For purposes hereof, “actual knowledge” shall mean the actual present conscious awareness of Mark Spring, Chief Financial Officer, as of the date of this Lease, but without any personal liability on the part of Mark Spring.</w:t>
      </w:r>
    </w:p>
    <w:p>
      <w:pPr>
        <w:spacing w:after="0" w:line="166"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25.28 </w:t>
      </w:r>
      <w:r>
        <w:rPr>
          <w:rFonts w:ascii="Arial" w:cs="Arial" w:eastAsia="Arial" w:hAnsi="Arial"/>
          <w:sz w:val="17"/>
          <w:szCs w:val="17"/>
          <w:b w:val="1"/>
          <w:bCs w:val="1"/>
          <w:u w:val="single" w:color="auto"/>
          <w:color w:val="auto"/>
        </w:rPr>
        <w:t>Waiver of Consumer Rights</w:t>
      </w:r>
      <w:r>
        <w:rPr>
          <w:rFonts w:ascii="Arial" w:cs="Arial" w:eastAsia="Arial" w:hAnsi="Arial"/>
          <w:sz w:val="17"/>
          <w:szCs w:val="17"/>
          <w:color w:val="auto"/>
        </w:rPr>
        <w:t xml:space="preserve">. Tenant hereby waives all its rights under the Texas Deceptive Trade Practices - Consumer Protection Act, Section 17.41 </w:t>
      </w:r>
      <w:r>
        <w:rPr>
          <w:rFonts w:ascii="Arial" w:cs="Arial" w:eastAsia="Arial" w:hAnsi="Arial"/>
          <w:sz w:val="17"/>
          <w:szCs w:val="17"/>
          <w:i w:val="1"/>
          <w:iCs w:val="1"/>
          <w:color w:val="auto"/>
        </w:rPr>
        <w:t>et seq</w:t>
      </w:r>
      <w:r>
        <w:rPr>
          <w:rFonts w:ascii="Arial" w:cs="Arial" w:eastAsia="Arial" w:hAnsi="Arial"/>
          <w:sz w:val="17"/>
          <w:szCs w:val="17"/>
          <w:color w:val="auto"/>
        </w:rPr>
        <w:t>. of the Texas Business and Commerce Code, a law that gives consumers special rights and protections. After consultation with an attorney of Tenant’s own selection, Tenant voluntarily adopts this waiver.</w:t>
      </w:r>
    </w:p>
    <w:p>
      <w:pPr>
        <w:spacing w:after="0" w:line="162" w:lineRule="exact"/>
        <w:rPr>
          <w:sz w:val="20"/>
          <w:szCs w:val="20"/>
          <w:color w:val="auto"/>
        </w:rPr>
      </w:pPr>
    </w:p>
    <w:p>
      <w:pPr>
        <w:ind w:left="1260" w:hanging="626"/>
        <w:spacing w:after="0"/>
        <w:tabs>
          <w:tab w:leader="none" w:pos="1260" w:val="left"/>
        </w:tabs>
        <w:numPr>
          <w:ilvl w:val="0"/>
          <w:numId w:val="216"/>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Provisions</w:t>
      </w:r>
      <w:r>
        <w:rPr>
          <w:rFonts w:ascii="Arial" w:cs="Arial" w:eastAsia="Arial" w:hAnsi="Arial"/>
          <w:sz w:val="17"/>
          <w:szCs w:val="17"/>
          <w:color w:val="auto"/>
        </w:rPr>
        <w:t>.</w:t>
      </w:r>
    </w:p>
    <w:p>
      <w:pPr>
        <w:spacing w:after="0" w:line="224"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Signage</w:t>
      </w:r>
      <w:r>
        <w:rPr>
          <w:rFonts w:ascii="Arial" w:cs="Arial" w:eastAsia="Arial" w:hAnsi="Arial"/>
          <w:sz w:val="17"/>
          <w:szCs w:val="17"/>
          <w:color w:val="auto"/>
        </w:rPr>
        <w:t>. Landlord shall install, as part of the Work and at Landlord’s expense, Building-standard signage outside of the Premises and include Tenant’s information in any Building directory located in the lobby of the Building.</w:t>
      </w:r>
    </w:p>
    <w:p>
      <w:pPr>
        <w:spacing w:after="0" w:line="145"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b w:val="1"/>
          <w:bCs w:val="1"/>
          <w:u w:val="single" w:color="auto"/>
          <w:color w:val="auto"/>
        </w:rPr>
        <w:t>Early Entry by Tenant</w:t>
      </w:r>
      <w:r>
        <w:rPr>
          <w:rFonts w:ascii="Arial" w:cs="Arial" w:eastAsia="Arial" w:hAnsi="Arial"/>
          <w:sz w:val="17"/>
          <w:szCs w:val="17"/>
          <w:color w:val="auto"/>
        </w:rPr>
        <w:t>. Tenant may enter the Premises up to 15 days before the Premises are Substantially Completed with Landlord’s prior consent (which shall not be unreasonably withheld) solely to install Tenant’s telecommunications wiring and cabling and furniture, fixtures and equipment, provided that (a) Landlord is given prior written notice of any such entry, (b) such entry shall be coordinated with Landlord and shall not interfere with the Work, and (c) Tenant shall deliver to Landlord evidence that the insurance required under Section 11 of this Lease has been obtained. Any such entry shall be on the terms of this Lease, but no Basic Rent or Additional Rent shall accrue during the period that Tenant so enters the Premises prior to Substantial Completion of the Premises. Tenant shall conduct its activities therein so as not to interfere with the Work, and shall do so at its risk and expense. If, in Landlord’s reasonable judgment, Tenant’s activities therein interfere with the Work, Landlord may terminate Tenant’s right to enter the Premises before Substantial Completion of the Premises.</w:t>
      </w:r>
    </w:p>
    <w:p>
      <w:pPr>
        <w:spacing w:after="0" w:line="174"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5"/>
          <w:szCs w:val="15"/>
          <w:b w:val="1"/>
          <w:bCs w:val="1"/>
          <w:u w:val="single" w:color="auto"/>
          <w:color w:val="auto"/>
        </w:rPr>
        <w:t>Rooftop Equipment</w:t>
      </w:r>
      <w:r>
        <w:rPr>
          <w:rFonts w:ascii="Arial" w:cs="Arial" w:eastAsia="Arial" w:hAnsi="Arial"/>
          <w:sz w:val="15"/>
          <w:szCs w:val="15"/>
          <w:color w:val="auto"/>
        </w:rPr>
        <w:t>.</w:t>
      </w:r>
    </w:p>
    <w:p>
      <w:pPr>
        <w:spacing w:after="0" w:line="224" w:lineRule="exact"/>
        <w:rPr>
          <w:sz w:val="20"/>
          <w:szCs w:val="20"/>
          <w:color w:val="auto"/>
        </w:rPr>
      </w:pPr>
    </w:p>
    <w:p>
      <w:pPr>
        <w:ind w:left="640" w:right="140" w:firstLine="1258"/>
        <w:spacing w:after="0" w:line="270" w:lineRule="auto"/>
        <w:rPr>
          <w:sz w:val="20"/>
          <w:szCs w:val="20"/>
          <w:color w:val="auto"/>
        </w:rPr>
      </w:pPr>
      <w:r>
        <w:rPr>
          <w:rFonts w:ascii="Arial" w:cs="Arial" w:eastAsia="Arial" w:hAnsi="Arial"/>
          <w:sz w:val="17"/>
          <w:szCs w:val="17"/>
          <w:color w:val="auto"/>
        </w:rPr>
        <w:t xml:space="preserve">26.3.1 </w:t>
      </w:r>
      <w:r>
        <w:rPr>
          <w:rFonts w:ascii="Arial" w:cs="Arial" w:eastAsia="Arial" w:hAnsi="Arial"/>
          <w:sz w:val="17"/>
          <w:szCs w:val="17"/>
          <w:b w:val="1"/>
          <w:bCs w:val="1"/>
          <w:u w:val="single" w:color="auto"/>
          <w:color w:val="auto"/>
        </w:rPr>
        <w:t>Right to Install Rooftop Equipment</w:t>
      </w:r>
      <w:r>
        <w:rPr>
          <w:rFonts w:ascii="Arial" w:cs="Arial" w:eastAsia="Arial" w:hAnsi="Arial"/>
          <w:sz w:val="17"/>
          <w:szCs w:val="17"/>
          <w:color w:val="auto"/>
        </w:rPr>
        <w:t>. Provided Tenant complies with the terms of this Section 26.3, during the initial Term Tenant may, at its risk and expense, install, operate and maintain a satellite dish/microwave antenna and related equipment and wiring and/or one supplemental HVAC system reasonably necessary for Tenant’s business operations (collectively,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on the roof of the Building at a location approved by Landlord.</w:t>
      </w:r>
    </w:p>
    <w:p>
      <w:pPr>
        <w:spacing w:after="0" w:line="169" w:lineRule="exact"/>
        <w:rPr>
          <w:sz w:val="20"/>
          <w:szCs w:val="20"/>
          <w:color w:val="auto"/>
        </w:rPr>
      </w:pPr>
    </w:p>
    <w:p>
      <w:pPr>
        <w:ind w:left="640" w:firstLine="1258"/>
        <w:spacing w:after="0" w:line="298" w:lineRule="auto"/>
        <w:rPr>
          <w:sz w:val="20"/>
          <w:szCs w:val="20"/>
          <w:color w:val="auto"/>
        </w:rPr>
      </w:pPr>
      <w:r>
        <w:rPr>
          <w:rFonts w:ascii="Arial" w:cs="Arial" w:eastAsia="Arial" w:hAnsi="Arial"/>
          <w:sz w:val="15"/>
          <w:szCs w:val="15"/>
          <w:color w:val="auto"/>
        </w:rPr>
        <w:t xml:space="preserve">26.3.2 </w:t>
      </w:r>
      <w:r>
        <w:rPr>
          <w:rFonts w:ascii="Arial" w:cs="Arial" w:eastAsia="Arial" w:hAnsi="Arial"/>
          <w:sz w:val="15"/>
          <w:szCs w:val="15"/>
          <w:b w:val="1"/>
          <w:bCs w:val="1"/>
          <w:u w:val="single" w:color="auto"/>
          <w:color w:val="auto"/>
        </w:rPr>
        <w:t>Delivery of Plans. Specifications and Permits</w:t>
      </w:r>
      <w:r>
        <w:rPr>
          <w:rFonts w:ascii="Arial" w:cs="Arial" w:eastAsia="Arial" w:hAnsi="Arial"/>
          <w:sz w:val="15"/>
          <w:szCs w:val="15"/>
          <w:color w:val="auto"/>
        </w:rPr>
        <w:t>. Before installing the Rooftop Equipment, Tenant shall submit to Landlord for its approval (which approval shall be given or withheld by Landlord using the same standards described in Section 8.1) (a) construction ready plans and specifications prepared by a registered professional engineer in the State of Texas reasonably approved by Landlord which (1) specify in detail the design, location, size, model, weight, method of installation, method of screening and frequency of the Rooftop Equipment and (2) are sufficiently detailed to allow for the installation of the Rooftop Equipment in a good and workmanlike manner and in accordance with all Laws and (b) all necessary consents, approvals, permits or registrations, including architectural guidelines in effect for the area in which the Building is located as they may be amended from time to time, required for the installation, maintenance, use or operation of the Rooftop Equipment. Notwithstanding anything to the contrary contained herein, Landlord may withhold its consent to the installation of the Rooftop Equipment if such installation would require any penetration of the Building’s roof. Landlord may, as a condition to approving installation of the Rooftop Equipment, require that Tenant screen the Rooftop Equipment with a parapet wall or other screening device acceptable to Landlord. If the Rooftop Equipment uses any electricity, Tenant shall pay for the cost to purchase and install electrical submeter equipment and wiring, and thereafter Tenant shall pay to Landlord the monthly electrical submeter charges throughout the Term. Landlord’s approval of any such plans and specifications shall not constitute a representation or warranty by Landlord that such plans and specifications comply with sound architectural guidelines and/or engineering practices or will comply with all applicable Laws; such compliance shall be the sole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520"/>
        <w:spacing w:after="0" w:line="289" w:lineRule="auto"/>
        <w:rPr>
          <w:sz w:val="20"/>
          <w:szCs w:val="20"/>
          <w:color w:val="auto"/>
        </w:rPr>
      </w:pPr>
      <w:r>
        <w:rPr>
          <w:rFonts w:ascii="Arial" w:cs="Arial" w:eastAsia="Arial" w:hAnsi="Arial"/>
          <w:sz w:val="17"/>
          <w:szCs w:val="17"/>
          <w:color w:val="auto"/>
        </w:rPr>
        <w:t>responsibility of Tenant. Tenant shall maintain all permits necessary for the maintenance and operation of the Rooftop Equipment while it is on the Building, and all such permits shall be in Tenant’s name.</w:t>
      </w:r>
    </w:p>
    <w:p>
      <w:pPr>
        <w:spacing w:after="0" w:line="152" w:lineRule="exact"/>
        <w:rPr>
          <w:sz w:val="20"/>
          <w:szCs w:val="20"/>
          <w:color w:val="auto"/>
        </w:rPr>
      </w:pPr>
    </w:p>
    <w:p>
      <w:pPr>
        <w:ind w:left="640" w:right="80" w:firstLine="1258"/>
        <w:spacing w:after="0" w:line="270" w:lineRule="auto"/>
        <w:rPr>
          <w:sz w:val="20"/>
          <w:szCs w:val="20"/>
          <w:color w:val="auto"/>
        </w:rPr>
      </w:pPr>
      <w:r>
        <w:rPr>
          <w:rFonts w:ascii="Arial" w:cs="Arial" w:eastAsia="Arial" w:hAnsi="Arial"/>
          <w:sz w:val="17"/>
          <w:szCs w:val="17"/>
          <w:color w:val="auto"/>
        </w:rPr>
        <w:t xml:space="preserve">26.3.3 </w:t>
      </w:r>
      <w:r>
        <w:rPr>
          <w:rFonts w:ascii="Arial" w:cs="Arial" w:eastAsia="Arial" w:hAnsi="Arial"/>
          <w:sz w:val="17"/>
          <w:szCs w:val="17"/>
          <w:b w:val="1"/>
          <w:bCs w:val="1"/>
          <w:u w:val="single" w:color="auto"/>
          <w:color w:val="auto"/>
        </w:rPr>
        <w:t>Tenant’s Installation of Rooftop Equipment</w:t>
      </w:r>
      <w:r>
        <w:rPr>
          <w:rFonts w:ascii="Arial" w:cs="Arial" w:eastAsia="Arial" w:hAnsi="Arial"/>
          <w:sz w:val="17"/>
          <w:szCs w:val="17"/>
          <w:b w:val="1"/>
          <w:bCs w:val="1"/>
          <w:color w:val="auto"/>
        </w:rPr>
        <w:t>.</w:t>
      </w:r>
      <w:r>
        <w:rPr>
          <w:rFonts w:ascii="Arial" w:cs="Arial" w:eastAsia="Arial" w:hAnsi="Arial"/>
          <w:sz w:val="17"/>
          <w:szCs w:val="17"/>
          <w:color w:val="auto"/>
        </w:rPr>
        <w:t xml:space="preserve"> If Landlord approves such plans, Tenant shall install (in a good and workmanlike manner) the Rooftop Equipment in accordance with the approved plans and specifications therefor and all Laws (including all applicable permits and consents issued with respect to the Rooftop Equipment) in a manner so as not to damage the Building or interfere with the use of any portion of the Project while such installation is taking place.</w:t>
      </w:r>
    </w:p>
    <w:p>
      <w:pPr>
        <w:spacing w:after="0" w:line="169" w:lineRule="exact"/>
        <w:rPr>
          <w:sz w:val="20"/>
          <w:szCs w:val="20"/>
          <w:color w:val="auto"/>
        </w:rPr>
      </w:pPr>
    </w:p>
    <w:p>
      <w:pPr>
        <w:ind w:left="640" w:right="180" w:firstLine="1258"/>
        <w:spacing w:after="0" w:line="317" w:lineRule="auto"/>
        <w:rPr>
          <w:sz w:val="20"/>
          <w:szCs w:val="20"/>
          <w:color w:val="auto"/>
        </w:rPr>
      </w:pPr>
      <w:r>
        <w:rPr>
          <w:rFonts w:ascii="Arial" w:cs="Arial" w:eastAsia="Arial" w:hAnsi="Arial"/>
          <w:sz w:val="15"/>
          <w:szCs w:val="15"/>
          <w:color w:val="auto"/>
        </w:rPr>
        <w:t xml:space="preserve">26.3.4 </w:t>
      </w:r>
      <w:r>
        <w:rPr>
          <w:rFonts w:ascii="Arial" w:cs="Arial" w:eastAsia="Arial" w:hAnsi="Arial"/>
          <w:sz w:val="15"/>
          <w:szCs w:val="15"/>
          <w:b w:val="1"/>
          <w:bCs w:val="1"/>
          <w:u w:val="single" w:color="auto"/>
          <w:color w:val="auto"/>
        </w:rPr>
        <w:t>Tenant’s Operation and Maintenance of Rooftop Equipment</w:t>
      </w:r>
      <w:r>
        <w:rPr>
          <w:rFonts w:ascii="Arial" w:cs="Arial" w:eastAsia="Arial" w:hAnsi="Arial"/>
          <w:sz w:val="15"/>
          <w:szCs w:val="15"/>
          <w:b w:val="1"/>
          <w:bCs w:val="1"/>
          <w:color w:val="auto"/>
        </w:rPr>
        <w:t>.</w:t>
      </w:r>
      <w:r>
        <w:rPr>
          <w:rFonts w:ascii="Arial" w:cs="Arial" w:eastAsia="Arial" w:hAnsi="Arial"/>
          <w:sz w:val="15"/>
          <w:szCs w:val="15"/>
          <w:color w:val="auto"/>
        </w:rPr>
        <w:t xml:space="preserve"> Tenant shall operate and maintain the Rooftop Equipment and the screening therefor in good repair and condition, in accordance with all Laws, all manufacturer’s suggested maintenance programs, the approved plans and specifications therefor and in such a manner so as not to unreasonably interfere with any other equipment or systems (including other supplemental HVAC system, satellite, antennae, or other transmission facility) in the Project, all at Tenant’s sole cost and expense. All work relating to</w:t>
      </w:r>
    </w:p>
    <w:p>
      <w:pPr>
        <w:sectPr>
          <w:pgSz w:w="11900" w:h="16860" w:orient="portrait"/>
          <w:cols w:equalWidth="0" w:num="1">
            <w:col w:w="11420"/>
          </w:cols>
          <w:pgMar w:left="240" w:top="127" w:right="239" w:bottom="0" w:gutter="0" w:footer="0" w:header="0"/>
        </w:sectPr>
      </w:pPr>
    </w:p>
    <w:bookmarkStart w:id="239" w:name="page240"/>
    <w:bookmarkEnd w:id="239"/>
    <w:p>
      <w:pPr>
        <w:ind w:left="640" w:right="220"/>
        <w:spacing w:after="0" w:line="298" w:lineRule="auto"/>
        <w:rPr>
          <w:sz w:val="20"/>
          <w:szCs w:val="20"/>
          <w:color w:val="auto"/>
        </w:rPr>
      </w:pPr>
      <w:r>
        <w:rPr>
          <w:rFonts w:ascii="Arial" w:cs="Arial" w:eastAsia="Arial" w:hAnsi="Arial"/>
          <w:sz w:val="16"/>
          <w:szCs w:val="16"/>
          <w:color w:val="auto"/>
        </w:rPr>
        <w:t>the Rooftop Equipment shall, at Tenant’s expense, be coordinated with Landlord’s roofing contractor so as not to affect any warranty for the Building’s roof. Tenant shall maintain insurance in respect thereof reasonably satisfactory to Landlord, listing Landlord, Landlord’s Mortgagee and the Building manager, as additional insureds. Tenant’s access to the Building’s roof shall be coordinated with Landlord’s property manager.</w:t>
      </w:r>
    </w:p>
    <w:p>
      <w:pPr>
        <w:spacing w:after="0" w:line="148"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26.3.5 </w:t>
      </w:r>
      <w:r>
        <w:rPr>
          <w:rFonts w:ascii="Arial" w:cs="Arial" w:eastAsia="Arial" w:hAnsi="Arial"/>
          <w:sz w:val="16"/>
          <w:szCs w:val="16"/>
          <w:b w:val="1"/>
          <w:bCs w:val="1"/>
          <w:u w:val="single" w:color="auto"/>
          <w:color w:val="auto"/>
        </w:rPr>
        <w:t>Relocation of Rooftop Equipment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may not relocate any of the Rooftop Equipment without the prior written consent of Landlord. Tenant agrees that, upon at least 30 days’ prior written notice to Tenant from Landlord that Landlord requires Tenant to relocate any Rooftop Equipment in order to accommodate roof repair or replacement (which notice may be given at any time and from time to time during the Term), Tenant shall relocate such Rooftop Equipment (as requested by Landlord) from the then existing location to any substitute location reasonably designated by Landlord on the Building. Tenant shall complete such relocation prior to the expiration of such 30-day period and upon the expiration of such 30-day period Tenant shall have no further right to use or occupy the prior location until the completion of such roof repair or replacement, at which time Landlord may notify Tenant to relocate back to the original location and Tenant will perform such relocation as soon as reasonably practicable after such notice. Tenant shall repair all damage to the Building caused by the installation, maintenance or removal of the Rooftop Equipment at any such prior rooftop locations. If Landlord exercises its right to cause Tenant to relocate all or a portion of the Rooftop Equipment pursuant this Section 26.3.5, Landlord shall use its commercially reasonable efforts to minimize any disruption to Tenant’s operations as a result thereof, and Landlord and Tenant shall equally share the costs of relocating the Rooftop Equipment and restoring the roof as required hereunder.</w:t>
      </w:r>
    </w:p>
    <w:p>
      <w:pPr>
        <w:spacing w:after="0" w:line="164" w:lineRule="exact"/>
        <w:rPr>
          <w:sz w:val="20"/>
          <w:szCs w:val="20"/>
          <w:color w:val="auto"/>
        </w:rPr>
      </w:pPr>
    </w:p>
    <w:p>
      <w:pPr>
        <w:ind w:left="640" w:firstLine="1258"/>
        <w:spacing w:after="0" w:line="278" w:lineRule="auto"/>
        <w:rPr>
          <w:sz w:val="20"/>
          <w:szCs w:val="20"/>
          <w:color w:val="auto"/>
        </w:rPr>
      </w:pPr>
      <w:r>
        <w:rPr>
          <w:rFonts w:ascii="Arial" w:cs="Arial" w:eastAsia="Arial" w:hAnsi="Arial"/>
          <w:sz w:val="16"/>
          <w:szCs w:val="16"/>
          <w:color w:val="auto"/>
        </w:rPr>
        <w:t xml:space="preserve">26.3.6 </w:t>
      </w:r>
      <w:r>
        <w:rPr>
          <w:rFonts w:ascii="Arial" w:cs="Arial" w:eastAsia="Arial" w:hAnsi="Arial"/>
          <w:sz w:val="16"/>
          <w:szCs w:val="16"/>
          <w:b w:val="1"/>
          <w:bCs w:val="1"/>
          <w:u w:val="single" w:color="auto"/>
          <w:color w:val="auto"/>
        </w:rPr>
        <w:t>Rooftop Equipment Removal Obligations; Landlord’s Rights</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the expiration of the Term or Tenant’s vacating the Premises for more than 30 days, or within five business days following the termination of Tenant’s right to possess the Premises or the early termination of this Lease following an Event of Default, Tenant shall, at its risk and expense, remove the Rooftop Equipment. If Tenant fails to do so, Landlord may remove the Rooftop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Rooftop Equipment in good repair and condition, normal wear and tear excepted (damages from Casualty and condemnation excepted), and deliver to Landlord a bill of sale for the Rooftop Equipment and all operating manuals, keys and similar items with respect to the Rooftop Equipment, and thereafter the Rooftop Equipment shall be Landlord’s property. Tenant shall repair any damage to the Building caused by or relating to the Rooftop Equipment, including that which is caused by its installation, maintenance, use, or removal, and Tenant shall restore the area of the roof on which Tenant’s Rooftop Equipment was located to its condition as of the Lease Date. If Tenant fails to do so within 30 days after Landlord’s written request, Landlord may perform such work and Tenant shall pay to Landlord all reasonable costs incurred in connection therewith, plus an administrative fee of 15% of such costs, within 30 days after Landlord’s written request therefor.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20" w:firstLine="1258"/>
        <w:spacing w:after="0" w:line="285" w:lineRule="auto"/>
        <w:rPr>
          <w:sz w:val="20"/>
          <w:szCs w:val="20"/>
          <w:color w:val="auto"/>
        </w:rPr>
      </w:pPr>
      <w:r>
        <w:rPr>
          <w:rFonts w:ascii="Arial" w:cs="Arial" w:eastAsia="Arial" w:hAnsi="Arial"/>
          <w:sz w:val="16"/>
          <w:szCs w:val="16"/>
          <w:color w:val="auto"/>
        </w:rPr>
        <w:t xml:space="preserve">26.3.7 </w:t>
      </w:r>
      <w:r>
        <w:rPr>
          <w:rFonts w:ascii="Arial" w:cs="Arial" w:eastAsia="Arial" w:hAnsi="Arial"/>
          <w:sz w:val="16"/>
          <w:szCs w:val="16"/>
          <w:b w:val="1"/>
          <w:bCs w:val="1"/>
          <w:u w:val="single" w:color="auto"/>
          <w:color w:val="auto"/>
        </w:rPr>
        <w:t>Disclaimer</w:t>
      </w:r>
      <w:r>
        <w:rPr>
          <w:rFonts w:ascii="Arial" w:cs="Arial" w:eastAsia="Arial" w:hAnsi="Arial"/>
          <w:sz w:val="16"/>
          <w:szCs w:val="16"/>
          <w:b w:val="1"/>
          <w:bCs w:val="1"/>
          <w:color w:val="auto"/>
        </w:rPr>
        <w:t>.</w:t>
      </w:r>
      <w:r>
        <w:rPr>
          <w:rFonts w:ascii="Arial" w:cs="Arial" w:eastAsia="Arial" w:hAnsi="Arial"/>
          <w:sz w:val="16"/>
          <w:szCs w:val="16"/>
          <w:color w:val="auto"/>
        </w:rPr>
        <w:t xml:space="preserve"> For all purposes under this Lease, the Rooftop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w:t>
      </w:r>
    </w:p>
    <w:p>
      <w:pPr>
        <w:ind w:left="640" w:right="180"/>
        <w:spacing w:after="0" w:line="261" w:lineRule="auto"/>
        <w:rPr>
          <w:sz w:val="20"/>
          <w:szCs w:val="20"/>
          <w:color w:val="auto"/>
        </w:rPr>
      </w:pPr>
      <w:r>
        <w:rPr>
          <w:rFonts w:ascii="Arial" w:cs="Arial" w:eastAsia="Arial" w:hAnsi="Arial"/>
          <w:sz w:val="17"/>
          <w:szCs w:val="17"/>
          <w:b w:val="1"/>
          <w:bCs w:val="1"/>
          <w:color w:val="auto"/>
        </w:rPr>
        <w:t>EMPLOYEES, CONTRACTORS, VISITORS OR INVITEES FOR, LOSSES, DAMAGES OR INJURY TO PERSONS OR PROPERTY CAUSED BY, RELATED TO, OR ARISING OUT OF OR IN CONNECTION WITH, ANY SUCH CONNECTION TO, USE OF, OR FAILURE, NON-PERFORMANCE OR INADEQUATE PERFORMANCE OF, THE ROOFTOP EQUIPMENT, AND TENANT HEREBY RELEASES LANDLORD FROM ANY AND ALL LIABILITY FOR SUCH LOSSES, DAMAGES OR INJURY, EVEN IF CAUSED BY THE NEGLIGENCE OF LANDLORD OR ITS EMPLOYEES AND/OR AGENTS (BUT NOT TO THE EXTENT CAUSED BY THE GROSS NEGLIGENCE OR WILLFUL MISCONDUCT OF LANDLORD OR ITS EMPLOYEES AND/OR AGENTS).</w:t>
      </w:r>
    </w:p>
    <w:p>
      <w:pPr>
        <w:spacing w:after="0" w:line="175" w:lineRule="exact"/>
        <w:rPr>
          <w:sz w:val="20"/>
          <w:szCs w:val="20"/>
          <w:color w:val="auto"/>
        </w:rPr>
      </w:pPr>
    </w:p>
    <w:p>
      <w:pPr>
        <w:ind w:left="640" w:right="40" w:firstLine="1258"/>
        <w:spacing w:after="0" w:line="277" w:lineRule="auto"/>
        <w:rPr>
          <w:sz w:val="20"/>
          <w:szCs w:val="20"/>
          <w:color w:val="auto"/>
        </w:rPr>
      </w:pPr>
      <w:r>
        <w:rPr>
          <w:rFonts w:ascii="Arial" w:cs="Arial" w:eastAsia="Arial" w:hAnsi="Arial"/>
          <w:sz w:val="17"/>
          <w:szCs w:val="17"/>
          <w:color w:val="auto"/>
        </w:rPr>
        <w:t xml:space="preserve">26.3.8 </w:t>
      </w:r>
      <w:r>
        <w:rPr>
          <w:rFonts w:ascii="Arial" w:cs="Arial" w:eastAsia="Arial" w:hAnsi="Arial"/>
          <w:sz w:val="17"/>
          <w:szCs w:val="17"/>
          <w:b w:val="1"/>
          <w:bCs w:val="1"/>
          <w:u w:val="single" w:color="auto"/>
          <w:color w:val="auto"/>
        </w:rPr>
        <w:t>Personal Right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may only use the Rooftop Equipment in connection with Tenant’s business. Tenant shall not allow any third party to use such equipment, whether by sublease, license, occupancy agreement or otherwise, except in connection with Permitted Transfers and any other Transfers approved by Landlord.</w:t>
      </w:r>
    </w:p>
    <w:p>
      <w:pPr>
        <w:spacing w:after="0" w:line="162" w:lineRule="exact"/>
        <w:rPr>
          <w:sz w:val="20"/>
          <w:szCs w:val="20"/>
          <w:color w:val="auto"/>
        </w:rPr>
      </w:pPr>
    </w:p>
    <w:p>
      <w:pPr>
        <w:ind w:firstLine="1259"/>
        <w:spacing w:after="0" w:line="274" w:lineRule="auto"/>
        <w:rPr>
          <w:sz w:val="20"/>
          <w:szCs w:val="20"/>
          <w:color w:val="auto"/>
        </w:rPr>
      </w:pPr>
      <w:r>
        <w:rPr>
          <w:rFonts w:ascii="Arial" w:cs="Arial" w:eastAsia="Arial" w:hAnsi="Arial"/>
          <w:sz w:val="16"/>
          <w:szCs w:val="16"/>
          <w:color w:val="auto"/>
        </w:rPr>
        <w:t xml:space="preserve">26.4 </w:t>
      </w:r>
      <w:r>
        <w:rPr>
          <w:rFonts w:ascii="Arial" w:cs="Arial" w:eastAsia="Arial" w:hAnsi="Arial"/>
          <w:sz w:val="16"/>
          <w:szCs w:val="16"/>
          <w:b w:val="1"/>
          <w:bCs w:val="1"/>
          <w:u w:val="single" w:color="auto"/>
          <w:color w:val="auto"/>
        </w:rPr>
        <w:t>Generator and UPS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prior tenant of the Premises a generator located adjacent to the Building (the “</w:t>
      </w:r>
      <w:r>
        <w:rPr>
          <w:rFonts w:ascii="Arial" w:cs="Arial" w:eastAsia="Arial" w:hAnsi="Arial"/>
          <w:sz w:val="16"/>
          <w:szCs w:val="16"/>
          <w:b w:val="1"/>
          <w:bCs w:val="1"/>
          <w:u w:val="single" w:color="auto"/>
          <w:color w:val="auto"/>
        </w:rPr>
        <w:t>Generator</w:t>
      </w:r>
      <w:r>
        <w:rPr>
          <w:rFonts w:ascii="Arial" w:cs="Arial" w:eastAsia="Arial" w:hAnsi="Arial"/>
          <w:sz w:val="16"/>
          <w:szCs w:val="16"/>
          <w:color w:val="auto"/>
        </w:rPr>
        <w:t>”) and an uninterruptible power source system in the Premises (“</w:t>
      </w:r>
      <w:r>
        <w:rPr>
          <w:rFonts w:ascii="Arial" w:cs="Arial" w:eastAsia="Arial" w:hAnsi="Arial"/>
          <w:sz w:val="16"/>
          <w:szCs w:val="16"/>
          <w:b w:val="1"/>
          <w:bCs w:val="1"/>
          <w:u w:val="single" w:color="auto"/>
          <w:color w:val="auto"/>
        </w:rPr>
        <w:t>UPS System</w:t>
      </w:r>
      <w:r>
        <w:rPr>
          <w:rFonts w:ascii="Arial" w:cs="Arial" w:eastAsia="Arial" w:hAnsi="Arial"/>
          <w:sz w:val="16"/>
          <w:szCs w:val="16"/>
          <w:color w:val="auto"/>
        </w:rPr>
        <w:t>”, and collectively with the Generator, “</w:t>
      </w:r>
      <w:r>
        <w:rPr>
          <w:rFonts w:ascii="Arial" w:cs="Arial" w:eastAsia="Arial" w:hAnsi="Arial"/>
          <w:sz w:val="16"/>
          <w:szCs w:val="16"/>
          <w:b w:val="1"/>
          <w:bCs w:val="1"/>
          <w:u w:val="single" w:color="auto"/>
          <w:color w:val="auto"/>
        </w:rPr>
        <w:t>Auxiliary Power Equipment</w:t>
      </w:r>
      <w:r>
        <w:rPr>
          <w:rFonts w:ascii="Arial" w:cs="Arial" w:eastAsia="Arial" w:hAnsi="Arial"/>
          <w:sz w:val="16"/>
          <w:szCs w:val="16"/>
          <w:color w:val="auto"/>
        </w:rPr>
        <w:t xml:space="preserve">”). Tenant shall use, maintain, and operate the Auxiliary Power Equipment in a good, clean, and safe condition and in accordance with all Laws and all manufacturer’s suggested maintenance programs, all at Tenant’s sole cost and expense. If the Auxiliary Power Equipment uses any electricity, Tenant shall pay to Landlord the monthly electrical submeter charges throughout the Term (and if the Generator or the UPS System is not currently separately submetered, Tenant shall pay for the cost to purchase and install electrical submeter equipment and wiring therefor). Tenant shall repair all damage caused by the installation, use, maintenance or operation of the Auxiliary Power Equipment. If Tenant fails to do so within 30 days after Landlord’s request, Landlord may perform such work and Tenant shall pay to Landlord all reasonable costs incurred in connection therewith, plus an administrative fee of 15% of such costs, within 30 days after Landlord’s written request therefor. Notwithstanding anything in this Lease to the contrary, prior to the expiration of the Lease, or within five days after (a) the termination of Tenant’s right to possess the Premises, or (b) the termination of this Lease, Tenant shall, at its risk and expense, remove the Auxiliary Power Equipment. If Tenant fails to do so, Landlord may remove the Auxiliary Power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Auxiliary Power Equipment in good repair and condition, normal wear and tear excepted (damages from Casualty and condemnation excepted), and deliver to Landlord a bill of sale for the Auxiliary Power Equipment and all operating manuals, maintenance records, keys, any applicable warranties and similar items with respect to the Auxiliary Power Equipment, and thereafter the Auxiliary Power Equipment shall be Landlord’s property; provided, however, that Landlord’s rights under this sentence shall apply only with respect to the Auxiliary Power Equipment existing as of the Lease Date and not with respect to any new or replacement auxiliary power equipment installed by Tenant (in accordance with Section 8.1) during the Term, unless otherwise agreed in writing at the time Landlord approves the installation of such additional or replacement equipment. For all purposes under this Lease, the Auxiliary Power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 EMPLOYEES, CONTRACTORS,</w:t>
      </w: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VISITORS OR INVITEES FOR, LOSSES, DAMAGES OR INJURY TO PERSONS OR PROPERTY CAUSED BY, RELATED TO, OR ARISING OUT OF OR IN CONNECTION WITH, ANY SUCH CONNECTION TO, USE OF, OR FAILURE, NON-PERFORMANCE OR INADEQUATE PERFORMANCE OF, THE AUXILIARY POWER EQUEPMENT, AND TENANT HEREBY RELEASES LANDLORD FROM ANY AND ALL LIABILITY FOR SUCH LOSSES, DAMAGES OR INJURY, EVEN IF CAUSED BY LANDLORD’S NEGLIGENCE (BUT NOT TO THE EXTENT CAUSED BY LANDLORD’S GROSS NEGLIGENCE OR WILLFUL MISCONDUCT</w:t>
      </w:r>
      <w:r>
        <w:rPr>
          <w:rFonts w:ascii="Arial" w:cs="Arial" w:eastAsia="Arial" w:hAnsi="Arial"/>
          <w:sz w:val="17"/>
          <w:szCs w:val="17"/>
          <w:color w:val="auto"/>
        </w:rPr>
        <w:t>). Except with Landlord’s prior written consent (which consent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in Landlord’s sole discretion),Tenant shall not have the right to sublease, license, sublicense or grant any other rights to use the Auxiliary Power Equipment to any third party, except to assignees or sublessees of Tenant’s entire interest in this Lease. Notwithstanding anything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240" w:name="page241"/>
    <w:bookmarkEnd w:id="240"/>
    <w:p>
      <w:pPr>
        <w:ind w:right="280"/>
        <w:spacing w:after="0" w:line="273" w:lineRule="auto"/>
        <w:rPr>
          <w:sz w:val="20"/>
          <w:szCs w:val="20"/>
          <w:color w:val="auto"/>
        </w:rPr>
      </w:pPr>
      <w:r>
        <w:rPr>
          <w:rFonts w:ascii="Arial" w:cs="Arial" w:eastAsia="Arial" w:hAnsi="Arial"/>
          <w:sz w:val="17"/>
          <w:szCs w:val="17"/>
          <w:color w:val="auto"/>
        </w:rPr>
        <w:t>this Section 26.4 to the contrary, Tenant may, with Landlord’s prior written consent, sell the Auxiliary Power Equipment to a succeeding tenant of the Premises; however, it shall be reasonable for Landlord to withhold consent to such a sale for any portion of the Auxiliary Power Equipment that is outdated, not in good working order, or not in compliance with all Laws.</w:t>
      </w:r>
    </w:p>
    <w:p>
      <w:pPr>
        <w:spacing w:after="0" w:line="166" w:lineRule="exact"/>
        <w:rPr>
          <w:sz w:val="20"/>
          <w:szCs w:val="20"/>
          <w:color w:val="auto"/>
        </w:rPr>
      </w:pPr>
    </w:p>
    <w:p>
      <w:pPr>
        <w:ind w:right="180" w:firstLine="1259"/>
        <w:spacing w:after="0" w:line="283"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existing tenant in the Premises the existing electronic security access and control system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color w:val="auto"/>
        </w:rPr>
        <w:t>”) within the Premises installed by the existing tenant. Tenant shall furnish Landlord with a copy of all key codes or access cards and Tenant shall ensure that Landlord shall have access to the Premises at all times. Additionally, Tenant shall ensure that the Existing Security System shall comply with all Laws, including all fire safety laws, and in no event shall Landlord be liable for, and Tenant shall defend, indemnify, and hold harmless Landlord and its representatives and agents from any claims, demands, liabilities, causes of action, suits, judgments, damages and expenses arising from, the Existing Security System or the malfunctioning thereof in accordance with Tenant’s indemnity contained in Section 11.4 hereof. Sections 8 and 21 of this Lease shall govern the maintenance and Landlord’s removal rights with respect to the Existing Security System.</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Lease is executed as of the Lease Date (as defined in the Basic Lease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RIATA HOLDINGS, L.P.</w:t>
            </w:r>
            <w:r>
              <w:rPr>
                <w:rFonts w:ascii="Arial" w:cs="Arial" w:eastAsia="Arial" w:hAnsi="Arial"/>
                <w:sz w:val="17"/>
                <w:szCs w:val="17"/>
                <w:color w:val="auto"/>
              </w:rPr>
              <w:t>, a Delaware limited partnership</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Riata Holdings General Partner, LLC, a Delaware limited liability</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company doing business in Texas as Riata Austin Holdings General</w:t>
            </w:r>
          </w:p>
        </w:tc>
        <w:tc>
          <w:tcPr>
            <w:tcW w:w="40" w:type="dxa"/>
            <w:vAlign w:val="bottom"/>
          </w:tcPr>
          <w:p>
            <w:pPr>
              <w:spacing w:after="0"/>
              <w:rPr>
                <w:sz w:val="18"/>
                <w:szCs w:val="18"/>
                <w:color w:val="auto"/>
              </w:rPr>
            </w:pPr>
          </w:p>
        </w:tc>
      </w:tr>
      <w:tr>
        <w:trPr>
          <w:trHeight w:val="222"/>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Partner, LLC, its general partner</w:t>
            </w:r>
          </w:p>
        </w:tc>
        <w:tc>
          <w:tcPr>
            <w:tcW w:w="40" w:type="dxa"/>
            <w:vAlign w:val="bottom"/>
          </w:tcPr>
          <w:p>
            <w:pPr>
              <w:spacing w:after="0"/>
              <w:rPr>
                <w:sz w:val="19"/>
                <w:szCs w:val="19"/>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John S. Grassi</w:t>
            </w:r>
          </w:p>
        </w:tc>
        <w:tc>
          <w:tcPr>
            <w:tcW w:w="4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7"/>
                <w:szCs w:val="17"/>
                <w:color w:val="auto"/>
                <w:w w:val="90"/>
              </w:rPr>
              <w:t>John S. Grassi, President</w:t>
            </w:r>
          </w:p>
        </w:tc>
        <w:tc>
          <w:tcPr>
            <w:tcW w:w="40" w:type="dxa"/>
            <w:vAlign w:val="bottom"/>
          </w:tcPr>
          <w:p>
            <w:pPr>
              <w:spacing w:after="0"/>
              <w:rPr>
                <w:sz w:val="18"/>
                <w:szCs w:val="18"/>
                <w:color w:val="auto"/>
              </w:rPr>
            </w:pPr>
          </w:p>
        </w:tc>
      </w:tr>
      <w:tr>
        <w:trPr>
          <w:trHeight w:val="617"/>
        </w:trPr>
        <w:tc>
          <w:tcPr>
            <w:tcW w:w="330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VERACYTE, INC.</w:t>
            </w:r>
            <w:r>
              <w:rPr>
                <w:rFonts w:ascii="Arial" w:cs="Arial" w:eastAsia="Arial" w:hAnsi="Arial"/>
                <w:sz w:val="17"/>
                <w:szCs w:val="17"/>
                <w:color w:val="auto"/>
              </w:rPr>
              <w:t>, a Delaware corporation</w:t>
            </w:r>
          </w:p>
        </w:tc>
        <w:tc>
          <w:tcPr>
            <w:tcW w:w="40" w:type="dxa"/>
            <w:vAlign w:val="bottom"/>
          </w:tcPr>
          <w:p>
            <w:pPr>
              <w:spacing w:after="0"/>
              <w:rPr>
                <w:sz w:val="24"/>
                <w:szCs w:val="24"/>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38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Mark E. Spring</w:t>
            </w:r>
          </w:p>
        </w:tc>
        <w:tc>
          <w:tcPr>
            <w:tcW w:w="4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w w:val="91"/>
              </w:rPr>
              <w:t>Name: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Mark E. Spring</w:t>
            </w:r>
          </w:p>
        </w:tc>
        <w:tc>
          <w:tcPr>
            <w:tcW w:w="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Title: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CFO</w:t>
            </w:r>
          </w:p>
        </w:tc>
        <w:tc>
          <w:tcPr>
            <w:tcW w:w="40" w:type="dxa"/>
            <w:vAlign w:val="bottom"/>
          </w:tcPr>
          <w:p>
            <w:pPr>
              <w:spacing w:after="0"/>
              <w:rPr>
                <w:sz w:val="17"/>
                <w:szCs w:val="17"/>
                <w:color w:val="auto"/>
              </w:rPr>
            </w:pPr>
          </w:p>
        </w:tc>
      </w:tr>
      <w:tr>
        <w:trPr>
          <w:trHeight w:val="412"/>
        </w:trPr>
        <w:tc>
          <w:tcPr>
            <w:tcW w:w="3300" w:type="dxa"/>
            <w:vAlign w:val="bottom"/>
          </w:tcPr>
          <w:p>
            <w:pPr>
              <w:spacing w:after="0"/>
              <w:rPr>
                <w:sz w:val="24"/>
                <w:szCs w:val="24"/>
                <w:color w:val="auto"/>
              </w:rPr>
            </w:pPr>
          </w:p>
        </w:tc>
        <w:tc>
          <w:tcPr>
            <w:tcW w:w="2900" w:type="dxa"/>
            <w:vAlign w:val="bottom"/>
          </w:tcPr>
          <w:p>
            <w:pPr>
              <w:ind w:left="2240"/>
              <w:spacing w:after="0"/>
              <w:rPr>
                <w:sz w:val="20"/>
                <w:szCs w:val="20"/>
                <w:color w:val="auto"/>
              </w:rPr>
            </w:pPr>
            <w:r>
              <w:rPr>
                <w:rFonts w:ascii="Arial" w:cs="Arial" w:eastAsia="Arial" w:hAnsi="Arial"/>
                <w:sz w:val="17"/>
                <w:szCs w:val="17"/>
                <w:color w:val="auto"/>
              </w:rPr>
              <w:t>A-32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OUTLINE OF PREMISES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[Floor Plan - Rialta - Building 5 - Floor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149860</wp:posOffset>
            </wp:positionV>
            <wp:extent cx="3912235" cy="23310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12235"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12357 A RIATA TRACE PARKWAY, BUILDING 5</w:t>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DESCRIPTION OF THE LAND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Lots 4, 5, 6, 7 and 9, Amended Plat, Riata Section Two, Block B, recorded in Book 98, Page 19, of the Plat Records of Travis County, Texas.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BUILDING RULES AND REGULATIONS</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following rules and regulations shall apply to the Premises, the Building, any parking garage or other parking lot or facility associated therewith, and the appurtenances thereto:</w:t>
      </w:r>
    </w:p>
    <w:p>
      <w:pPr>
        <w:spacing w:after="0" w:line="158" w:lineRule="exact"/>
        <w:rPr>
          <w:sz w:val="20"/>
          <w:szCs w:val="20"/>
          <w:color w:val="auto"/>
        </w:rPr>
      </w:pPr>
    </w:p>
    <w:p>
      <w:pPr>
        <w:ind w:right="200" w:firstLine="634"/>
        <w:spacing w:after="0" w:line="265"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 The halls, passages, exits, entrances, elevators, stairways, balconies and roof are not for the use of the general public and Landlord shall, in all cases, retain the right to control and prevent access thereto by all persons whose presence in the judgment of Landlord, reasonably exercised, shall be prejudicial to the safety, character, reputation and interests of the Project. No Tenant Party shall go upon the roof of the Project.</w:t>
      </w:r>
    </w:p>
    <w:p>
      <w:pPr>
        <w:spacing w:after="0" w:line="179" w:lineRule="exact"/>
        <w:rPr>
          <w:rFonts w:ascii="Arial" w:cs="Arial" w:eastAsia="Arial" w:hAnsi="Arial"/>
          <w:sz w:val="17"/>
          <w:szCs w:val="17"/>
          <w:color w:val="auto"/>
        </w:rPr>
      </w:pPr>
    </w:p>
    <w:p>
      <w:pPr>
        <w:ind w:right="240" w:firstLine="634"/>
        <w:spacing w:after="0" w:line="273"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71" w:lineRule="exact"/>
        <w:rPr>
          <w:rFonts w:ascii="Arial" w:cs="Arial" w:eastAsia="Arial" w:hAnsi="Arial"/>
          <w:sz w:val="17"/>
          <w:szCs w:val="17"/>
          <w:color w:val="auto"/>
        </w:rPr>
      </w:pPr>
    </w:p>
    <w:p>
      <w:pPr>
        <w:ind w:right="140" w:firstLine="634"/>
        <w:spacing w:after="0" w:line="290" w:lineRule="auto"/>
        <w:tabs>
          <w:tab w:leader="none" w:pos="125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 signs, advertisements or notices (other than those that are not visible outside the Premises) shall be painted or affixed on or to any windows or doors or other part of the Building without the prior written consent of Landlord. No nails, hooks or screws (other than those which are necessary to hang paintings, prints, pictures, or other similar items on the Premises’ interior walls) shall be driven or inserted in any part of the Building except by Building maintenance personnel. No curtains or other window treatments shall be placed between the glass and the Building standard window treatments.</w:t>
      </w:r>
    </w:p>
    <w:p>
      <w:pPr>
        <w:spacing w:after="0" w:line="159" w:lineRule="exact"/>
        <w:rPr>
          <w:rFonts w:ascii="Arial" w:cs="Arial" w:eastAsia="Arial" w:hAnsi="Arial"/>
          <w:sz w:val="16"/>
          <w:szCs w:val="16"/>
          <w:color w:val="auto"/>
        </w:rPr>
      </w:pPr>
    </w:p>
    <w:p>
      <w:pPr>
        <w:ind w:right="100" w:firstLine="634"/>
        <w:spacing w:after="0" w:line="268"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Landlord shall provide all door locks at the entry of each tenant’s leased premises, and no tenant shall place any additional door locks in its leased premises without Landlord’s prior written consent. Landlord shall furnish to each tenant a reasonable number of keys and/or access cards to such tenant’s leased premises, at such tenant’s cost, and no tenant shall make a duplicate thereof. Replacement keys and/or access cards shall be provided on a reasonable basis and at Tenant’s cost.</w:t>
      </w:r>
    </w:p>
    <w:p>
      <w:pPr>
        <w:spacing w:after="0" w:line="175" w:lineRule="exact"/>
        <w:rPr>
          <w:rFonts w:ascii="Arial" w:cs="Arial" w:eastAsia="Arial" w:hAnsi="Arial"/>
          <w:sz w:val="17"/>
          <w:szCs w:val="17"/>
          <w:color w:val="auto"/>
        </w:rPr>
      </w:pPr>
    </w:p>
    <w:p>
      <w:pPr>
        <w:ind w:right="120" w:firstLine="634"/>
        <w:spacing w:after="0" w:line="265"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179" w:lineRule="exact"/>
        <w:rPr>
          <w:rFonts w:ascii="Arial" w:cs="Arial" w:eastAsia="Arial" w:hAnsi="Arial"/>
          <w:sz w:val="17"/>
          <w:szCs w:val="17"/>
          <w:color w:val="auto"/>
        </w:rPr>
      </w:pPr>
    </w:p>
    <w:p>
      <w:pPr>
        <w:ind w:firstLine="634"/>
        <w:spacing w:after="0" w:line="268"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75" w:lineRule="exact"/>
        <w:rPr>
          <w:rFonts w:ascii="Arial" w:cs="Arial" w:eastAsia="Arial" w:hAnsi="Arial"/>
          <w:sz w:val="17"/>
          <w:szCs w:val="17"/>
          <w:color w:val="auto"/>
        </w:rPr>
      </w:pPr>
    </w:p>
    <w:p>
      <w:pPr>
        <w:jc w:val="both"/>
        <w:ind w:right="60" w:firstLine="634"/>
        <w:spacing w:after="0" w:line="273"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Corridor doors, when not in use, shall be kept closed. Nothing shall be swept or thrown into the corridors, halls, elevator shafts or stairways. No bicycles, birds or animals (other than seeing-eye dogs) shall be brought into or kept in, on or about any tenant’s leased premises. No portion of any tenant’s leased premises shall at any time be used or occupied as sleeping or lodging quarters.</w:t>
      </w:r>
    </w:p>
    <w:p>
      <w:pPr>
        <w:spacing w:after="0" w:line="171" w:lineRule="exact"/>
        <w:rPr>
          <w:rFonts w:ascii="Arial" w:cs="Arial" w:eastAsia="Arial" w:hAnsi="Arial"/>
          <w:sz w:val="17"/>
          <w:szCs w:val="17"/>
          <w:color w:val="auto"/>
        </w:rPr>
      </w:pPr>
    </w:p>
    <w:p>
      <w:pPr>
        <w:ind w:right="300" w:firstLine="634"/>
        <w:spacing w:after="0" w:line="289"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Tenant shall cooperate with Landlord’s employees in keeping its leased premises neat and clean. Tenants shall not employ any person for the purpose of such cleaning other than the Building’s cleaning and maintenance personnel.</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 ensure orderly operation of the Building, no ice, mineral or other water, towels, newspapers, etc. shall be delivered to any leased area except by persons approved by Landlord.</w:t>
      </w:r>
    </w:p>
    <w:p>
      <w:pPr>
        <w:spacing w:after="0" w:line="158"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Tenant shall not make or permit any vibration or improper, objectionable or unpleasant noises or odors in the Building or otherwise interfere in any way with other tenants or persons having business with them.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73" w:lineRule="auto"/>
        <w:tabs>
          <w:tab w:leader="none" w:pos="124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 machinery or appliances of any kind (other than normal office equipment and normal break room appliances) shall be operated by any tenant on its leased area without Landlord’s prior written consent, nor shall any tenant use or keep in the Building any flammable or explosive fluid or substance (other than typical office supplies [e.g., photocopier toner] used in compliance with all Laws).</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 vending or dispensing machines of any kind may be maintained in any leased premises without the prior written permission of Landlord.</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Tenant shall not conduct any activity on or about the Premises or Building which will draw pickets, demonstrators, or the like.</w:t>
      </w:r>
    </w:p>
    <w:p>
      <w:pPr>
        <w:sectPr>
          <w:pgSz w:w="11900" w:h="16838" w:orient="portrait"/>
          <w:cols w:equalWidth="0" w:num="1">
            <w:col w:w="11400"/>
          </w:cols>
          <w:pgMar w:left="240" w:top="567" w:right="259" w:bottom="0" w:gutter="0" w:footer="0" w:header="0"/>
        </w:sectPr>
      </w:pPr>
    </w:p>
    <w:bookmarkStart w:id="242" w:name="page243"/>
    <w:bookmarkEnd w:id="242"/>
    <w:p>
      <w:pPr>
        <w:ind w:right="60" w:firstLine="634"/>
        <w:spacing w:after="0" w:line="263"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All vehicles are to be currently licensed, in good operating condition, parked for business purposes having to do with Tenant’s business operated in the Premises, parked within designated parking spaces, one vehicle to each space. No vehicle shall be parked as a “billboard”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“boot” on the vehicle to immobilize it and may levy a charge of $50.00 to remove the “boot.” Tenant shall indemnify, hold and save harmless Landlord of any liability arising from the towing or booting of any vehicles belonging to a Tenant Party.</w:t>
      </w:r>
    </w:p>
    <w:p>
      <w:pPr>
        <w:spacing w:after="0" w:line="183" w:lineRule="exact"/>
        <w:rPr>
          <w:rFonts w:ascii="Arial" w:cs="Arial" w:eastAsia="Arial" w:hAnsi="Arial"/>
          <w:sz w:val="17"/>
          <w:szCs w:val="17"/>
          <w:color w:val="auto"/>
        </w:rPr>
      </w:pPr>
    </w:p>
    <w:p>
      <w:pPr>
        <w:ind w:right="56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No tenant may enter into phone rooms, electrical rooms, mechanical rooms, or other service areas of the Building unless accompanied by Landlord or the Building manager.</w:t>
      </w:r>
    </w:p>
    <w:p>
      <w:pPr>
        <w:spacing w:after="0" w:line="158" w:lineRule="exact"/>
        <w:rPr>
          <w:rFonts w:ascii="Arial" w:cs="Arial" w:eastAsia="Arial" w:hAnsi="Arial"/>
          <w:sz w:val="17"/>
          <w:szCs w:val="17"/>
          <w:color w:val="auto"/>
        </w:rPr>
      </w:pPr>
    </w:p>
    <w:p>
      <w:pPr>
        <w:ind w:right="34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will not permit any Tenant Party to bring onto the Project any handgun, firearm or other weapons of any kind, illegal drugs or, unless expressly permitted by Landlord in writing, alcoholic beverages.</w:t>
      </w:r>
    </w:p>
    <w:p>
      <w:pPr>
        <w:spacing w:after="0" w:line="158" w:lineRule="exact"/>
        <w:rPr>
          <w:rFonts w:ascii="Arial" w:cs="Arial" w:eastAsia="Arial" w:hAnsi="Arial"/>
          <w:sz w:val="17"/>
          <w:szCs w:val="17"/>
          <w:color w:val="auto"/>
        </w:rPr>
      </w:pPr>
    </w:p>
    <w:p>
      <w:pPr>
        <w:ind w:right="20" w:firstLine="634"/>
        <w:spacing w:after="0" w:line="360" w:lineRule="auto"/>
        <w:tabs>
          <w:tab w:leader="none" w:pos="125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not permit any Tenant Party to smoke in the Premises or anywhere else on the Project, except in any Landlord-designated smoking area outside the Building. Tenant shall cooperate with Landlord in enforcing this prohibition and use its best efforts in supervising each Tenant Party in this regard.</w:t>
      </w:r>
    </w:p>
    <w:p>
      <w:pPr>
        <w:spacing w:after="0" w:line="111" w:lineRule="exact"/>
        <w:rPr>
          <w:rFonts w:ascii="Arial" w:cs="Arial" w:eastAsia="Arial" w:hAnsi="Arial"/>
          <w:sz w:val="15"/>
          <w:szCs w:val="15"/>
          <w:color w:val="auto"/>
        </w:rPr>
      </w:pPr>
    </w:p>
    <w:p>
      <w:pPr>
        <w:ind w:left="1260" w:hanging="626"/>
        <w:spacing w:after="0"/>
        <w:tabs>
          <w:tab w:leader="none" w:pos="12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shall not allow any Tenant Party to use any type of portable space heater in the Premises or the Building.</w:t>
      </w:r>
    </w:p>
    <w:p>
      <w:pPr>
        <w:spacing w:after="0" w:line="224" w:lineRule="exact"/>
        <w:rPr>
          <w:rFonts w:ascii="Arial" w:cs="Arial" w:eastAsia="Arial" w:hAnsi="Arial"/>
          <w:sz w:val="17"/>
          <w:szCs w:val="17"/>
          <w:color w:val="auto"/>
        </w:rPr>
      </w:pPr>
    </w:p>
    <w:p>
      <w:pPr>
        <w:ind w:right="28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Only artificial holiday decorations may be placed in the Premises, no live or cut trees or other real holiday greenery may be maintained in the Premises or the Building.</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shall not park or operate any semi-trucks or semi-trailers in the parking areas associated with the Building.</w:t>
      </w:r>
    </w:p>
    <w:p>
      <w:pPr>
        <w:spacing w:after="0" w:line="224" w:lineRule="exact"/>
        <w:rPr>
          <w:rFonts w:ascii="Arial" w:cs="Arial" w:eastAsia="Arial" w:hAnsi="Arial"/>
          <w:sz w:val="17"/>
          <w:szCs w:val="17"/>
          <w:color w:val="auto"/>
        </w:rPr>
      </w:pPr>
    </w:p>
    <w:p>
      <w:pPr>
        <w:jc w:val="both"/>
        <w:ind w:right="220" w:firstLine="634"/>
        <w:spacing w:after="0" w:line="273"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shall cooperate fully with Landlord to assure the most effective operation of the Premises or the Project’s heating and air conditioning, and shall refrain from attempting to adjust any controls, other than room thermostats installed for Tenant’s use. Tenant shall keep corridor doors closed and shall turn off all lights before leaving the Project at the end of the day.</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Without the prior written consent of Landlord, Tenant shall not use the name of the Project or any picture of the Project in connection with, or in promoting or advertising the business of, Tenant, except Tenant may use the address of the Project as the address of its business.</w:t>
      </w:r>
    </w:p>
    <w:p>
      <w:pPr>
        <w:spacing w:after="0" w:line="158"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shall not exhibit, sell or offer for sale, rent or exchange in the Premises or at the Project any article, thing or service to the general public or anyone other than Tenant’s employees without the prior written consent of Landlord.</w:t>
      </w:r>
    </w:p>
    <w:p>
      <w:pPr>
        <w:spacing w:after="0" w:line="158" w:lineRule="exact"/>
        <w:rPr>
          <w:rFonts w:ascii="Arial" w:cs="Arial" w:eastAsia="Arial" w:hAnsi="Arial"/>
          <w:sz w:val="17"/>
          <w:szCs w:val="17"/>
          <w:color w:val="auto"/>
        </w:rPr>
      </w:pPr>
    </w:p>
    <w:p>
      <w:pPr>
        <w:ind w:right="520" w:firstLine="634"/>
        <w:spacing w:after="0" w:line="289" w:lineRule="auto"/>
        <w:tabs>
          <w:tab w:leader="none" w:pos="125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Tenant shall ensure that all portions of the leased premises visible from any interior Building common areas are lighted at all times during normal business hours regardless whether the leased premises are occupied.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 FINISH-WORK: LANDLORD BUILDS TO PLANS</w:t>
      </w:r>
    </w:p>
    <w:p>
      <w:pPr>
        <w:spacing w:after="0" w:line="224" w:lineRule="exact"/>
        <w:rPr>
          <w:sz w:val="20"/>
          <w:szCs w:val="20"/>
          <w:color w:val="auto"/>
        </w:rPr>
      </w:pPr>
    </w:p>
    <w:p>
      <w:pPr>
        <w:ind w:left="1340" w:hanging="706"/>
        <w:spacing w:after="0"/>
        <w:tabs>
          <w:tab w:leader="none" w:pos="1340" w:val="left"/>
        </w:tabs>
        <w:numPr>
          <w:ilvl w:val="0"/>
          <w:numId w:val="220"/>
        </w:numPr>
        <w:rPr>
          <w:rFonts w:ascii="Arial" w:cs="Arial" w:eastAsia="Arial" w:hAnsi="Arial"/>
          <w:sz w:val="15"/>
          <w:szCs w:val="15"/>
          <w:color w:val="auto"/>
        </w:rPr>
      </w:pPr>
      <w:r>
        <w:rPr>
          <w:rFonts w:ascii="Arial" w:cs="Arial" w:eastAsia="Arial" w:hAnsi="Arial"/>
          <w:sz w:val="15"/>
          <w:szCs w:val="15"/>
          <w:b w:val="1"/>
          <w:bCs w:val="1"/>
          <w:u w:val="single" w:color="auto"/>
          <w:color w:val="auto"/>
        </w:rPr>
        <w:t>Acceptance of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set forth in this Exhibit, Tenant accepts the Premises in their “</w:t>
      </w:r>
      <w:r>
        <w:rPr>
          <w:rFonts w:ascii="Arial" w:cs="Arial" w:eastAsia="Arial" w:hAnsi="Arial"/>
          <w:sz w:val="15"/>
          <w:szCs w:val="15"/>
          <w:b w:val="1"/>
          <w:bCs w:val="1"/>
          <w:color w:val="auto"/>
        </w:rPr>
        <w:t>AS-IS</w:t>
      </w:r>
      <w:r>
        <w:rPr>
          <w:rFonts w:ascii="Arial" w:cs="Arial" w:eastAsia="Arial" w:hAnsi="Arial"/>
          <w:sz w:val="15"/>
          <w:szCs w:val="15"/>
          <w:color w:val="auto"/>
        </w:rPr>
        <w:t>” condition on the date that this Lease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entered into.</w:t>
      </w:r>
    </w:p>
    <w:p>
      <w:pPr>
        <w:spacing w:after="0" w:line="206" w:lineRule="exact"/>
        <w:rPr>
          <w:rFonts w:ascii="Arial" w:cs="Arial" w:eastAsia="Arial" w:hAnsi="Arial"/>
          <w:sz w:val="15"/>
          <w:szCs w:val="15"/>
          <w:color w:val="auto"/>
        </w:rPr>
      </w:pPr>
    </w:p>
    <w:p>
      <w:pPr>
        <w:ind w:right="80" w:firstLine="634"/>
        <w:spacing w:after="0" w:line="241" w:lineRule="auto"/>
        <w:tabs>
          <w:tab w:leader="none" w:pos="1328"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Space Plans</w:t>
      </w:r>
      <w:r>
        <w:rPr>
          <w:rFonts w:ascii="Arial" w:cs="Arial" w:eastAsia="Arial" w:hAnsi="Arial"/>
          <w:sz w:val="17"/>
          <w:szCs w:val="17"/>
          <w:b w:val="1"/>
          <w:bCs w:val="1"/>
          <w:color w:val="auto"/>
        </w:rPr>
        <w:t xml:space="preserve">. </w:t>
      </w:r>
      <w:r>
        <w:rPr>
          <w:rFonts w:ascii="Arial" w:cs="Arial" w:eastAsia="Arial" w:hAnsi="Arial"/>
          <w:sz w:val="17"/>
          <w:szCs w:val="17"/>
          <w:color w:val="auto"/>
        </w:rPr>
        <w:t>On or before the execution of this Lease, Tenant has delivered to Landlord a space plan depicting improvements to be installed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which plans were prepared by The Lauck Group (“</w:t>
      </w:r>
      <w:r>
        <w:rPr>
          <w:rFonts w:ascii="Arial" w:cs="Arial" w:eastAsia="Arial" w:hAnsi="Arial"/>
          <w:sz w:val="17"/>
          <w:szCs w:val="17"/>
          <w:b w:val="1"/>
          <w:bCs w:val="1"/>
          <w:u w:val="single" w:color="auto"/>
          <w:color w:val="auto"/>
        </w:rPr>
        <w:t>Architect</w:t>
      </w:r>
      <w:r>
        <w:rPr>
          <w:rFonts w:ascii="Arial" w:cs="Arial" w:eastAsia="Arial" w:hAnsi="Arial"/>
          <w:sz w:val="17"/>
          <w:szCs w:val="17"/>
          <w:color w:val="auto"/>
        </w:rPr>
        <w:t>”), dated September 13, 2012, and a pricing schedule prepared by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Construction, LLC and dated October 4, 2012, which plans and schedule are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Space Plans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340" w:hanging="706"/>
        <w:spacing w:after="0"/>
        <w:tabs>
          <w:tab w:leader="none" w:pos="1340"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Working Drawings</w:t>
      </w:r>
      <w:r>
        <w:rPr>
          <w:rFonts w:ascii="Arial" w:cs="Arial" w:eastAsia="Arial" w:hAnsi="Arial"/>
          <w:sz w:val="17"/>
          <w:szCs w:val="17"/>
          <w:b w:val="1"/>
          <w:bCs w:val="1"/>
          <w:color w:val="auto"/>
        </w:rPr>
        <w:t>.</w:t>
      </w:r>
    </w:p>
    <w:p>
      <w:pPr>
        <w:spacing w:after="0" w:line="224" w:lineRule="exact"/>
        <w:rPr>
          <w:sz w:val="20"/>
          <w:szCs w:val="20"/>
          <w:color w:val="auto"/>
        </w:rPr>
      </w:pPr>
    </w:p>
    <w:p>
      <w:pPr>
        <w:ind w:firstLine="1259"/>
        <w:spacing w:after="0" w:line="27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Preparation and Delivery</w:t>
      </w:r>
      <w:r>
        <w:rPr>
          <w:rFonts w:ascii="Arial" w:cs="Arial" w:eastAsia="Arial" w:hAnsi="Arial"/>
          <w:sz w:val="16"/>
          <w:szCs w:val="16"/>
          <w:b w:val="1"/>
          <w:bCs w:val="1"/>
          <w:color w:val="auto"/>
        </w:rPr>
        <w:t>.</w:t>
      </w:r>
      <w:r>
        <w:rPr>
          <w:rFonts w:ascii="Arial" w:cs="Arial" w:eastAsia="Arial" w:hAnsi="Arial"/>
          <w:sz w:val="16"/>
          <w:szCs w:val="16"/>
          <w:color w:val="auto"/>
        </w:rPr>
        <w:t xml:space="preserve"> On or before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date on which this Lease is fully executed by Landlord and Tenant (the “</w:t>
      </w:r>
      <w:r>
        <w:rPr>
          <w:rFonts w:ascii="Arial" w:cs="Arial" w:eastAsia="Arial" w:hAnsi="Arial"/>
          <w:sz w:val="16"/>
          <w:szCs w:val="16"/>
          <w:b w:val="1"/>
          <w:bCs w:val="1"/>
          <w:u w:val="single" w:color="auto"/>
          <w:color w:val="auto"/>
        </w:rPr>
        <w:t>Working Drawings Delivery Deadline</w:t>
      </w:r>
      <w:r>
        <w:rPr>
          <w:rFonts w:ascii="Arial" w:cs="Arial" w:eastAsia="Arial" w:hAnsi="Arial"/>
          <w:sz w:val="16"/>
          <w:szCs w:val="16"/>
          <w:color w:val="auto"/>
        </w:rPr>
        <w:t>”), Tenant shall provide to Landlord for its approval working drawings, prepared by the Architect, of all improvements that Tenant proposes to install in the Premises; such working drawings shall include the partition layout, ceiling plan, electrical outlets and switches, telephone outlets, drawings for any modifications to the mechanical, electrical, life safety, plumbing and any other systems of the Building, and detailed plans and specifications for the construction of the improvements called for under this Exhibit in accordance with all applicable Laws and suitable for permitting and construction. The working drawings shall be prepared based upon the Space Plans, subject to (i) modifications necessary to obtain a building permit and other permits required by the City of Austin, and (ii) reasonable adjustments made by the Architect for purposes of safety, efficiency, cost, or other design considerations which could not be reasonably incorporated into the Space Plans given the level of detail involved. If Tenant fails to timely deliver such preliminary working drawings, then each day after the Working Drawings Delivery Deadline that such drawings are not delivered to Landlord shall be a Tenant Delay Day.</w:t>
      </w:r>
    </w:p>
    <w:p>
      <w:pPr>
        <w:spacing w:after="0" w:line="169" w:lineRule="exact"/>
        <w:rPr>
          <w:sz w:val="20"/>
          <w:szCs w:val="20"/>
          <w:color w:val="auto"/>
        </w:rPr>
      </w:pPr>
    </w:p>
    <w:p>
      <w:pPr>
        <w:ind w:right="20" w:firstLine="1259"/>
        <w:spacing w:after="0" w:line="29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u w:val="single" w:color="auto"/>
          <w:color w:val="auto"/>
        </w:rPr>
        <w:t>Landlord’s Approval</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notify Tenant whether it approves of the submitted working drawings within six business days after Tenant’s submission thereof. If Landlord disapproves of such working drawings, then Landlord shall notify Tenant thereof specifying in reasonable detail the reasons for such disapproval, in which case Tenant shall, within three business days after such notice, revise such working drawings in accordance with Landlord’s objections and submit the revised working drawings to Landlord for its review and approval. Landlord shall notify Tenant in writing whether it approves of the resubmitted working drawings within three business days after its receipt thereof. This process shall be repeated until the working drawings have been finally approved by Tenant and Landlord. If Landlord fails to notify Tenant that it disapproves of the initial working drawings within six business days (or, in the case of resubmitted working drawings, within three business days) after the submission thereof, then Landlord shall be deemed to have approved the working drawings in question. Landlord and Tenant agree to use all commercially reasonable efforts to respond with comments or revised drawings as soon as practicable, but in no event later than the deadlines set forth herein. If the working drawings are not fully approved (or deemed approved) by both Landlord and Tenant by the</w:t>
      </w:r>
    </w:p>
    <w:p>
      <w:pPr>
        <w:spacing w:after="0" w:line="4" w:lineRule="exact"/>
        <w:rPr>
          <w:sz w:val="20"/>
          <w:szCs w:val="20"/>
          <w:color w:val="auto"/>
        </w:rPr>
      </w:pPr>
    </w:p>
    <w:p>
      <w:pPr>
        <w:jc w:val="both"/>
        <w:ind w:right="80"/>
        <w:spacing w:after="0" w:line="234" w:lineRule="auto"/>
        <w:rPr>
          <w:sz w:val="20"/>
          <w:szCs w:val="20"/>
          <w:color w:val="auto"/>
        </w:rPr>
      </w:pPr>
      <w:r>
        <w:rPr>
          <w:rFonts w:ascii="Arial" w:cs="Arial" w:eastAsia="Arial" w:hAnsi="Arial"/>
          <w:sz w:val="17"/>
          <w:szCs w:val="17"/>
          <w:color w:val="auto"/>
        </w:rPr>
        <w:t>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after the delivery of the initial draft thereof to Landlord, and such delay was not solely caused by Landlord (e.g., by Landlord’s failure to specify in reasonable detail the reasons for any disapproval of Tenant’s proposed working drawings), then each day after such time period that such working drawings are not fully approved (or deemed approved) by both Landlord and Tenant shall constitute a Tenant Delay Day.</w:t>
      </w:r>
    </w:p>
    <w:p>
      <w:pPr>
        <w:spacing w:after="0" w:line="193" w:lineRule="exact"/>
        <w:rPr>
          <w:sz w:val="20"/>
          <w:szCs w:val="20"/>
          <w:color w:val="auto"/>
        </w:rPr>
      </w:pPr>
    </w:p>
    <w:p>
      <w:pPr>
        <w:jc w:val="both"/>
        <w:ind w:right="140" w:firstLine="1259"/>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Landlord’s Approval; 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If any of Tenant’s proposed construction work will affect the Building’s Structure or the Building’s Systems, then the working drawings pertaining thereto must be approved by the Project’s engineer of record. Landlord’s approval of such working drawings shall not be unreasonably withheld, conditioned or delayed, provided that (a) they comply with all Laws, (b) the improvements depicted thereon do not</w:t>
      </w:r>
    </w:p>
    <w:p>
      <w:pPr>
        <w:sectPr>
          <w:pgSz w:w="11900" w:h="16838" w:orient="portrait"/>
          <w:cols w:equalWidth="0" w:num="1">
            <w:col w:w="11420"/>
          </w:cols>
          <w:pgMar w:left="240" w:top="127" w:right="239" w:bottom="0" w:gutter="0" w:footer="0" w:header="0"/>
        </w:sectPr>
      </w:pPr>
    </w:p>
    <w:bookmarkStart w:id="243" w:name="page244"/>
    <w:bookmarkEnd w:id="243"/>
    <w:p>
      <w:pPr>
        <w:ind w:right="120" w:firstLine="5"/>
        <w:spacing w:after="0" w:line="314" w:lineRule="auto"/>
        <w:tabs>
          <w:tab w:leader="none" w:pos="247"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adversely affect (in the reasonable discretion of Landlord) the Building’s Structure or the Building’s Systems (including the Project’s restrooms or mechanical rooms), or (2) affect (in the sole discretion of Landlord) (A) the exterior appearance of the Project, (B) the appearance of the Project’s common areas or elevator lobby areas or (C) the provision of services to other occupants of the Project, (c) such working drawings are sufficiently detailed to allow construction of the improvements and associated work in a good and workmanlike manner, and (d) the improvements depicted thereon conform to the rules and regulations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promulgated from time to time by Landlord for the construction of tenant improvements (a copy of which has been delivered to Tenant). As used herein,</w:t>
      </w:r>
    </w:p>
    <w:p>
      <w:pPr>
        <w:spacing w:after="0" w:line="26"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Working Drawings</w:t>
      </w:r>
      <w:r>
        <w:rPr>
          <w:rFonts w:ascii="Arial" w:cs="Arial" w:eastAsia="Arial" w:hAnsi="Arial"/>
          <w:sz w:val="17"/>
          <w:szCs w:val="17"/>
          <w:color w:val="auto"/>
        </w:rPr>
        <w:t>” means the final working drawings approved by Landlord, as amended from time to time by any approved changes thereto, and “</w:t>
      </w:r>
      <w:r>
        <w:rPr>
          <w:rFonts w:ascii="Arial" w:cs="Arial" w:eastAsia="Arial" w:hAnsi="Arial"/>
          <w:sz w:val="17"/>
          <w:szCs w:val="17"/>
          <w:b w:val="1"/>
          <w:bCs w:val="1"/>
          <w:u w:val="single" w:color="auto"/>
          <w:color w:val="auto"/>
        </w:rPr>
        <w:t>Work</w:t>
      </w:r>
      <w:r>
        <w:rPr>
          <w:rFonts w:ascii="Arial" w:cs="Arial" w:eastAsia="Arial" w:hAnsi="Arial"/>
          <w:sz w:val="17"/>
          <w:szCs w:val="17"/>
          <w:color w:val="auto"/>
        </w:rPr>
        <w:t>” means all improvements to be constructed by Landlord in accordance with and as indicated on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(i) Landlord shall use commercially reasonable efforts to expedite acquisition of all necessary permits and approvals for the completion of the Work, and (ii) Landlord shall cause the Work to be performed in substantial accordance with the Working Drawings, using contractors and subcontractors selected by Landlord.</w:t>
      </w:r>
    </w:p>
    <w:p>
      <w:pPr>
        <w:spacing w:after="0" w:line="178" w:lineRule="exact"/>
        <w:rPr>
          <w:sz w:val="20"/>
          <w:szCs w:val="20"/>
          <w:color w:val="auto"/>
        </w:rPr>
      </w:pPr>
    </w:p>
    <w:p>
      <w:pPr>
        <w:ind w:right="20" w:firstLine="634"/>
        <w:spacing w:after="0" w:line="283" w:lineRule="auto"/>
        <w:tabs>
          <w:tab w:leader="none" w:pos="1328" w:val="left"/>
        </w:tabs>
        <w:numPr>
          <w:ilvl w:val="0"/>
          <w:numId w:val="222"/>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Orders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initiate changes in the Work. Any change to the Working Drawings must receive the prior written approval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such approval not to be unreasonably withheld or delayed; however, (a) if such requested change would adversely affect (in the reasonable discretion of Landlord) (1) the Building’s Structure or the Building’s Systems (including the Project’s restrooms or mechanical rooms), (2) the exterior appearance of the Project, or (3) the appearance of the Project’s common areas or elevator lobby areas, or (b) if any such requested change might delay the Commencement Date, Landlord may withhold its consent in its sole and absolute discretion. Landlord may initiate minor changes required due to construction exigencies, e.g., relocating a wall stud, window or door frame, or an electrical switch or outlet, with Tenant’s prior consent (which request and consent may be verbal). If Tenant fails to respond within eight hours to any request for consent to a minor construction change order, Tenant shall be deemed to have approved the change.</w:t>
      </w:r>
    </w:p>
    <w:p>
      <w:pPr>
        <w:spacing w:after="0" w:line="159" w:lineRule="exact"/>
        <w:rPr>
          <w:rFonts w:ascii="Arial" w:cs="Arial" w:eastAsia="Arial" w:hAnsi="Arial"/>
          <w:sz w:val="16"/>
          <w:szCs w:val="16"/>
          <w:color w:val="auto"/>
        </w:rPr>
      </w:pPr>
    </w:p>
    <w:p>
      <w:pPr>
        <w:ind w:firstLine="634"/>
        <w:spacing w:after="0" w:line="296" w:lineRule="auto"/>
        <w:tabs>
          <w:tab w:leader="none" w:pos="1328" w:val="left"/>
        </w:tabs>
        <w:numPr>
          <w:ilvl w:val="0"/>
          <w:numId w:val="222"/>
        </w:numPr>
        <w:rPr>
          <w:rFonts w:ascii="Arial" w:cs="Arial" w:eastAsia="Arial" w:hAnsi="Arial"/>
          <w:sz w:val="15"/>
          <w:szCs w:val="15"/>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used herein, a “</w:t>
      </w:r>
      <w:r>
        <w:rPr>
          <w:rFonts w:ascii="Arial" w:cs="Arial" w:eastAsia="Arial" w:hAnsi="Arial"/>
          <w:sz w:val="15"/>
          <w:szCs w:val="15"/>
          <w:b w:val="1"/>
          <w:bCs w:val="1"/>
          <w:u w:val="single" w:color="auto"/>
          <w:color w:val="auto"/>
        </w:rPr>
        <w:t>Tenant Delay Day</w:t>
      </w:r>
      <w:r>
        <w:rPr>
          <w:rFonts w:ascii="Arial" w:cs="Arial" w:eastAsia="Arial" w:hAnsi="Arial"/>
          <w:sz w:val="15"/>
          <w:szCs w:val="15"/>
          <w:color w:val="auto"/>
        </w:rPr>
        <w:t>” means each day of delay in the performance of the Work that occurs (a) because Tenant</w:t>
      </w:r>
      <w:r>
        <w:rPr>
          <w:rFonts w:ascii="Arial" w:cs="Arial" w:eastAsia="Arial" w:hAnsi="Arial"/>
          <w:sz w:val="15"/>
          <w:szCs w:val="15"/>
          <w:b w:val="1"/>
          <w:bCs w:val="1"/>
          <w:color w:val="auto"/>
        </w:rPr>
        <w:t xml:space="preserve"> </w:t>
      </w:r>
      <w:r>
        <w:rPr>
          <w:rFonts w:ascii="Arial" w:cs="Arial" w:eastAsia="Arial" w:hAnsi="Arial"/>
          <w:sz w:val="15"/>
          <w:szCs w:val="15"/>
          <w:color w:val="auto"/>
        </w:rPr>
        <w:t>fails to timely furnish any information or deliver or approve any required documents such as the Space Plans or Working Drawings (whether preliminary, interim revisions or final), pricing estimates, construction bids, and the like, (b) solely due to a change order submitted by Tenant to the Space Plans or Working Drawings and approved pursuant to Section (4) above, (c) because Tenant fails to (i) attend (whether by teleconference or videoconference or, at Tenant’s election, in person) any meeting of which Tenant has at least 24 hours prior notice (which notice shall be sent by electronic mail or U.S. Mail to Tenant’s construction representative or his designee, provided that Landlord has received the notice and electronic mail address of such designee), whether such meeting is with Landlord, the architect, any design professional, or any contractor, or their respective employees or representatives, as may be required or scheduled hereunder or otherwise necessary in connection with the preparation or completion of any construction documents, such as the Space Plans or Working Drawings, or in connection with the performance of the Work, (d) because of any specification by Tenant of materials or installations in addition to or other than Landlord’s standard finish-out materials or any materials that are not readily available, after Tenant has been notified in writing by Landlord that such materials or installations are not readily available, or (e) because a Tenant Party otherwise unreasonably delays completion of the Work. As used herein, “</w:t>
      </w:r>
      <w:r>
        <w:rPr>
          <w:rFonts w:ascii="Arial" w:cs="Arial" w:eastAsia="Arial" w:hAnsi="Arial"/>
          <w:sz w:val="15"/>
          <w:szCs w:val="15"/>
          <w:b w:val="1"/>
          <w:bCs w:val="1"/>
          <w:u w:val="single" w:color="auto"/>
          <w:color w:val="auto"/>
        </w:rPr>
        <w:t>Landlord Delay Day</w:t>
      </w:r>
      <w:r>
        <w:rPr>
          <w:rFonts w:ascii="Arial" w:cs="Arial" w:eastAsia="Arial" w:hAnsi="Arial"/>
          <w:sz w:val="15"/>
          <w:szCs w:val="15"/>
          <w:color w:val="auto"/>
        </w:rPr>
        <w:t>” means any delay in the completion of the Work which is directly attributable to the affirmative acts or willful failure to act by Landlord or Landlord’s employees, agents or contractors, e.g., Landlord unreasonably fails to respond to any Tenant request for a change to the Space Plans or Working Drawings within the time-frames set forth in this Exhibit, fails to attend any meeting of which Landlord has at least eight hours’ prior notice, or otherwise unreasonably delays completion of the Work, Provided that Landlord timely files applications for all required permits and approvals, the failure to timely receive such permits and approvals, whether due to Tenant’s failure to provide satisfactory Working Drawings or the failure of the granting authority to respond to such applications in a timely manner, shall not be a Landlord Delay Day. As used herein, “</w:t>
      </w:r>
      <w:r>
        <w:rPr>
          <w:rFonts w:ascii="Arial" w:cs="Arial" w:eastAsia="Arial" w:hAnsi="Arial"/>
          <w:sz w:val="15"/>
          <w:szCs w:val="15"/>
          <w:b w:val="1"/>
          <w:bCs w:val="1"/>
          <w:u w:val="single" w:color="auto"/>
          <w:color w:val="auto"/>
        </w:rPr>
        <w:t>Substantial Completion</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Substantially Completed</w:t>
      </w:r>
      <w:r>
        <w:rPr>
          <w:rFonts w:ascii="Arial" w:cs="Arial" w:eastAsia="Arial" w:hAnsi="Arial"/>
          <w:sz w:val="15"/>
          <w:szCs w:val="15"/>
          <w:color w:val="auto"/>
        </w:rPr>
        <w:t>” and any derivations thereof mean the Work in the Premises is substantially completed (as reasonably determined by Landlord) in substantial accordance with the Working Drawings. Substantial Completion shall have occurred even though minor details of construction, decoration, landscaping and mechanical adjustments remain to be completed by Landlord.</w:t>
      </w:r>
    </w:p>
    <w:p>
      <w:pPr>
        <w:spacing w:after="0" w:line="365" w:lineRule="exact"/>
        <w:rPr>
          <w:rFonts w:ascii="Arial" w:cs="Arial" w:eastAsia="Arial" w:hAnsi="Arial"/>
          <w:sz w:val="15"/>
          <w:szCs w:val="15"/>
          <w:color w:val="auto"/>
        </w:rPr>
      </w:pPr>
    </w:p>
    <w:p>
      <w:pPr>
        <w:ind w:right="160" w:firstLine="634"/>
        <w:spacing w:after="0" w:line="267" w:lineRule="auto"/>
        <w:tabs>
          <w:tab w:leader="none" w:pos="1328" w:val="left"/>
        </w:tabs>
        <w:numPr>
          <w:ilvl w:val="0"/>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Walk-Through; Punchlist</w:t>
      </w:r>
      <w:r>
        <w:rPr>
          <w:rFonts w:ascii="Arial" w:cs="Arial" w:eastAsia="Arial" w:hAnsi="Arial"/>
          <w:sz w:val="17"/>
          <w:szCs w:val="17"/>
          <w:b w:val="1"/>
          <w:bCs w:val="1"/>
          <w:color w:val="auto"/>
        </w:rPr>
        <w:t xml:space="preserve">. </w:t>
      </w:r>
      <w:r>
        <w:rPr>
          <w:rFonts w:ascii="Arial" w:cs="Arial" w:eastAsia="Arial" w:hAnsi="Arial"/>
          <w:sz w:val="17"/>
          <w:szCs w:val="17"/>
          <w:color w:val="auto"/>
        </w:rPr>
        <w:t>When Landlord considers the Work in the Premises to be Substantially Completed, Landlord will notify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within three business days 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Landlord shall use reasonable efforts to cause the contractor performing the Work to complete all punchlist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items within 15 business days after agreement thereon; however, Landlord shall not be obligated to engage overtime labor in order to complete such items.</w:t>
      </w:r>
    </w:p>
    <w:p>
      <w:pPr>
        <w:spacing w:after="0" w:line="230" w:lineRule="exact"/>
        <w:rPr>
          <w:sz w:val="20"/>
          <w:szCs w:val="20"/>
          <w:color w:val="auto"/>
        </w:rPr>
      </w:pPr>
    </w:p>
    <w:p>
      <w:pPr>
        <w:ind w:right="120" w:firstLine="634"/>
        <w:spacing w:after="0" w:line="281" w:lineRule="auto"/>
        <w:tabs>
          <w:tab w:leader="none" w:pos="1328" w:val="left"/>
        </w:tabs>
        <w:numPr>
          <w:ilvl w:val="0"/>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Costs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bear the entire cost of performing the Work depicted on the Space Plans (including the pricing schedule) initially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submitted to and approved by Landlord and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as further depicted on the Working Drawings initially approved by Landlord. Tenant shall bear the entire additional actual, out-of-pocket costs incurred by Landlord in performing the Work solely because of any event specified in the definition of Tenant Delay Day. Tenant shall pay Landlord an amount equal to 90% of the estimated additional costs of any change to the Space Plans or the Working Drawings at the time of such change; Tenant shall pay to Landlord the remaining portion of additional costs incurred in performing the Work because of an event specified in the definition of Tenant Delay Day upon Substantial Completion of the Work. In consideration for Landlord’s management and supervision for services performed in connection with the Work because of any event specified in the definition of Tenant Delay Day, Tenant shall pay to Landlord a construction management fee equal to five percent of the additional costs specified in this Section 7.</w:t>
      </w:r>
    </w:p>
    <w:p>
      <w:pPr>
        <w:spacing w:after="0" w:line="164" w:lineRule="exact"/>
        <w:rPr>
          <w:rFonts w:ascii="Arial" w:cs="Arial" w:eastAsia="Arial" w:hAnsi="Arial"/>
          <w:sz w:val="16"/>
          <w:szCs w:val="16"/>
          <w:color w:val="auto"/>
        </w:rPr>
      </w:pPr>
    </w:p>
    <w:p>
      <w:pPr>
        <w:ind w:firstLine="634"/>
        <w:spacing w:after="0" w:line="292" w:lineRule="auto"/>
        <w:tabs>
          <w:tab w:leader="none" w:pos="1328" w:val="left"/>
        </w:tabs>
        <w:numPr>
          <w:ilvl w:val="0"/>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provide Tenant an allowance of up to $3.00 per rentable square foot in the Premises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installation of Tenant’s telecommunications wiring and cabling in the Premises (the “</w:t>
      </w: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color w:val="auto"/>
        </w:rPr>
        <w:t>”). Within 30 days following the date on which Tenant presents Landlord with an invoice and evidence of Tenant’s payment thereof, Landlord shall reimburse Tenant’s actual, out-of-pocket expenses incurred in connection with the purchase and installation of Tenant’s wiring and cabling, up to a maximum amount of the Wiring and Cabling Allowance.</w:t>
      </w:r>
    </w:p>
    <w:p>
      <w:pPr>
        <w:spacing w:after="0" w:line="153" w:lineRule="exact"/>
        <w:rPr>
          <w:rFonts w:ascii="Arial" w:cs="Arial" w:eastAsia="Arial" w:hAnsi="Arial"/>
          <w:sz w:val="16"/>
          <w:szCs w:val="16"/>
          <w:color w:val="auto"/>
        </w:rPr>
      </w:pPr>
    </w:p>
    <w:p>
      <w:pPr>
        <w:jc w:val="both"/>
        <w:ind w:firstLine="634"/>
        <w:spacing w:after="0" w:line="270" w:lineRule="auto"/>
        <w:tabs>
          <w:tab w:leader="none" w:pos="1328" w:val="left"/>
        </w:tabs>
        <w:numPr>
          <w:ilvl w:val="0"/>
          <w:numId w:val="223"/>
        </w:numPr>
        <w:rPr>
          <w:rFonts w:ascii="Arial" w:cs="Arial" w:eastAsia="Arial" w:hAnsi="Arial"/>
          <w:sz w:val="17"/>
          <w:szCs w:val="17"/>
          <w:color w:val="auto"/>
        </w:rPr>
      </w:pPr>
      <w:r>
        <w:rPr>
          <w:rFonts w:ascii="Arial" w:cs="Arial" w:eastAsia="Arial" w:hAnsi="Arial"/>
          <w:sz w:val="17"/>
          <w:szCs w:val="17"/>
          <w:b w:val="1"/>
          <w:bCs w:val="1"/>
          <w:u w:val="single" w:color="auto"/>
          <w:color w:val="auto"/>
        </w:rPr>
        <w:t>Test-Fit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provide Tenant a test-fit allowance of up to $0.10 per rentable square foot in the Premises, or $1,036.40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Test-Fit Allowance</w:t>
      </w:r>
      <w:r>
        <w:rPr>
          <w:rFonts w:ascii="Arial" w:cs="Arial" w:eastAsia="Arial" w:hAnsi="Arial"/>
          <w:sz w:val="17"/>
          <w:szCs w:val="17"/>
          <w:color w:val="auto"/>
        </w:rPr>
        <w:t>”) for the preparation of the Space Plans. Within 30 business days following the date on which Tenant presents Landlord with an invoice from the Architect and evidence of Tenant’s payment thereof, Landlord shall reimburse Tenant’s actual, out-of-pocket expenses incurred in connection with the Architect with respect to the Space Plans, up to a maximum amount of the Test-Fit Allowance.</w:t>
      </w:r>
    </w:p>
    <w:p>
      <w:pPr>
        <w:sectPr>
          <w:pgSz w:w="11900" w:h="16838" w:orient="portrait"/>
          <w:cols w:equalWidth="0" w:num="1">
            <w:col w:w="11420"/>
          </w:cols>
          <w:pgMar w:left="240" w:top="127" w:right="239" w:bottom="39" w:gutter="0" w:footer="0" w:header="0"/>
        </w:sectPr>
      </w:pPr>
    </w:p>
    <w:bookmarkStart w:id="244" w:name="page245"/>
    <w:bookmarkEnd w:id="244"/>
    <w:p>
      <w:pPr>
        <w:ind w:firstLine="634"/>
        <w:spacing w:after="0" w:line="277" w:lineRule="auto"/>
        <w:tabs>
          <w:tab w:leader="none" w:pos="1284" w:val="left"/>
        </w:tabs>
        <w:numPr>
          <w:ilvl w:val="0"/>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representatives for coordination of construction and approval of change orders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 provided that either party may change its representative upon written notice to the other and Tenant reserves the right to designate a temporary alternate representative for purposes of attending meetings requested by Landlord or the contractor:</w:t>
      </w:r>
    </w:p>
    <w:p>
      <w:pPr>
        <w:sectPr>
          <w:pgSz w:w="11900" w:h="16838" w:orient="portrait"/>
          <w:cols w:equalWidth="0" w:num="1">
            <w:col w:w="11400"/>
          </w:cols>
          <w:pgMar w:left="240" w:top="121"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Landlord’s Representative: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Curt Whitlatch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 HPI Construction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3600 N. Capital of Texas Highway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Building B,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78746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Telephone: 512.719.3050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whitlatch@hpitx.com</w:t>
      </w:r>
    </w:p>
    <w:p>
      <w:pPr>
        <w:spacing w:after="0" w:line="200" w:lineRule="exact"/>
        <w:rPr>
          <w:sz w:val="20"/>
          <w:szCs w:val="20"/>
          <w:color w:val="auto"/>
        </w:rPr>
      </w:pPr>
    </w:p>
    <w:p>
      <w:pPr>
        <w:sectPr>
          <w:pgSz w:w="11900" w:h="16838" w:orient="portrait"/>
          <w:cols w:equalWidth="0" w:num="2">
            <w:col w:w="2960" w:space="720"/>
            <w:col w:w="7720"/>
          </w:cols>
          <w:pgMar w:left="240" w:top="121" w:right="2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Tenant’s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Mark Spring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Veracyte,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Ct., Suite 250</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Telephone: 650.243.6341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650.243.6301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mark@Veracyte.com</w:t>
      </w:r>
    </w:p>
    <w:p>
      <w:pPr>
        <w:spacing w:after="0" w:line="200" w:lineRule="exact"/>
        <w:rPr>
          <w:sz w:val="20"/>
          <w:szCs w:val="20"/>
          <w:color w:val="auto"/>
        </w:rPr>
      </w:pPr>
    </w:p>
    <w:p>
      <w:pPr>
        <w:sectPr>
          <w:pgSz w:w="11900" w:h="16838" w:orient="portrait"/>
          <w:cols w:equalWidth="0" w:num="2">
            <w:col w:w="2960" w:space="720"/>
            <w:col w:w="7720"/>
          </w:cols>
          <w:pgMar w:left="240" w:top="121" w:right="259" w:bottom="1440" w:gutter="0" w:footer="0" w:header="0"/>
          <w:type w:val="continuous"/>
        </w:sectPr>
      </w:pPr>
    </w:p>
    <w:p>
      <w:pPr>
        <w:spacing w:after="0" w:line="6" w:lineRule="exact"/>
        <w:rPr>
          <w:sz w:val="20"/>
          <w:szCs w:val="20"/>
          <w:color w:val="auto"/>
        </w:rPr>
      </w:pPr>
    </w:p>
    <w:p>
      <w:pPr>
        <w:ind w:right="60" w:firstLine="634"/>
        <w:spacing w:after="0" w:line="297" w:lineRule="auto"/>
        <w:tabs>
          <w:tab w:leader="none" w:pos="1278" w:val="left"/>
        </w:tabs>
        <w:numPr>
          <w:ilvl w:val="0"/>
          <w:numId w:val="225"/>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not inconsistent with this Exhibit, Sections 8.1 and 21 of this Lease shall govern the performance of the Work and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respective rights and obligations regarding the improvements installed pursuant thereto.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SCHEDULE 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APPROVED SPACE PLANS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[1st Floor Approved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149860</wp:posOffset>
            </wp:positionV>
            <wp:extent cx="4353560" cy="6002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53560" cy="600202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45" w:name="page246"/>
    <w:bookmarkEnd w:id="245"/>
    <w:p>
      <w:pPr>
        <w:jc w:val="right"/>
        <w:ind w:right="40"/>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12357 A RIATA TRACE PARKWAY, BUILDING 5</w:t>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900" w:type="dxa"/>
            <w:vAlign w:val="bottom"/>
            <w:gridSpan w:val="2"/>
          </w:tcPr>
          <w:p>
            <w:pPr>
              <w:jc w:val="center"/>
              <w:ind w:right="1113"/>
              <w:spacing w:after="0"/>
              <w:rPr>
                <w:sz w:val="20"/>
                <w:szCs w:val="20"/>
                <w:color w:val="auto"/>
              </w:rPr>
            </w:pPr>
            <w:r>
              <w:rPr>
                <w:rFonts w:ascii="Arial" w:cs="Arial" w:eastAsia="Arial" w:hAnsi="Arial"/>
                <w:sz w:val="17"/>
                <w:szCs w:val="17"/>
                <w:color w:val="auto"/>
                <w:w w:val="93"/>
              </w:rPr>
              <w:t>[6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Street Construction Logo]</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Date of Bid:</w:t>
            </w:r>
          </w:p>
        </w:tc>
        <w:tc>
          <w:tcPr>
            <w:tcW w:w="1440" w:type="dxa"/>
            <w:vAlign w:val="bottom"/>
            <w:gridSpan w:val="2"/>
          </w:tcPr>
          <w:p>
            <w:pPr>
              <w:jc w:val="right"/>
              <w:ind w:right="193"/>
              <w:spacing w:after="0"/>
              <w:rPr>
                <w:sz w:val="20"/>
                <w:szCs w:val="20"/>
                <w:color w:val="auto"/>
              </w:rPr>
            </w:pPr>
            <w:r>
              <w:rPr>
                <w:rFonts w:ascii="Arial" w:cs="Arial" w:eastAsia="Arial" w:hAnsi="Arial"/>
                <w:sz w:val="17"/>
                <w:szCs w:val="17"/>
                <w:color w:val="auto"/>
              </w:rPr>
              <w:t>Thursday,</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7"/>
                <w:szCs w:val="17"/>
                <w:color w:val="auto"/>
              </w:rPr>
              <w:t>October 04,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ind w:right="373"/>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900" w:type="dxa"/>
            <w:vAlign w:val="bottom"/>
            <w:gridSpan w:val="2"/>
            <w:vMerge w:val="restart"/>
          </w:tcPr>
          <w:p>
            <w:pPr>
              <w:jc w:val="center"/>
              <w:ind w:right="1113"/>
              <w:spacing w:after="0"/>
              <w:rPr>
                <w:sz w:val="20"/>
                <w:szCs w:val="20"/>
                <w:color w:val="auto"/>
              </w:rPr>
            </w:pPr>
            <w:r>
              <w:rPr>
                <w:rFonts w:ascii="Arial" w:cs="Arial" w:eastAsia="Arial" w:hAnsi="Arial"/>
                <w:sz w:val="17"/>
                <w:szCs w:val="17"/>
                <w:color w:val="auto"/>
                <w:w w:val="95"/>
              </w:rPr>
              <w:t>706B West Ben White Blvd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Total Base Bid:</w:t>
            </w:r>
          </w:p>
        </w:tc>
        <w:tc>
          <w:tcPr>
            <w:tcW w:w="7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9"/>
              </w:rPr>
              <w:t>62,049.48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1"/>
              </w:rPr>
              <w:t>Suite 195</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6"/>
              </w:rPr>
              <w:t>Austin, TX 78704</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spacing w:after="0"/>
              <w:rPr>
                <w:sz w:val="24"/>
                <w:szCs w:val="24"/>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w:t>
            </w:r>
          </w:p>
        </w:tc>
        <w:tc>
          <w:tcPr>
            <w:tcW w:w="1780" w:type="dxa"/>
            <w:vAlign w:val="bottom"/>
          </w:tcPr>
          <w:p>
            <w:pPr>
              <w:ind w:left="20"/>
              <w:spacing w:after="0"/>
              <w:rPr>
                <w:sz w:val="20"/>
                <w:szCs w:val="20"/>
                <w:color w:val="auto"/>
              </w:rPr>
            </w:pPr>
            <w:r>
              <w:rPr>
                <w:rFonts w:ascii="Arial" w:cs="Arial" w:eastAsia="Arial" w:hAnsi="Arial"/>
                <w:sz w:val="17"/>
                <w:szCs w:val="17"/>
                <w:color w:val="auto"/>
              </w:rPr>
              <w:t>Veracyte Test Fit</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Address:</w:t>
            </w:r>
          </w:p>
        </w:tc>
        <w:tc>
          <w:tcPr>
            <w:tcW w:w="2720" w:type="dxa"/>
            <w:vAlign w:val="bottom"/>
            <w:gridSpan w:val="2"/>
          </w:tcPr>
          <w:p>
            <w:pPr>
              <w:ind w:left="20"/>
              <w:spacing w:after="0"/>
              <w:rPr>
                <w:sz w:val="20"/>
                <w:szCs w:val="20"/>
                <w:color w:val="auto"/>
              </w:rPr>
            </w:pPr>
            <w:r>
              <w:rPr>
                <w:rFonts w:ascii="Arial" w:cs="Arial" w:eastAsia="Arial" w:hAnsi="Arial"/>
                <w:sz w:val="17"/>
                <w:szCs w:val="17"/>
                <w:color w:val="auto"/>
              </w:rPr>
              <w:t>12331 Riata Trace Parkway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1st Floor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Austin, Texas 78727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Estimator:</w:t>
            </w:r>
          </w:p>
        </w:tc>
        <w:tc>
          <w:tcPr>
            <w:tcW w:w="1780" w:type="dxa"/>
            <w:vAlign w:val="bottom"/>
          </w:tcPr>
          <w:p>
            <w:pPr>
              <w:ind w:left="20"/>
              <w:spacing w:after="0"/>
              <w:rPr>
                <w:sz w:val="20"/>
                <w:szCs w:val="20"/>
                <w:color w:val="auto"/>
              </w:rPr>
            </w:pPr>
            <w:r>
              <w:rPr>
                <w:rFonts w:ascii="Arial" w:cs="Arial" w:eastAsia="Arial" w:hAnsi="Arial"/>
                <w:sz w:val="17"/>
                <w:szCs w:val="17"/>
                <w:color w:val="auto"/>
              </w:rPr>
              <w:t>Freda Puckett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20" w:type="dxa"/>
            <w:vAlign w:val="bottom"/>
            <w:gridSpan w:val="2"/>
            <w:vMerge w:val="restart"/>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7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Architect:</w:t>
            </w:r>
          </w:p>
        </w:tc>
        <w:tc>
          <w:tcPr>
            <w:tcW w:w="1780" w:type="dxa"/>
            <w:vAlign w:val="bottom"/>
          </w:tcPr>
          <w:p>
            <w:pPr>
              <w:ind w:left="420"/>
              <w:spacing w:after="0"/>
              <w:rPr>
                <w:sz w:val="20"/>
                <w:szCs w:val="20"/>
                <w:color w:val="auto"/>
              </w:rPr>
            </w:pPr>
            <w:r>
              <w:rPr>
                <w:rFonts w:ascii="Arial" w:cs="Arial" w:eastAsia="Arial" w:hAnsi="Arial"/>
                <w:sz w:val="17"/>
                <w:szCs w:val="17"/>
                <w:color w:val="auto"/>
              </w:rPr>
              <w:t>Lauckgroup</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93"/>
              <w:spacing w:after="0"/>
              <w:rPr>
                <w:sz w:val="20"/>
                <w:szCs w:val="20"/>
                <w:color w:val="auto"/>
              </w:rPr>
            </w:pPr>
            <w:r>
              <w:rPr>
                <w:rFonts w:ascii="Arial" w:cs="Arial" w:eastAsia="Arial" w:hAnsi="Arial"/>
                <w:sz w:val="17"/>
                <w:szCs w:val="17"/>
                <w:color w:val="auto"/>
                <w:w w:val="95"/>
              </w:rPr>
              <w:t>9.13.12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Designer: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Engineer: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41</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5"/>
              </w:rPr>
              <w:t>Drywall/Acoustical/Demo</w:t>
            </w:r>
          </w:p>
        </w:tc>
        <w:tc>
          <w:tcPr>
            <w:tcW w:w="1780" w:type="dxa"/>
            <w:vAlign w:val="bottom"/>
            <w:vMerge w:val="restart"/>
          </w:tcPr>
          <w:p>
            <w:pPr>
              <w:ind w:left="920"/>
              <w:spacing w:after="0"/>
              <w:rPr>
                <w:sz w:val="20"/>
                <w:szCs w:val="20"/>
                <w:color w:val="auto"/>
              </w:rPr>
            </w:pPr>
            <w:r>
              <w:rPr>
                <w:rFonts w:ascii="Arial" w:cs="Arial" w:eastAsia="Arial" w:hAnsi="Arial"/>
                <w:sz w:val="17"/>
                <w:szCs w:val="17"/>
                <w:color w:val="auto"/>
              </w:rPr>
              <w:t>demo</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vMerge w:val="restart"/>
          </w:tcPr>
          <w:p>
            <w:pPr>
              <w:jc w:val="center"/>
              <w:ind w:right="1073"/>
              <w:spacing w:after="0"/>
              <w:rPr>
                <w:sz w:val="20"/>
                <w:szCs w:val="20"/>
                <w:color w:val="auto"/>
              </w:rPr>
            </w:pPr>
            <w:r>
              <w:rPr>
                <w:rFonts w:ascii="Arial" w:cs="Arial" w:eastAsia="Arial" w:hAnsi="Arial"/>
                <w:sz w:val="17"/>
                <w:szCs w:val="17"/>
                <w:color w:val="auto"/>
                <w:w w:val="92"/>
              </w:rPr>
              <w:t>469.97 Demo as required</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4,075.98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drywall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4"/>
              </w:rPr>
              <w:t>3,093.48 New under grid walls per plan</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acoustical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1"/>
              </w:rPr>
              <w:t>512.53 Patch as required</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4"/>
              </w:rPr>
              <w:t>Doors, Frames, Hardware</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6,782.00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4840" w:type="dxa"/>
            <w:vAlign w:val="bottom"/>
            <w:gridSpan w:val="3"/>
          </w:tcPr>
          <w:p>
            <w:pPr>
              <w:ind w:left="160"/>
              <w:spacing w:after="0"/>
              <w:rPr>
                <w:sz w:val="20"/>
                <w:szCs w:val="20"/>
                <w:color w:val="auto"/>
              </w:rPr>
            </w:pPr>
            <w:r>
              <w:rPr>
                <w:rFonts w:ascii="Arial" w:cs="Arial" w:eastAsia="Arial" w:hAnsi="Arial"/>
                <w:sz w:val="17"/>
                <w:szCs w:val="17"/>
                <w:color w:val="auto"/>
              </w:rPr>
              <w:t>(6) new door units to include locksets, (l) relocat door unit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Plumbing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8,175.00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Break concrete and install a floor drain for shower drain, concrete ptur back to a rough condition, furnish and install (1) emergmcy shower per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specs, mixing valve for shower (required but not in specs), add new sink to match existing</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Mechanical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3,100.00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8"/>
              </w:rPr>
              <w:t>Pre-con service check on exisitng controls and equipment, filter media on bldg return air, add supply and returns for new offices, in house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balance</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16</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Electrical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3,800.00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Demo, install switches in (6) new offices, relocate/reswitch lights as neded, add exit light in office 109, add outlets on each side of new walls,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exisitng power pole and feed to remain as in Wet Lab, no new power included in Wet Lab</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Tape, Float, paint</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2,400.00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Patch and prep existing walls affected, tape and float new walls, paint new walls and walls affected by construction ONLY</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23</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Flooring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b w:val="1"/>
                <w:bCs w:val="1"/>
                <w:color w:val="auto"/>
              </w:rPr>
              <w:t>$12,320.00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5"/>
              </w:rPr>
              <w:t>Furnish/install 80 yds of carpet at $24 sy allownace installed, furnish/install sheet viryl with welded seams (no flash cove), furnish/install rubber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660" w:type="dxa"/>
            <w:vAlign w:val="bottom"/>
            <w:gridSpan w:val="5"/>
          </w:tcPr>
          <w:p>
            <w:pPr>
              <w:ind w:left="160"/>
              <w:spacing w:after="0"/>
              <w:rPr>
                <w:sz w:val="20"/>
                <w:szCs w:val="20"/>
                <w:color w:val="auto"/>
              </w:rPr>
            </w:pPr>
            <w:r>
              <w:rPr>
                <w:rFonts w:ascii="Arial" w:cs="Arial" w:eastAsia="Arial" w:hAnsi="Arial"/>
                <w:sz w:val="17"/>
                <w:szCs w:val="17"/>
                <w:color w:val="auto"/>
                <w:w w:val="93"/>
              </w:rPr>
              <w:t>base, epoxy floor at emergency shower ONLY with 6” base (approx 3x3 area)</w:t>
            </w: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35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Sprinklers</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1,650.00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20</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Millwork</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950.00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Lower cabinet for the (2) new sinks by Shower, repair millwork for shower install, See Alt for Island Millwork</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Alarm Systems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2,543.00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Final Clean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auto"/>
              </w:rPr>
              <w:t>Includes area of construction ONLY</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Miscellaneous</w:t>
            </w:r>
          </w:p>
        </w:tc>
        <w:tc>
          <w:tcPr>
            <w:tcW w:w="2720" w:type="dxa"/>
            <w:vAlign w:val="bottom"/>
            <w:gridSpan w:val="2"/>
            <w:vMerge w:val="restart"/>
          </w:tcPr>
          <w:p>
            <w:pPr>
              <w:ind w:left="460"/>
              <w:spacing w:after="0"/>
              <w:rPr>
                <w:sz w:val="20"/>
                <w:szCs w:val="20"/>
                <w:color w:val="auto"/>
              </w:rPr>
            </w:pPr>
            <w:r>
              <w:rPr>
                <w:rFonts w:ascii="Arial" w:cs="Arial" w:eastAsia="Arial" w:hAnsi="Arial"/>
                <w:sz w:val="17"/>
                <w:szCs w:val="17"/>
                <w:color w:val="auto"/>
                <w:w w:val="93"/>
              </w:rPr>
              <w:t>Fire Cabinets and extinguishers</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ind w:right="33"/>
              <w:spacing w:after="0"/>
              <w:rPr>
                <w:sz w:val="20"/>
                <w:szCs w:val="20"/>
                <w:color w:val="auto"/>
              </w:rPr>
            </w:pPr>
            <w:r>
              <w:rPr>
                <w:rFonts w:ascii="Arial" w:cs="Arial" w:eastAsia="Arial" w:hAnsi="Arial"/>
                <w:sz w:val="17"/>
                <w:szCs w:val="17"/>
                <w:color w:val="auto"/>
                <w:w w:val="96"/>
              </w:rPr>
              <w:t>300.00</w:t>
            </w:r>
          </w:p>
        </w:tc>
        <w:tc>
          <w:tcPr>
            <w:tcW w:w="4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525.00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rPr>
              <w:t>Port-o-can $</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w w:val="96"/>
              </w:rPr>
              <w:t>225.00</w:t>
            </w:r>
          </w:p>
        </w:tc>
        <w:tc>
          <w:tcPr>
            <w:tcW w:w="40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7,255.00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General Conditions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20" w:type="dxa"/>
            <w:vAlign w:val="bottom"/>
            <w:vMerge w:val="restart"/>
          </w:tcPr>
          <w:p>
            <w:pPr>
              <w:jc w:val="right"/>
              <w:ind w:right="2833"/>
              <w:spacing w:after="0"/>
              <w:rPr>
                <w:sz w:val="20"/>
                <w:szCs w:val="20"/>
                <w:color w:val="auto"/>
              </w:rPr>
            </w:pPr>
            <w:r>
              <w:rPr>
                <w:rFonts w:ascii="Arial" w:cs="Arial" w:eastAsia="Arial" w:hAnsi="Arial"/>
                <w:sz w:val="17"/>
                <w:szCs w:val="17"/>
                <w:color w:val="auto"/>
              </w:rPr>
              <w:t>1,350.00</w:t>
            </w:r>
          </w:p>
        </w:tc>
        <w:tc>
          <w:tcPr>
            <w:tcW w:w="7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 Management</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3,780.00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Supervision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600.00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General Cleaning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510.00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Trash Dumpster</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150.00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Building Protection</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865.00</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Permits</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60" w:type="dxa"/>
            <w:vAlign w:val="bottom"/>
            <w:gridSpan w:val="3"/>
          </w:tcPr>
          <w:p>
            <w:pPr>
              <w:jc w:val="right"/>
              <w:spacing w:after="0"/>
              <w:rPr>
                <w:sz w:val="20"/>
                <w:szCs w:val="20"/>
                <w:color w:val="auto"/>
              </w:rPr>
            </w:pPr>
            <w:r>
              <w:rPr>
                <w:rFonts w:ascii="Arial" w:cs="Arial" w:eastAsia="Arial" w:hAnsi="Arial"/>
                <w:sz w:val="17"/>
                <w:szCs w:val="17"/>
                <w:b w:val="1"/>
                <w:bCs w:val="1"/>
                <w:color w:val="auto"/>
              </w:rPr>
              <w:t>Sub-Total $54,075.98</w:t>
            </w: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E-5</w:t>
            </w:r>
          </w:p>
        </w:tc>
        <w:tc>
          <w:tcPr>
            <w:tcW w:w="4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4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jc w:val="right"/>
              <w:ind w:right="13"/>
              <w:spacing w:after="0"/>
              <w:rPr>
                <w:sz w:val="20"/>
                <w:szCs w:val="20"/>
                <w:color w:val="auto"/>
              </w:rPr>
            </w:pPr>
            <w:r>
              <w:rPr>
                <w:rFonts w:ascii="Arial" w:cs="Arial" w:eastAsia="Arial" w:hAnsi="Arial"/>
                <w:sz w:val="17"/>
                <w:szCs w:val="17"/>
                <w:b w:val="1"/>
                <w:bCs w:val="1"/>
                <w:color w:val="auto"/>
              </w:rPr>
              <w:t>Overhead &amp; Profit %</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-509270</wp:posOffset>
            </wp:positionV>
            <wp:extent cx="12700"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-509270</wp:posOffset>
            </wp:positionV>
            <wp:extent cx="12700"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0"/>
        </w:trPr>
        <w:tc>
          <w:tcPr>
            <w:tcW w:w="400" w:type="dxa"/>
            <w:vAlign w:val="bottom"/>
          </w:tcPr>
          <w:p>
            <w:pPr>
              <w:ind w:left="100"/>
              <w:spacing w:after="0"/>
              <w:rPr>
                <w:sz w:val="20"/>
                <w:szCs w:val="20"/>
                <w:color w:val="auto"/>
              </w:rPr>
            </w:pPr>
            <w:r>
              <w:rPr>
                <w:rFonts w:ascii="Arial" w:cs="Arial" w:eastAsia="Arial" w:hAnsi="Arial"/>
                <w:sz w:val="17"/>
                <w:szCs w:val="17"/>
                <w:color w:val="auto"/>
              </w:rPr>
              <w:t>99</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Overhead &amp; Profit Total</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3,244.56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Excluding Tax</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57,320.54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100</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8.25%</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Base Bid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62,049.48</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9760" w:type="dxa"/>
            <w:vAlign w:val="bottom"/>
          </w:tcPr>
          <w:p>
            <w:pPr>
              <w:ind w:left="120"/>
              <w:spacing w:after="0" w:line="177" w:lineRule="exact"/>
              <w:rPr>
                <w:sz w:val="20"/>
                <w:szCs w:val="20"/>
                <w:color w:val="auto"/>
              </w:rPr>
            </w:pPr>
            <w:r>
              <w:rPr>
                <w:rFonts w:ascii="Arial" w:cs="Arial" w:eastAsia="Arial" w:hAnsi="Arial"/>
                <w:sz w:val="17"/>
                <w:szCs w:val="17"/>
                <w:color w:val="auto"/>
              </w:rPr>
              <w:t>Alt to Base Bid:</w:t>
            </w:r>
          </w:p>
        </w:tc>
        <w:tc>
          <w:tcPr>
            <w:tcW w:w="3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4,647.17</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20"/>
                <w:szCs w:val="20"/>
                <w:color w:val="auto"/>
              </w:rPr>
            </w:pPr>
            <w:r>
              <w:rPr>
                <w:rFonts w:ascii="Arial" w:cs="Arial" w:eastAsia="Arial" w:hAnsi="Arial"/>
                <w:sz w:val="17"/>
                <w:szCs w:val="17"/>
                <w:color w:val="auto"/>
              </w:rPr>
              <w:t>1</w:t>
            </w:r>
          </w:p>
        </w:tc>
        <w:tc>
          <w:tcPr>
            <w:tcW w:w="9760" w:type="dxa"/>
            <w:vAlign w:val="bottom"/>
          </w:tcPr>
          <w:p>
            <w:pPr>
              <w:ind w:left="120"/>
              <w:spacing w:after="0"/>
              <w:rPr>
                <w:sz w:val="20"/>
                <w:szCs w:val="20"/>
                <w:color w:val="auto"/>
              </w:rPr>
            </w:pPr>
            <w:r>
              <w:rPr>
                <w:rFonts w:ascii="Arial" w:cs="Arial" w:eastAsia="Arial" w:hAnsi="Arial"/>
                <w:sz w:val="17"/>
                <w:szCs w:val="17"/>
                <w:color w:val="auto"/>
              </w:rPr>
              <w:t>Branch duct Into existing fume hood exhaust duct for possible 2nd fume hood, Hood provided by others</w:t>
            </w: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2</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Paint throughout with (2) coats</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7,343.68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7"/>
                <w:szCs w:val="17"/>
                <w:color w:val="auto"/>
              </w:rPr>
              <w:t>3</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Carpet throughout @ $24 Syinstalled and std RB throughout</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20,998.34</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7"/>
                <w:szCs w:val="17"/>
                <w:color w:val="auto"/>
              </w:rPr>
              <w:t>4</w:t>
            </w:r>
          </w:p>
        </w:tc>
        <w:tc>
          <w:tcPr>
            <w:tcW w:w="9760" w:type="dxa"/>
            <w:vAlign w:val="bottom"/>
          </w:tcPr>
          <w:p>
            <w:pPr>
              <w:ind w:left="120"/>
              <w:spacing w:after="0"/>
              <w:rPr>
                <w:sz w:val="20"/>
                <w:szCs w:val="20"/>
                <w:color w:val="auto"/>
              </w:rPr>
            </w:pPr>
            <w:r>
              <w:rPr>
                <w:rFonts w:ascii="Arial" w:cs="Arial" w:eastAsia="Arial" w:hAnsi="Arial"/>
                <w:sz w:val="17"/>
                <w:szCs w:val="17"/>
                <w:color w:val="auto"/>
              </w:rPr>
              <w:t>Add to duplicate free standing Millwork In middle of room with drawers on both sides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26,241.03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Qualifications to Base Bid:</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data and cabling.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Work is figured during regular business hours except loud disruptive work.</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all work associated with security. (card readers, electric locks, electric hinges, wiring, etc.)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Includes permit costs, Asbestos to be supplied by Owner.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CONFIRMATION OF COMMENCEMENT DATE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17,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78727</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rPr>
              <w:t>Re:</w:t>
            </w: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w w:val="94"/>
              </w:rPr>
              <w:t>Lease Agreement (the “</w:t>
            </w:r>
            <w:r>
              <w:rPr>
                <w:rFonts w:ascii="Arial" w:cs="Arial" w:eastAsia="Arial" w:hAnsi="Arial"/>
                <w:sz w:val="17"/>
                <w:szCs w:val="17"/>
                <w:b w:val="1"/>
                <w:bCs w:val="1"/>
                <w:color w:val="auto"/>
                <w:w w:val="94"/>
              </w:rPr>
              <w:t>Lease</w:t>
            </w:r>
            <w:r>
              <w:rPr>
                <w:rFonts w:ascii="Arial" w:cs="Arial" w:eastAsia="Arial" w:hAnsi="Arial"/>
                <w:sz w:val="17"/>
                <w:szCs w:val="17"/>
                <w:color w:val="auto"/>
                <w:w w:val="94"/>
              </w:rPr>
              <w:t xml:space="preserve">”) dated November 28, 2012, between </w:t>
            </w:r>
            <w:r>
              <w:rPr>
                <w:rFonts w:ascii="Arial" w:cs="Arial" w:eastAsia="Arial" w:hAnsi="Arial"/>
                <w:sz w:val="17"/>
                <w:szCs w:val="17"/>
                <w:b w:val="1"/>
                <w:bCs w:val="1"/>
                <w:color w:val="auto"/>
                <w:w w:val="94"/>
              </w:rPr>
              <w:t>RIATA HOLDINGS, L.P.</w:t>
            </w:r>
            <w:r>
              <w:rPr>
                <w:rFonts w:ascii="Arial" w:cs="Arial" w:eastAsia="Arial" w:hAnsi="Arial"/>
                <w:sz w:val="17"/>
                <w:szCs w:val="17"/>
                <w:color w:val="auto"/>
                <w:w w:val="94"/>
              </w:rPr>
              <w:t>, a Delaware limited partnership doing business</w:t>
            </w:r>
          </w:p>
        </w:tc>
      </w:tr>
      <w:tr>
        <w:trPr>
          <w:trHeight w:val="20"/>
        </w:trPr>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10220" w:type="dxa"/>
            <w:vAlign w:val="bottom"/>
            <w:gridSpan w:val="7"/>
          </w:tcPr>
          <w:p>
            <w:pPr>
              <w:ind w:left="200"/>
              <w:spacing w:after="0" w:line="189" w:lineRule="exact"/>
              <w:rPr>
                <w:sz w:val="20"/>
                <w:szCs w:val="20"/>
                <w:color w:val="auto"/>
              </w:rPr>
            </w:pPr>
            <w:r>
              <w:rPr>
                <w:rFonts w:ascii="Arial" w:cs="Arial" w:eastAsia="Arial" w:hAnsi="Arial"/>
                <w:sz w:val="17"/>
                <w:szCs w:val="17"/>
                <w:color w:val="auto"/>
                <w:w w:val="97"/>
              </w:rPr>
              <w:t>in Texas as Riata Austin Holdings, L.P. (“</w:t>
            </w:r>
            <w:r>
              <w:rPr>
                <w:rFonts w:ascii="Arial" w:cs="Arial" w:eastAsia="Arial" w:hAnsi="Arial"/>
                <w:sz w:val="17"/>
                <w:szCs w:val="17"/>
                <w:b w:val="1"/>
                <w:bCs w:val="1"/>
                <w:color w:val="auto"/>
                <w:w w:val="97"/>
              </w:rPr>
              <w:t>Landlord</w:t>
            </w:r>
            <w:r>
              <w:rPr>
                <w:rFonts w:ascii="Arial" w:cs="Arial" w:eastAsia="Arial" w:hAnsi="Arial"/>
                <w:sz w:val="17"/>
                <w:szCs w:val="17"/>
                <w:color w:val="auto"/>
                <w:w w:val="97"/>
              </w:rPr>
              <w:t xml:space="preserve">”), and </w:t>
            </w:r>
            <w:r>
              <w:rPr>
                <w:rFonts w:ascii="Arial" w:cs="Arial" w:eastAsia="Arial" w:hAnsi="Arial"/>
                <w:sz w:val="17"/>
                <w:szCs w:val="17"/>
                <w:b w:val="1"/>
                <w:bCs w:val="1"/>
                <w:color w:val="auto"/>
                <w:w w:val="97"/>
              </w:rPr>
              <w:t>VERACYTE, INC.</w:t>
            </w:r>
            <w:r>
              <w:rPr>
                <w:rFonts w:ascii="Arial" w:cs="Arial" w:eastAsia="Arial" w:hAnsi="Arial"/>
                <w:sz w:val="17"/>
                <w:szCs w:val="17"/>
                <w:color w:val="auto"/>
                <w:w w:val="97"/>
              </w:rPr>
              <w:t>, a Delaware corporation (“</w:t>
            </w:r>
            <w:r>
              <w:rPr>
                <w:rFonts w:ascii="Arial" w:cs="Arial" w:eastAsia="Arial" w:hAnsi="Arial"/>
                <w:sz w:val="17"/>
                <w:szCs w:val="17"/>
                <w:b w:val="1"/>
                <w:bCs w:val="1"/>
                <w:color w:val="auto"/>
                <w:w w:val="97"/>
              </w:rPr>
              <w:t>Tenant</w:t>
            </w:r>
            <w:r>
              <w:rPr>
                <w:rFonts w:ascii="Arial" w:cs="Arial" w:eastAsia="Arial" w:hAnsi="Arial"/>
                <w:sz w:val="17"/>
                <w:szCs w:val="17"/>
                <w:color w:val="auto"/>
                <w:w w:val="97"/>
              </w:rPr>
              <w:t>”). Capitalized terms used</w:t>
            </w:r>
          </w:p>
        </w:tc>
      </w:tr>
      <w:tr>
        <w:trPr>
          <w:trHeight w:val="20"/>
        </w:trPr>
        <w:tc>
          <w:tcPr>
            <w:tcW w:w="42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9"/>
        </w:trPr>
        <w:tc>
          <w:tcPr>
            <w:tcW w:w="420" w:type="dxa"/>
            <w:vAlign w:val="bottom"/>
          </w:tcPr>
          <w:p>
            <w:pPr>
              <w:spacing w:after="0"/>
              <w:rPr>
                <w:sz w:val="19"/>
                <w:szCs w:val="19"/>
                <w:color w:val="auto"/>
              </w:rPr>
            </w:pP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rPr>
              <w:t>herein but not defined shall be given the meanings assigned to them in the Lease.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Landlord and Tenant agree as follows:</w:t>
      </w:r>
    </w:p>
    <w:p>
      <w:pPr>
        <w:spacing w:after="0" w:line="218" w:lineRule="exact"/>
        <w:rPr>
          <w:sz w:val="20"/>
          <w:szCs w:val="20"/>
          <w:color w:val="auto"/>
        </w:rPr>
      </w:pPr>
    </w:p>
    <w:p>
      <w:pPr>
        <w:ind w:right="160" w:firstLine="634"/>
        <w:spacing w:after="0" w:line="270" w:lineRule="auto"/>
        <w:tabs>
          <w:tab w:leader="none" w:pos="1258"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has accepted possession of the Premises pursuant to the Lease. Any improvements required by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to be made by Landlord have been completed to the full and complete satisfaction of Tenant in all respects except for the punchlist items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Punchlist Items</w:t>
      </w:r>
      <w:r>
        <w:rPr>
          <w:rFonts w:ascii="Arial" w:cs="Arial" w:eastAsia="Arial" w:hAnsi="Arial"/>
          <w:sz w:val="17"/>
          <w:szCs w:val="17"/>
          <w:color w:val="auto"/>
        </w:rPr>
        <w:t>”), and except for such Punchlist Items, Landlord has fulfilled all of its duties under the Lease with respect to such initial tenant improvements. Furthermore, Tenant acknowledges that the Premises are suitable for the Permitted Use.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Commencement Date of the Lease is February 1, 2013.</w:t>
      </w:r>
    </w:p>
    <w:p>
      <w:pPr>
        <w:spacing w:after="0" w:line="224" w:lineRule="exact"/>
        <w:rPr>
          <w:rFonts w:ascii="Arial" w:cs="Arial" w:eastAsia="Arial" w:hAnsi="Arial"/>
          <w:sz w:val="17"/>
          <w:szCs w:val="17"/>
          <w:color w:val="auto"/>
        </w:rPr>
      </w:pPr>
    </w:p>
    <w:p>
      <w:pPr>
        <w:ind w:right="760" w:firstLine="634"/>
        <w:spacing w:after="0" w:line="234" w:lineRule="auto"/>
        <w:tabs>
          <w:tab w:leader="none" w:pos="1258"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Expiration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is scheduled to expire on July 31, 2013, which is the last day of the 66</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full calendar month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w:t>
      </w:r>
    </w:p>
    <w:p>
      <w:pPr>
        <w:spacing w:after="0" w:line="192" w:lineRule="exact"/>
        <w:rPr>
          <w:rFonts w:ascii="Arial" w:cs="Arial" w:eastAsia="Arial" w:hAnsi="Arial"/>
          <w:sz w:val="17"/>
          <w:szCs w:val="17"/>
          <w:color w:val="auto"/>
        </w:rPr>
      </w:pPr>
    </w:p>
    <w:p>
      <w:pPr>
        <w:ind w:left="1260" w:hanging="626"/>
        <w:spacing w:after="0"/>
        <w:tabs>
          <w:tab w:leader="none" w:pos="1260"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Contact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contact person in the Premises is:</w:t>
      </w: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Austin, TX 78727</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Attention: Edith Thomas</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Telephone: 512.814.2500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Facsimile: 512.814.2501</w:t>
      </w:r>
    </w:p>
    <w:p>
      <w:pPr>
        <w:spacing w:after="0" w:line="206" w:lineRule="exact"/>
        <w:rPr>
          <w:sz w:val="20"/>
          <w:szCs w:val="20"/>
          <w:color w:val="auto"/>
        </w:rPr>
      </w:pPr>
    </w:p>
    <w:p>
      <w:pPr>
        <w:jc w:val="both"/>
        <w:ind w:right="40" w:firstLine="634"/>
        <w:spacing w:after="0" w:line="304" w:lineRule="auto"/>
        <w:tabs>
          <w:tab w:leader="none" w:pos="1258" w:val="left"/>
        </w:tabs>
        <w:numPr>
          <w:ilvl w:val="1"/>
          <w:numId w:val="227"/>
        </w:numPr>
        <w:rPr>
          <w:rFonts w:ascii="Arial" w:cs="Arial" w:eastAsia="Arial" w:hAnsi="Arial"/>
          <w:sz w:val="15"/>
          <w:szCs w:val="15"/>
          <w:color w:val="auto"/>
        </w:rPr>
      </w:pPr>
      <w:r>
        <w:rPr>
          <w:rFonts w:ascii="Arial" w:cs="Arial" w:eastAsia="Arial" w:hAnsi="Arial"/>
          <w:sz w:val="15"/>
          <w:szCs w:val="15"/>
          <w:b w:val="1"/>
          <w:bCs w:val="1"/>
          <w:u w:val="single" w:color="auto"/>
          <w:color w:val="auto"/>
        </w:rPr>
        <w:t>Ratification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ratifies and confirms its obligations under the Lease, and represents and warrants to Landlord that it has no defenses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thereto. Additionally, Tenant further confirms and ratifies that, as of the date hereof, (a) the Lease is and remains in good standing and in full force and effect, and</w:t>
      </w:r>
    </w:p>
    <w:p>
      <w:pPr>
        <w:ind w:right="320" w:firstLine="5"/>
        <w:spacing w:after="0" w:line="275" w:lineRule="auto"/>
        <w:tabs>
          <w:tab w:leader="none" w:pos="24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Tenant has no claims, counterclaims, set-offs or defenses against Landlord arising out of the Lease or in any way relating thereto or arising out of any other transaction between Landlord and Tenant.</w:t>
      </w:r>
    </w:p>
    <w:p>
      <w:pPr>
        <w:spacing w:after="0" w:line="163" w:lineRule="exact"/>
        <w:rPr>
          <w:rFonts w:ascii="Arial" w:cs="Arial" w:eastAsia="Arial" w:hAnsi="Arial"/>
          <w:sz w:val="17"/>
          <w:szCs w:val="17"/>
          <w:color w:val="auto"/>
        </w:rPr>
      </w:pPr>
    </w:p>
    <w:p>
      <w:pPr>
        <w:jc w:val="both"/>
        <w:ind w:right="40" w:firstLine="634"/>
        <w:spacing w:after="0" w:line="277" w:lineRule="auto"/>
        <w:tabs>
          <w:tab w:leader="none" w:pos="1258" w:val="left"/>
        </w:tabs>
        <w:numPr>
          <w:ilvl w:val="1"/>
          <w:numId w:val="228"/>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modified hereby, the Lease shall remain in full effect and this letter shall be binding upon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Please indicate your agreement to the above matters by signing this letter in the space indicated below and returning an executed original to us.</w:t>
      </w:r>
    </w:p>
    <w:p>
      <w:pPr>
        <w:spacing w:after="0" w:line="23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Sincerely,</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STREAM REALTY PARTNERS-AUSTIN, L.P.</w:t>
      </w:r>
      <w:r>
        <w:rPr>
          <w:rFonts w:ascii="Arial" w:cs="Arial" w:eastAsia="Arial" w:hAnsi="Arial"/>
          <w:sz w:val="17"/>
          <w:szCs w:val="17"/>
          <w:color w:val="auto"/>
        </w:rPr>
        <w:t>, on behalf of Landlord</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Buddy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31750</wp:posOffset>
            </wp:positionV>
            <wp:extent cx="29718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47" w:name="page248"/>
    <w:bookmarkEnd w:id="247"/>
    <w:p>
      <w:pPr>
        <w:ind w:left="6040"/>
        <w:spacing w:after="0"/>
        <w:tabs>
          <w:tab w:leader="none" w:pos="6720" w:val="left"/>
        </w:tabs>
        <w:rPr>
          <w:sz w:val="20"/>
          <w:szCs w:val="20"/>
          <w:color w:val="auto"/>
        </w:rPr>
      </w:pPr>
      <w:r>
        <w:rPr>
          <w:rFonts w:ascii="Arial" w:cs="Arial" w:eastAsia="Arial" w:hAnsi="Arial"/>
          <w:sz w:val="17"/>
          <w:szCs w:val="17"/>
          <w:color w:val="auto"/>
        </w:rPr>
        <w:t>Name:</w:t>
        <w:tab/>
        <w:t>Buddy Reed</w:t>
      </w:r>
    </w:p>
    <w:p>
      <w:pPr>
        <w:spacing w:after="0" w:line="26"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17780</wp:posOffset>
            </wp:positionV>
            <wp:extent cx="29718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71800" cy="8255"/>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-123190</wp:posOffset>
            </wp:positionV>
            <wp:extent cx="29718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Agreed and accepted: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Shelly D. Guyer</w:t>
            </w:r>
          </w:p>
        </w:tc>
        <w:tc>
          <w:tcPr>
            <w:tcW w:w="1400" w:type="dxa"/>
            <w:vAlign w:val="bottom"/>
            <w:tcBorders>
              <w:bottom w:val="single" w:sz="8" w:color="auto"/>
            </w:tcBorders>
          </w:tcPr>
          <w:p>
            <w:pPr>
              <w:spacing w:after="0"/>
              <w:rPr>
                <w:sz w:val="19"/>
                <w:szCs w:val="19"/>
                <w:color w:val="auto"/>
              </w:rPr>
            </w:pPr>
          </w:p>
        </w:tc>
        <w:tc>
          <w:tcPr>
            <w:tcW w:w="5940" w:type="dxa"/>
            <w:vAlign w:val="bottom"/>
          </w:tcPr>
          <w:p>
            <w:pPr>
              <w:spacing w:after="0"/>
              <w:rPr>
                <w:sz w:val="19"/>
                <w:szCs w:val="19"/>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Shelly D. Guyer</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40" w:type="dxa"/>
            <w:vAlign w:val="bottom"/>
          </w:tcPr>
          <w:p>
            <w:pPr>
              <w:jc w:val="center"/>
              <w:ind w:right="5453"/>
              <w:spacing w:after="0"/>
              <w:rPr>
                <w:sz w:val="20"/>
                <w:szCs w:val="20"/>
                <w:color w:val="auto"/>
              </w:rPr>
            </w:pPr>
            <w:r>
              <w:rPr>
                <w:rFonts w:ascii="Arial" w:cs="Arial" w:eastAsia="Arial" w:hAnsi="Arial"/>
                <w:sz w:val="17"/>
                <w:szCs w:val="17"/>
                <w:color w:val="auto"/>
                <w:w w:val="93"/>
              </w:rPr>
              <w:t>F-2</w:t>
            </w:r>
          </w:p>
        </w:tc>
      </w:tr>
      <w:tr>
        <w:trPr>
          <w:trHeight w:val="128"/>
        </w:trPr>
        <w:tc>
          <w:tcPr>
            <w:tcW w:w="7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gridSpan w:val="2"/>
          </w:tcPr>
          <w:p>
            <w:pPr>
              <w:spacing w:after="0"/>
              <w:rPr>
                <w:sz w:val="11"/>
                <w:szCs w:val="11"/>
                <w:color w:val="auto"/>
              </w:rPr>
            </w:pPr>
          </w:p>
        </w:tc>
      </w:tr>
      <w:tr>
        <w:trPr>
          <w:trHeight w:val="756"/>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340" w:type="dxa"/>
            <w:vAlign w:val="bottom"/>
            <w:gridSpan w:val="2"/>
          </w:tcPr>
          <w:p>
            <w:pPr>
              <w:jc w:val="center"/>
              <w:ind w:right="4073"/>
              <w:spacing w:after="0"/>
              <w:rPr>
                <w:sz w:val="20"/>
                <w:szCs w:val="20"/>
                <w:color w:val="auto"/>
              </w:rPr>
            </w:pPr>
            <w:r>
              <w:rPr>
                <w:rFonts w:ascii="Arial" w:cs="Arial" w:eastAsia="Arial" w:hAnsi="Arial"/>
                <w:sz w:val="17"/>
                <w:szCs w:val="17"/>
                <w:color w:val="auto"/>
              </w:rPr>
              <w:t>EXHIBIT A</w:t>
            </w:r>
          </w:p>
        </w:tc>
      </w:tr>
      <w:tr>
        <w:trPr>
          <w:trHeight w:val="408"/>
        </w:trPr>
        <w:tc>
          <w:tcPr>
            <w:tcW w:w="4120" w:type="dxa"/>
            <w:vAlign w:val="bottom"/>
            <w:gridSpan w:val="2"/>
          </w:tcPr>
          <w:p>
            <w:pPr>
              <w:spacing w:after="0"/>
              <w:rPr>
                <w:sz w:val="20"/>
                <w:szCs w:val="20"/>
                <w:color w:val="auto"/>
              </w:rPr>
            </w:pPr>
            <w:r>
              <w:rPr>
                <w:rFonts w:ascii="Arial" w:cs="Arial" w:eastAsia="Arial" w:hAnsi="Arial"/>
                <w:sz w:val="17"/>
                <w:szCs w:val="17"/>
                <w:color w:val="auto"/>
              </w:rPr>
              <w:t>Veracyte Commissioning Issues Summary</w:t>
            </w:r>
          </w:p>
        </w:tc>
        <w:tc>
          <w:tcPr>
            <w:tcW w:w="1400" w:type="dxa"/>
            <w:vAlign w:val="bottom"/>
          </w:tcPr>
          <w:p>
            <w:pPr>
              <w:spacing w:after="0"/>
              <w:rPr>
                <w:sz w:val="24"/>
                <w:szCs w:val="24"/>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Priority</w:t>
            </w:r>
          </w:p>
        </w:tc>
      </w:tr>
      <w:tr>
        <w:trPr>
          <w:trHeight w:val="210"/>
        </w:trPr>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1- for completion of commissioning</w:t>
            </w:r>
          </w:p>
        </w:tc>
      </w:tr>
      <w:tr>
        <w:trPr>
          <w:trHeight w:val="222"/>
        </w:trPr>
        <w:tc>
          <w:tcPr>
            <w:tcW w:w="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2 - can follow commissioning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Architectural (to add to the Lauck Group Punchlist)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Lock on the lab door 106</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Clean paint specs on outlet boxes on counter in Lab 106</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Utilities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Resolve safety shower model number</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BAY MEP</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BAY MEP to review water/drain set up</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Resolve access panel for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Resolve trap primer location/access panel</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hot &amp; cold water lines into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Tagging per General Provisions Note 14 of P0.00</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Escutcheons on water pipes entering the lab through the ceiling per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Plumbing General Note 15</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 drawings (Plumbing &amp; Fire Sprinklers in PDF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AutoCAD)</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9 and 10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6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Verification of disinfection per Plumbing General Note 5</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Electrical</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Correct power supplied to the lab - match drawing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Install missing outlets as noted on E3.01 drawings, Phase 1 and Phase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2, dated 4/15/13</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Disconnect switch to the fume hood exhaust fan - this fan and the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MAU to run 24 x 7</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Several 2-pole breakers in the panels need to be switched out to single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pole per the panel schedule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Correct and update panel schedules (Per Identification Labeling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General Note 1 and comments on the panel schedules)</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All outlets on DPUPS to be red with standard cover plate (note 4,</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E3/01). All outlets from DPL to be grey with standard cover plate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Spare circuits to be in the off position</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Lab Panel 1LAB2 (missing name plate)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all outlets and light switches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10</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9"/>
              </w:rPr>
              <w:t>Note location of the roof receptacle on the drawings (how will the use</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Veracyte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Pending</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r>
      <w:tr>
        <w:trPr>
          <w:trHeight w:val="222"/>
        </w:trPr>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of this receptacle be managed since it comes from a Veracyte panel?)</w:t>
            </w:r>
          </w:p>
        </w:tc>
        <w:tc>
          <w:tcPr>
            <w:tcW w:w="1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5440" w:type="dxa"/>
            <w:vAlign w:val="bottom"/>
          </w:tcPr>
          <w:p>
            <w:pPr>
              <w:ind w:left="280"/>
              <w:spacing w:after="0"/>
              <w:rPr>
                <w:sz w:val="20"/>
                <w:szCs w:val="20"/>
                <w:color w:val="auto"/>
              </w:rPr>
            </w:pPr>
            <w:r>
              <w:rPr>
                <w:rFonts w:ascii="Arial" w:cs="Arial" w:eastAsia="Arial" w:hAnsi="Arial"/>
                <w:sz w:val="17"/>
                <w:szCs w:val="17"/>
                <w:color w:val="auto"/>
              </w:rPr>
              <w:t>Provide summary of sub metering infrastructure (E3.01)</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12</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Credit for call box not installed at the front lobby door</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13</w:t>
            </w:r>
          </w:p>
        </w:tc>
        <w:tc>
          <w:tcPr>
            <w:tcW w:w="5440" w:type="dxa"/>
            <w:vAlign w:val="bottom"/>
          </w:tcPr>
          <w:p>
            <w:pPr>
              <w:ind w:left="280"/>
              <w:spacing w:after="0"/>
              <w:rPr>
                <w:sz w:val="20"/>
                <w:szCs w:val="20"/>
                <w:color w:val="auto"/>
              </w:rPr>
            </w:pPr>
            <w:r>
              <w:rPr>
                <w:rFonts w:ascii="Arial" w:cs="Arial" w:eastAsia="Arial" w:hAnsi="Arial"/>
                <w:sz w:val="17"/>
                <w:szCs w:val="17"/>
                <w:color w:val="auto"/>
              </w:rPr>
              <w:t>As-built drawings (PDF and AutoCAD)</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14</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10 of E0.00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15</w:t>
            </w:r>
          </w:p>
        </w:tc>
        <w:tc>
          <w:tcPr>
            <w:tcW w:w="5440" w:type="dxa"/>
            <w:vAlign w:val="bottom"/>
          </w:tcPr>
          <w:p>
            <w:pPr>
              <w:ind w:left="280"/>
              <w:spacing w:after="0"/>
              <w:rPr>
                <w:sz w:val="20"/>
                <w:szCs w:val="20"/>
                <w:color w:val="auto"/>
              </w:rPr>
            </w:pPr>
            <w:r>
              <w:rPr>
                <w:rFonts w:ascii="Arial" w:cs="Arial" w:eastAsia="Arial" w:hAnsi="Arial"/>
                <w:sz w:val="17"/>
                <w:szCs w:val="17"/>
                <w:color w:val="auto"/>
              </w:rPr>
              <w:t>Warranty letters</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16</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7 of E0.00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17</w:t>
            </w:r>
          </w:p>
        </w:tc>
        <w:tc>
          <w:tcPr>
            <w:tcW w:w="5440" w:type="dxa"/>
            <w:vAlign w:val="bottom"/>
          </w:tcPr>
          <w:p>
            <w:pPr>
              <w:ind w:left="280"/>
              <w:spacing w:after="0"/>
              <w:rPr>
                <w:sz w:val="20"/>
                <w:szCs w:val="20"/>
                <w:color w:val="auto"/>
              </w:rPr>
            </w:pPr>
            <w:r>
              <w:rPr>
                <w:rFonts w:ascii="Arial" w:cs="Arial" w:eastAsia="Arial" w:hAnsi="Arial"/>
                <w:sz w:val="17"/>
                <w:szCs w:val="17"/>
                <w:color w:val="auto"/>
              </w:rPr>
              <w:t>Close Out requirement per E0.00</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4/127/13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18</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DPUPS Panel is NOT bonded</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Veracyte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60"/>
          </w:cols>
          <w:pgMar w:left="240" w:top="127" w:right="199" w:bottom="0" w:gutter="0" w:footer="0" w:header="0"/>
        </w:sectPr>
      </w:pPr>
    </w:p>
    <w:bookmarkStart w:id="248" w:name="page249"/>
    <w:bookmarkEnd w:id="248"/>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Mechanical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FCU 1-3 smoke detector indication not working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Add fitting to second location near fume hood, re-verify it is balanced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to 100 CFM</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Relocate office system thermostat located in Lab 106 (into the correct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zone)</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8"/>
              </w:rPr>
              <w:t>There is a fan supplying air into Storage 121, please include this in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as-builts and incorporate into the air balance report. (on circuit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1LAB1-17)</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Fume hood alarm is not working, please investigate, this was existing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but needs to be repaired.</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Verify new filters were installed in the base HVAC system per note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in Project Close Out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Written operating narrative per Note D in Project Close Out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Confirm smoke detectors installed for FCU 1-1 and FCU 1-2,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FCU 1-3 - provide copies of Fire Alarm Plans.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As-built drawings (PDF and AutoCAD)</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O&amp;M Manuals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Close Out requirement</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325"/>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Air Balance Report Questions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Please update to include the fan to storage room 121</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The flow hood does not have any calibration information noted -</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describe how this instrument’s accuracy is verified (3/16)</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clarify which instrument was used to measure the pressure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differential and forward a copy of the cal cert (3/16)</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Resolve note on the top of Page 4 with BAYMEP (regarding Note 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on M2.01 - Ph2) (4/16)</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verify that 100 cfm is balanced to the second vent point near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hood (it is currently capped)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add the information on the filters for all of the units (FCU1-1,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1-2, 1-3, MAU and existing HVAC into the air balance report)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w w:val="98"/>
              </w:rPr>
              <w:t>FCU1-1 - page 7, Terminal numbers 5 and 6 need to be rebalanced to</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correct amount (they were swapped)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MAU has blown fuses (4/16/13 Team Service checkout) - was this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Veracyte</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working during the air balancing?</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The fume hood information is indicating 168 FPM across the face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407"/>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OSHA (Federal Occupational Safety and Health Administration)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Appendix A 4. (g) Quality. recommends, “...</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airflow into and within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2"/>
              </w:rPr>
              <w:t>the hood should not be excessively turbulent</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hood face velocity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should be adequate (typically 60-100 Ifm)  ”...</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Is this hood exhausting too much air?</w:t>
            </w: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http://ateam.lbl.gov/hightech/fumehood/students/su00/Fox/</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FHSafety.htm</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No information on the supply into Lab 110 was included in the air</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balance report</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Lab 110 missed two supply locations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w w:val="99"/>
              </w:rPr>
              <w:t>What note 5 is Adrian referring to? There are several “note 5s” on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mechanical plans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In generally, could you ask them to measure all of the supply grills -</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looks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like they missed others. I circled most of the missing locations in the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two</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It would also be preferable to have all air balance information in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single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Punchlist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Date Noted</w:t>
            </w:r>
          </w:p>
        </w:tc>
        <w:tc>
          <w:tcPr>
            <w:tcW w:w="660" w:type="dxa"/>
            <w:vAlign w:val="bottom"/>
            <w:vMerge w:val="restart"/>
          </w:tcPr>
          <w:p>
            <w:pPr>
              <w:jc w:val="right"/>
              <w:ind w:right="193"/>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4/18/2013</w:t>
            </w:r>
          </w:p>
        </w:tc>
        <w:tc>
          <w:tcPr>
            <w:tcW w:w="2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Room Lab 108: Caulk joint at wall/millwork near safety shower;</w:t>
            </w:r>
          </w:p>
        </w:tc>
        <w:tc>
          <w:tcPr>
            <w:tcW w:w="28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Pr>
          <w:p>
            <w:pPr>
              <w:spacing w:after="0"/>
              <w:rPr>
                <w:sz w:val="17"/>
                <w:szCs w:val="17"/>
                <w:color w:val="auto"/>
              </w:rPr>
            </w:pPr>
          </w:p>
        </w:tc>
        <w:tc>
          <w:tcPr>
            <w:tcW w:w="780" w:type="dxa"/>
            <w:vAlign w:val="bottom"/>
            <w:tcBorders>
              <w:top w:val="single" w:sz="8" w:color="auto"/>
            </w:tcBorders>
          </w:tcPr>
          <w:p>
            <w:pPr>
              <w:jc w:val="right"/>
              <w:ind w:right="261"/>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5511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55118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7"/>
          <w:szCs w:val="17"/>
          <w:color w:val="auto"/>
        </w:rPr>
        <w:t>install backer rod for clean joint if necessary. Rework trap primer as</w:t>
      </w:r>
    </w:p>
    <w:p>
      <w:pPr>
        <w:spacing w:after="0" w:line="1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directed by Bay Engineers Safety shower substitution is accepted per</w:t>
      </w:r>
    </w:p>
    <w:p>
      <w:pPr>
        <w:spacing w:after="0" w:line="14"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Bay Engineers Receptacles missing at tombstone on millwork</w:t>
      </w:r>
    </w:p>
    <w:p>
      <w:pPr>
        <w:sectPr>
          <w:pgSz w:w="11900" w:h="16870" w:orient="portrait"/>
          <w:cols w:equalWidth="0" w:num="1">
            <w:col w:w="11460"/>
          </w:cols>
          <w:pgMar w:left="240" w:top="337" w:right="199" w:bottom="0" w:gutter="0" w:footer="0" w:header="0"/>
        </w:sectPr>
      </w:pPr>
    </w:p>
    <w:bookmarkStart w:id="249" w:name="page250"/>
    <w:bookmarkEnd w:id="249"/>
    <w:p>
      <w:pPr>
        <w:ind w:left="2500"/>
        <w:spacing w:after="0"/>
        <w:rPr>
          <w:sz w:val="20"/>
          <w:szCs w:val="20"/>
          <w:color w:val="auto"/>
        </w:rPr>
      </w:pPr>
      <w:r>
        <w:rPr>
          <w:rFonts w:ascii="Arial" w:cs="Arial" w:eastAsia="Arial" w:hAnsi="Arial"/>
          <w:sz w:val="17"/>
          <w:szCs w:val="17"/>
          <w:color w:val="auto"/>
        </w:rPr>
        <w:t>countertop (labeled 1-LAB2-4) wall-mounted thermostatic mixing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660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66065"/>
                    </a:xfrm>
                    <a:prstGeom prst="rect">
                      <a:avLst/>
                    </a:prstGeom>
                    <a:noFill/>
                  </pic:spPr>
                </pic:pic>
              </a:graphicData>
            </a:graphic>
          </wp:anchor>
        </w:drawing>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valve is acceptable per Bay Engineers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4/18/2013</w:t>
            </w:r>
          </w:p>
        </w:tc>
        <w:tc>
          <w:tcPr>
            <w:tcW w:w="66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5480" w:type="dxa"/>
            <w:vAlign w:val="bottom"/>
          </w:tcPr>
          <w:p>
            <w:pPr>
              <w:ind w:left="300"/>
              <w:spacing w:after="0"/>
              <w:rPr>
                <w:sz w:val="20"/>
                <w:szCs w:val="20"/>
                <w:color w:val="auto"/>
              </w:rPr>
            </w:pPr>
            <w:r>
              <w:rPr>
                <w:rFonts w:ascii="Arial" w:cs="Arial" w:eastAsia="Arial" w:hAnsi="Arial"/>
                <w:sz w:val="17"/>
                <w:szCs w:val="17"/>
                <w:color w:val="auto"/>
              </w:rPr>
              <w:t>Lab Support 106: Complete installation of keyed lockset hardware</w:t>
            </w:r>
          </w:p>
        </w:tc>
        <w:tc>
          <w:tcPr>
            <w:tcW w:w="1320" w:type="dxa"/>
            <w:vAlign w:val="bottom"/>
          </w:tcPr>
          <w:p>
            <w:pPr>
              <w:jc w:val="center"/>
              <w:ind w:right="13"/>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80" w:type="dxa"/>
            <w:vAlign w:val="bottom"/>
          </w:tcPr>
          <w:p>
            <w:pPr>
              <w:ind w:left="300"/>
              <w:spacing w:after="0"/>
              <w:rPr>
                <w:sz w:val="20"/>
                <w:szCs w:val="20"/>
                <w:color w:val="auto"/>
              </w:rPr>
            </w:pPr>
            <w:r>
              <w:rPr>
                <w:rFonts w:ascii="Arial" w:cs="Arial" w:eastAsia="Arial" w:hAnsi="Arial"/>
                <w:sz w:val="17"/>
                <w:szCs w:val="17"/>
                <w:color w:val="auto"/>
              </w:rPr>
              <w:t>Missing data coverplate at wall</w:t>
            </w: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4/18/2013</w:t>
            </w:r>
          </w:p>
        </w:tc>
        <w:tc>
          <w:tcPr>
            <w:tcW w:w="6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w:t>
            </w: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Lab 110: Missing data coverplates at wall Reception desk: SS at south</w:t>
            </w:r>
          </w:p>
        </w:tc>
        <w:tc>
          <w:tcPr>
            <w:tcW w:w="1320" w:type="dxa"/>
            <w:vAlign w:val="bottom"/>
            <w:shd w:val="clear" w:color="auto" w:fill="CCEEFF"/>
          </w:tcPr>
          <w:p>
            <w:pPr>
              <w:jc w:val="center"/>
              <w:ind w:right="13"/>
              <w:spacing w:after="0"/>
              <w:rPr>
                <w:sz w:val="20"/>
                <w:szCs w:val="20"/>
                <w:color w:val="auto"/>
              </w:rPr>
            </w:pPr>
            <w:r>
              <w:rPr>
                <w:rFonts w:ascii="Arial" w:cs="Arial" w:eastAsia="Arial" w:hAnsi="Arial"/>
                <w:sz w:val="17"/>
                <w:szCs w:val="17"/>
                <w:color w:val="auto"/>
                <w:w w:val="97"/>
              </w:rPr>
              <w:t>Arch</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end missing; knee-space panels missing, light ardex coverage at</w:t>
            </w:r>
          </w:p>
        </w:tc>
        <w:tc>
          <w:tcPr>
            <w:tcW w:w="1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corner bead of front facade.</w:t>
            </w: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337"/>
        </w:trPr>
        <w:tc>
          <w:tcPr>
            <w:tcW w:w="15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F</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9"/>
        </w:trPr>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FORM OF TENANT ESTOPPEL CERTIFICATE</w:t>
            </w: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3820" w:type="dxa"/>
            <w:vAlign w:val="bottom"/>
            <w:gridSpan w:val="3"/>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426"/>
        </w:trPr>
        <w:tc>
          <w:tcPr>
            <w:tcW w:w="6160" w:type="dxa"/>
            <w:vAlign w:val="bottom"/>
            <w:gridSpan w:val="5"/>
          </w:tcPr>
          <w:p>
            <w:pPr>
              <w:ind w:left="640"/>
              <w:spacing w:after="0"/>
              <w:rPr>
                <w:sz w:val="20"/>
                <w:szCs w:val="20"/>
                <w:color w:val="auto"/>
              </w:rPr>
            </w:pPr>
            <w:r>
              <w:rPr>
                <w:rFonts w:ascii="Arial" w:cs="Arial" w:eastAsia="Arial" w:hAnsi="Arial"/>
                <w:sz w:val="17"/>
                <w:szCs w:val="17"/>
                <w:color w:val="auto"/>
              </w:rPr>
              <w:t>The undersigned is the Tenant under the Lease (defined below) between</w:t>
            </w:r>
          </w:p>
        </w:tc>
        <w:tc>
          <w:tcPr>
            <w:tcW w:w="580" w:type="dxa"/>
            <w:vAlign w:val="bottom"/>
          </w:tcPr>
          <w:p>
            <w:pPr>
              <w:spacing w:after="0"/>
              <w:rPr>
                <w:sz w:val="24"/>
                <w:szCs w:val="24"/>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auto"/>
              </w:rPr>
              <w:t>, a</w:t>
            </w:r>
          </w:p>
        </w:tc>
        <w:tc>
          <w:tcPr>
            <w:tcW w:w="3460" w:type="dxa"/>
            <w:vAlign w:val="bottom"/>
            <w:gridSpan w:val="2"/>
          </w:tcPr>
          <w:p>
            <w:pPr>
              <w:ind w:left="660"/>
              <w:spacing w:after="0"/>
              <w:rPr>
                <w:sz w:val="20"/>
                <w:szCs w:val="20"/>
                <w:color w:val="auto"/>
              </w:rPr>
            </w:pPr>
            <w:r>
              <w:rPr>
                <w:rFonts w:ascii="Arial" w:cs="Arial" w:eastAsia="Arial" w:hAnsi="Arial"/>
                <w:sz w:val="17"/>
                <w:szCs w:val="17"/>
                <w:color w:val="auto"/>
                <w:w w:val="97"/>
              </w:rPr>
              <w:t>, as Landlord, and the undersigned as</w:t>
            </w:r>
          </w:p>
        </w:tc>
      </w:tr>
      <w:tr>
        <w:trPr>
          <w:trHeight w:val="210"/>
        </w:trPr>
        <w:tc>
          <w:tcPr>
            <w:tcW w:w="2520" w:type="dxa"/>
            <w:vAlign w:val="bottom"/>
            <w:gridSpan w:val="2"/>
          </w:tcPr>
          <w:p>
            <w:pPr>
              <w:spacing w:after="0"/>
              <w:rPr>
                <w:sz w:val="20"/>
                <w:szCs w:val="20"/>
                <w:color w:val="auto"/>
              </w:rPr>
            </w:pPr>
            <w:r>
              <w:rPr>
                <w:rFonts w:ascii="Arial" w:cs="Arial" w:eastAsia="Arial" w:hAnsi="Arial"/>
                <w:sz w:val="17"/>
                <w:szCs w:val="17"/>
                <w:color w:val="auto"/>
              </w:rPr>
              <w:t>Tenant, for the Premises on the</w:t>
            </w:r>
          </w:p>
        </w:tc>
        <w:tc>
          <w:tcPr>
            <w:tcW w:w="3640" w:type="dxa"/>
            <w:vAlign w:val="bottom"/>
            <w:gridSpan w:val="3"/>
          </w:tcPr>
          <w:p>
            <w:pPr>
              <w:ind w:left="360"/>
              <w:spacing w:after="0"/>
              <w:rPr>
                <w:sz w:val="20"/>
                <w:szCs w:val="20"/>
                <w:color w:val="auto"/>
              </w:rPr>
            </w:pPr>
            <w:r>
              <w:rPr>
                <w:rFonts w:ascii="Arial" w:cs="Arial" w:eastAsia="Arial" w:hAnsi="Arial"/>
                <w:sz w:val="17"/>
                <w:szCs w:val="17"/>
                <w:color w:val="auto"/>
              </w:rPr>
              <w:t>floor(s) of the building located at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7"/>
                <w:szCs w:val="17"/>
                <w:color w:val="auto"/>
              </w:rPr>
              <w:t>and commonly known as</w:t>
            </w:r>
          </w:p>
        </w:tc>
        <w:tc>
          <w:tcPr>
            <w:tcW w:w="960" w:type="dxa"/>
            <w:vAlign w:val="bottom"/>
          </w:tcPr>
          <w:p>
            <w:pPr>
              <w:ind w:left="620"/>
              <w:spacing w:after="0"/>
              <w:rPr>
                <w:sz w:val="20"/>
                <w:szCs w:val="20"/>
                <w:color w:val="auto"/>
              </w:rPr>
            </w:pPr>
            <w:r>
              <w:rPr>
                <w:rFonts w:ascii="Arial" w:cs="Arial" w:eastAsia="Arial" w:hAnsi="Arial"/>
                <w:sz w:val="17"/>
                <w:szCs w:val="17"/>
                <w:color w:val="auto"/>
                <w:w w:val="84"/>
              </w:rPr>
              <w:t>, and</w:t>
            </w:r>
          </w:p>
        </w:tc>
      </w:tr>
      <w:tr>
        <w:trPr>
          <w:trHeight w:val="222"/>
        </w:trPr>
        <w:tc>
          <w:tcPr>
            <w:tcW w:w="2520" w:type="dxa"/>
            <w:vAlign w:val="bottom"/>
            <w:gridSpan w:val="2"/>
          </w:tcPr>
          <w:p>
            <w:pPr>
              <w:spacing w:after="0"/>
              <w:rPr>
                <w:sz w:val="20"/>
                <w:szCs w:val="20"/>
                <w:color w:val="auto"/>
              </w:rPr>
            </w:pPr>
            <w:r>
              <w:rPr>
                <w:rFonts w:ascii="Arial" w:cs="Arial" w:eastAsia="Arial" w:hAnsi="Arial"/>
                <w:sz w:val="17"/>
                <w:szCs w:val="17"/>
                <w:color w:val="auto"/>
              </w:rPr>
              <w:t>hereby certifies as follows:</w:t>
            </w: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9"/>
        </w:trPr>
        <w:tc>
          <w:tcPr>
            <w:tcW w:w="1020" w:type="dxa"/>
            <w:vAlign w:val="bottom"/>
          </w:tcPr>
          <w:p>
            <w:pPr>
              <w:ind w:left="640"/>
              <w:spacing w:after="0"/>
              <w:rPr>
                <w:sz w:val="20"/>
                <w:szCs w:val="20"/>
                <w:color w:val="auto"/>
              </w:rPr>
            </w:pPr>
            <w:r>
              <w:rPr>
                <w:rFonts w:ascii="Arial" w:cs="Arial" w:eastAsia="Arial" w:hAnsi="Arial"/>
                <w:sz w:val="17"/>
                <w:szCs w:val="17"/>
                <w:color w:val="auto"/>
              </w:rPr>
              <w:t>1.</w:t>
            </w:r>
          </w:p>
        </w:tc>
        <w:tc>
          <w:tcPr>
            <w:tcW w:w="5140" w:type="dxa"/>
            <w:vAlign w:val="bottom"/>
            <w:gridSpan w:val="4"/>
          </w:tcPr>
          <w:p>
            <w:pPr>
              <w:ind w:left="240"/>
              <w:spacing w:after="0"/>
              <w:rPr>
                <w:sz w:val="20"/>
                <w:szCs w:val="20"/>
                <w:color w:val="auto"/>
              </w:rPr>
            </w:pPr>
            <w:r>
              <w:rPr>
                <w:rFonts w:ascii="Arial" w:cs="Arial" w:eastAsia="Arial" w:hAnsi="Arial"/>
                <w:sz w:val="17"/>
                <w:szCs w:val="17"/>
                <w:color w:val="auto"/>
              </w:rPr>
              <w:t>The Lease consists of the original Lease Agreement dated as of</w:t>
            </w:r>
          </w:p>
        </w:tc>
        <w:tc>
          <w:tcPr>
            <w:tcW w:w="580" w:type="dxa"/>
            <w:vAlign w:val="bottom"/>
          </w:tcPr>
          <w:p>
            <w:pPr>
              <w:spacing w:after="0"/>
              <w:rPr>
                <w:sz w:val="24"/>
                <w:szCs w:val="24"/>
                <w:color w:val="auto"/>
              </w:rPr>
            </w:pPr>
          </w:p>
        </w:tc>
        <w:tc>
          <w:tcPr>
            <w:tcW w:w="4420" w:type="dxa"/>
            <w:vAlign w:val="bottom"/>
            <w:gridSpan w:val="4"/>
          </w:tcPr>
          <w:p>
            <w:pPr>
              <w:ind w:left="260"/>
              <w:spacing w:after="0"/>
              <w:rPr>
                <w:sz w:val="20"/>
                <w:szCs w:val="20"/>
                <w:color w:val="auto"/>
              </w:rPr>
            </w:pPr>
            <w:r>
              <w:rPr>
                <w:rFonts w:ascii="Arial" w:cs="Arial" w:eastAsia="Arial" w:hAnsi="Arial"/>
                <w:sz w:val="17"/>
                <w:szCs w:val="17"/>
                <w:color w:val="auto"/>
                <w:w w:val="98"/>
              </w:rPr>
              <w:t xml:space="preserve">, 20   , between Tenant and Landlord </w:t>
            </w:r>
            <w:r>
              <w:rPr>
                <w:rFonts w:ascii="Arial" w:cs="Arial" w:eastAsia="Arial" w:hAnsi="Arial"/>
                <w:sz w:val="17"/>
                <w:szCs w:val="17"/>
                <w:i w:val="1"/>
                <w:iCs w:val="1"/>
                <w:color w:val="auto"/>
                <w:w w:val="98"/>
              </w:rPr>
              <w:t>[‘s predecessor-in-</w:t>
            </w:r>
          </w:p>
        </w:tc>
      </w:tr>
    </w:tbl>
    <w:p>
      <w:pPr>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and the following amendments or modifications thereto (if none, please state “none”):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documents listed above are herein collectively referred to as the “</w:t>
      </w:r>
      <w:r>
        <w:rPr>
          <w:rFonts w:ascii="Arial" w:cs="Arial" w:eastAsia="Arial" w:hAnsi="Arial"/>
          <w:sz w:val="15"/>
          <w:szCs w:val="15"/>
          <w:b w:val="1"/>
          <w:bCs w:val="1"/>
          <w:u w:val="single" w:color="auto"/>
          <w:color w:val="auto"/>
        </w:rPr>
        <w:t>Lease</w:t>
      </w:r>
      <w:r>
        <w:rPr>
          <w:rFonts w:ascii="Arial" w:cs="Arial" w:eastAsia="Arial" w:hAnsi="Arial"/>
          <w:sz w:val="15"/>
          <w:szCs w:val="15"/>
          <w:color w:val="auto"/>
        </w:rPr>
        <w:t>” and represent the entire agreement between the parties with respect to the Premises.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herein but not defined shall be given the meaning assigned to them in the Lease.</w:t>
      </w:r>
    </w:p>
    <w:p>
      <w:pPr>
        <w:spacing w:after="0" w:line="212" w:lineRule="exact"/>
        <w:rPr>
          <w:sz w:val="20"/>
          <w:szCs w:val="20"/>
          <w:color w:val="auto"/>
        </w:rPr>
      </w:pPr>
    </w:p>
    <w:p>
      <w:pPr>
        <w:ind w:left="1260" w:hanging="626"/>
        <w:spacing w:after="0"/>
        <w:tabs>
          <w:tab w:leader="none" w:pos="12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Lease is in full force and effect and has not been modified, supplemented or amended in any way except as provided in Section 1 above.</w:t>
      </w:r>
    </w:p>
    <w:p>
      <w:pPr>
        <w:spacing w:after="0" w:line="236" w:lineRule="exact"/>
        <w:rPr>
          <w:sz w:val="20"/>
          <w:szCs w:val="20"/>
          <w:color w:val="auto"/>
        </w:rPr>
      </w:pPr>
    </w:p>
    <w:p>
      <w:pPr>
        <w:jc w:val="both"/>
        <w:ind w:right="40" w:firstLine="629"/>
        <w:spacing w:after="0" w:line="284" w:lineRule="auto"/>
        <w:rPr>
          <w:sz w:val="20"/>
          <w:szCs w:val="20"/>
          <w:color w:val="auto"/>
        </w:rPr>
      </w:pPr>
      <w:r>
        <w:rPr>
          <w:rFonts w:ascii="Arial" w:cs="Arial" w:eastAsia="Arial" w:hAnsi="Arial"/>
          <w:sz w:val="17"/>
          <w:szCs w:val="17"/>
          <w:color w:val="auto"/>
        </w:rPr>
        <w:t>3. The Term commenced on , 20 , and the Term expires, excluding any renewal options, on , 20 , and Tenant has no option to purchase all or any part of the Premises or the Building or, except as expressly set forth in the Lease, any option to terminate or cancel the Lease.</w:t>
      </w:r>
    </w:p>
    <w:p>
      <w:pPr>
        <w:spacing w:after="0" w:line="376" w:lineRule="exact"/>
        <w:rPr>
          <w:sz w:val="20"/>
          <w:szCs w:val="20"/>
          <w:color w:val="auto"/>
        </w:rPr>
      </w:pPr>
    </w:p>
    <w:p>
      <w:pPr>
        <w:ind w:right="80" w:firstLine="634"/>
        <w:spacing w:after="0" w:line="289" w:lineRule="auto"/>
        <w:tabs>
          <w:tab w:leader="none" w:pos="125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200" w:lineRule="exact"/>
        <w:rPr>
          <w:rFonts w:ascii="Arial" w:cs="Arial" w:eastAsia="Arial" w:hAnsi="Arial"/>
          <w:sz w:val="17"/>
          <w:szCs w:val="17"/>
          <w:color w:val="auto"/>
        </w:rPr>
      </w:pPr>
    </w:p>
    <w:p>
      <w:pPr>
        <w:spacing w:after="0" w:line="377" w:lineRule="exact"/>
        <w:rPr>
          <w:rFonts w:ascii="Arial" w:cs="Arial" w:eastAsia="Arial" w:hAnsi="Arial"/>
          <w:sz w:val="17"/>
          <w:szCs w:val="17"/>
          <w:color w:val="auto"/>
        </w:rPr>
      </w:pPr>
    </w:p>
    <w:p>
      <w:pPr>
        <w:ind w:left="1260" w:hanging="626"/>
        <w:spacing w:after="0"/>
        <w:tabs>
          <w:tab w:leader="none" w:pos="12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All monthly installments of Basic Rent, all Additional Rent and all monthly installments of estimated Additional Rent have been paid when due</w:t>
      </w:r>
    </w:p>
    <w:p>
      <w:pPr>
        <w:spacing w:after="0" w:line="38" w:lineRule="exact"/>
        <w:rPr>
          <w:sz w:val="20"/>
          <w:szCs w:val="20"/>
          <w:color w:val="auto"/>
        </w:rPr>
      </w:pPr>
    </w:p>
    <w:p>
      <w:pPr>
        <w:spacing w:after="0"/>
        <w:tabs>
          <w:tab w:leader="none" w:pos="1400" w:val="left"/>
          <w:tab w:leader="none" w:pos="5820" w:val="left"/>
        </w:tabs>
        <w:rPr>
          <w:sz w:val="20"/>
          <w:szCs w:val="20"/>
          <w:color w:val="auto"/>
        </w:rPr>
      </w:pPr>
      <w:r>
        <w:rPr>
          <w:rFonts w:ascii="Arial" w:cs="Arial" w:eastAsia="Arial" w:hAnsi="Arial"/>
          <w:sz w:val="17"/>
          <w:szCs w:val="17"/>
          <w:color w:val="auto"/>
        </w:rPr>
        <w:t>through</w:t>
      </w:r>
      <w:r>
        <w:rPr>
          <w:sz w:val="20"/>
          <w:szCs w:val="20"/>
          <w:color w:val="auto"/>
        </w:rPr>
        <w:tab/>
      </w:r>
      <w:r>
        <w:rPr>
          <w:rFonts w:ascii="Arial" w:cs="Arial" w:eastAsia="Arial" w:hAnsi="Arial"/>
          <w:sz w:val="17"/>
          <w:szCs w:val="17"/>
          <w:color w:val="auto"/>
        </w:rPr>
        <w:t>. The current monthly installment of Basic Rent is $</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right="220" w:firstLine="634"/>
        <w:spacing w:after="0" w:line="289" w:lineRule="auto"/>
        <w:tabs>
          <w:tab w:leader="none" w:pos="125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158"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of the date hereof, there are no existing defenses or offsets, or, to Tenant’s knowledge, claims or any basis for a claim, that Tenant has against Landlord and no event has occurred and no condition exists, which, with the giving of notice or the passage of time, or both, will constitute a default under the Lease.</w:t>
      </w:r>
    </w:p>
    <w:p>
      <w:pPr>
        <w:spacing w:after="0" w:line="171" w:lineRule="exact"/>
        <w:rPr>
          <w:rFonts w:ascii="Arial" w:cs="Arial" w:eastAsia="Arial" w:hAnsi="Arial"/>
          <w:sz w:val="17"/>
          <w:szCs w:val="17"/>
          <w:color w:val="auto"/>
        </w:rPr>
      </w:pPr>
    </w:p>
    <w:p>
      <w:pPr>
        <w:ind w:left="5580" w:right="280" w:hanging="4946"/>
        <w:spacing w:after="0" w:line="547" w:lineRule="auto"/>
        <w:tabs>
          <w:tab w:leader="none" w:pos="126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No rental has been paid more than 30 days in advance and no security deposit has been delivered to Landlord except as provided in the Lease. G-1</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right="80" w:firstLine="634"/>
        <w:spacing w:after="0" w:line="268" w:lineRule="auto"/>
        <w:tabs>
          <w:tab w:leader="none" w:pos="125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Tenant is a corporation, partnership or other business entity, each individual executing this Estoppel Certificate on behalf of Tenant hereby represents and warrants that Tenant is and will remain during the Term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There are no actions pending against Tenant under any bankruptcy or similar laws of the United States or any state.</w:t>
      </w:r>
    </w:p>
    <w:p>
      <w:pPr>
        <w:spacing w:after="0" w:line="224" w:lineRule="exact"/>
        <w:rPr>
          <w:rFonts w:ascii="Arial" w:cs="Arial" w:eastAsia="Arial" w:hAnsi="Arial"/>
          <w:sz w:val="17"/>
          <w:szCs w:val="17"/>
          <w:color w:val="auto"/>
        </w:rPr>
      </w:pPr>
    </w:p>
    <w:p>
      <w:pPr>
        <w:ind w:right="160" w:firstLine="634"/>
        <w:spacing w:after="0" w:line="289" w:lineRule="auto"/>
        <w:tabs>
          <w:tab w:leader="none" w:pos="124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Other than in compliance with all applicable laws and incidental to the ordinary course of the use of the Premises, Tenant has not used or stored any hazardous substances in the Premises.</w:t>
      </w:r>
    </w:p>
    <w:p>
      <w:pPr>
        <w:spacing w:after="0" w:line="158" w:lineRule="exact"/>
        <w:rPr>
          <w:rFonts w:ascii="Arial" w:cs="Arial" w:eastAsia="Arial" w:hAnsi="Arial"/>
          <w:sz w:val="17"/>
          <w:szCs w:val="17"/>
          <w:color w:val="auto"/>
        </w:rPr>
      </w:pPr>
    </w:p>
    <w:p>
      <w:pPr>
        <w:ind w:right="80" w:firstLine="634"/>
        <w:spacing w:after="0" w:line="360" w:lineRule="auto"/>
        <w:tabs>
          <w:tab w:leader="none" w:pos="125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All tenant improvement work to be performed by Landlord under the Lease has been completed in accordance with the Lease and has been accepted by Tenant and all reimbursements and allowances due to Tenant under the Lease in connection with any tenant improvement work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-2028825</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92"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159" w:lineRule="exact"/>
        <w:rPr>
          <w:sz w:val="20"/>
          <w:szCs w:val="20"/>
          <w:color w:val="auto"/>
        </w:rPr>
      </w:pPr>
    </w:p>
    <w:p>
      <w:pPr>
        <w:ind w:left="640"/>
        <w:spacing w:after="0"/>
        <w:tabs>
          <w:tab w:leader="none" w:pos="3220" w:val="left"/>
        </w:tabs>
        <w:rPr>
          <w:sz w:val="20"/>
          <w:szCs w:val="20"/>
          <w:color w:val="auto"/>
        </w:rPr>
      </w:pPr>
      <w:r>
        <w:rPr>
          <w:rFonts w:ascii="Arial" w:cs="Arial" w:eastAsia="Arial" w:hAnsi="Arial"/>
          <w:sz w:val="17"/>
          <w:szCs w:val="17"/>
          <w:color w:val="auto"/>
        </w:rPr>
        <w:t>Executed as of</w:t>
      </w:r>
      <w:r>
        <w:rPr>
          <w:sz w:val="20"/>
          <w:szCs w:val="20"/>
          <w:color w:val="auto"/>
        </w:rPr>
        <w:tab/>
      </w:r>
      <w:r>
        <w:rPr>
          <w:rFonts w:ascii="Arial" w:cs="Arial" w:eastAsia="Arial" w:hAnsi="Arial"/>
          <w:sz w:val="17"/>
          <w:szCs w:val="17"/>
          <w:color w:val="auto"/>
        </w:rPr>
        <w:t>, 20  .</w:t>
      </w:r>
    </w:p>
    <w:p>
      <w:pPr>
        <w:spacing w:after="0" w:line="218" w:lineRule="exact"/>
        <w:rPr>
          <w:sz w:val="20"/>
          <w:szCs w:val="20"/>
          <w:color w:val="auto"/>
        </w:rPr>
      </w:pPr>
    </w:p>
    <w:p>
      <w:pPr>
        <w:spacing w:after="0"/>
        <w:tabs>
          <w:tab w:leader="none" w:pos="8320" w:val="left"/>
        </w:tabs>
        <w:rPr>
          <w:sz w:val="20"/>
          <w:szCs w:val="20"/>
          <w:color w:val="auto"/>
        </w:rPr>
      </w:pPr>
      <w:r>
        <w:rPr>
          <w:rFonts w:ascii="Arial" w:cs="Arial" w:eastAsia="Arial" w:hAnsi="Arial"/>
          <w:sz w:val="17"/>
          <w:szCs w:val="17"/>
          <w:b w:val="1"/>
          <w:bCs w:val="1"/>
          <w:color w:val="auto"/>
        </w:rPr>
        <w:t>TENANT:</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a</w:t>
      </w:r>
    </w:p>
    <w:p>
      <w:pPr>
        <w:sectPr>
          <w:pgSz w:w="11900" w:h="16838"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17145</wp:posOffset>
            </wp:positionV>
            <wp:extent cx="31883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type w:val="continuous"/>
        </w:sectPr>
      </w:pPr>
    </w:p>
    <w:bookmarkStart w:id="250" w:name="page251"/>
    <w:bookmarkEnd w:id="250"/>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9525</wp:posOffset>
            </wp:positionV>
            <wp:extent cx="31883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88335"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-123190</wp:posOffset>
            </wp:positionV>
            <wp:extent cx="31883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PARKING</w:t>
      </w:r>
    </w:p>
    <w:p>
      <w:pPr>
        <w:spacing w:after="0" w:line="224" w:lineRule="exact"/>
        <w:rPr>
          <w:sz w:val="20"/>
          <w:szCs w:val="20"/>
          <w:color w:val="auto"/>
        </w:rPr>
      </w:pPr>
    </w:p>
    <w:p>
      <w:pPr>
        <w:jc w:val="both"/>
        <w:ind w:right="160" w:firstLine="629"/>
        <w:spacing w:after="0" w:line="277" w:lineRule="auto"/>
        <w:rPr>
          <w:sz w:val="20"/>
          <w:szCs w:val="20"/>
          <w:color w:val="auto"/>
        </w:rPr>
      </w:pPr>
      <w:r>
        <w:rPr>
          <w:rFonts w:ascii="Arial" w:cs="Arial" w:eastAsia="Arial" w:hAnsi="Arial"/>
          <w:sz w:val="17"/>
          <w:szCs w:val="17"/>
          <w:color w:val="auto"/>
        </w:rPr>
        <w:t>Tenant shall be entitled to the use of 41 unreserved parking spaces in the parking facilities associated with the Building (the “</w:t>
      </w:r>
      <w:r>
        <w:rPr>
          <w:rFonts w:ascii="Arial" w:cs="Arial" w:eastAsia="Arial" w:hAnsi="Arial"/>
          <w:sz w:val="17"/>
          <w:szCs w:val="17"/>
          <w:b w:val="1"/>
          <w:bCs w:val="1"/>
          <w:u w:val="single" w:color="auto"/>
          <w:color w:val="auto"/>
        </w:rPr>
        <w:t>Parking Area</w:t>
      </w:r>
      <w:r>
        <w:rPr>
          <w:rFonts w:ascii="Arial" w:cs="Arial" w:eastAsia="Arial" w:hAnsi="Arial"/>
          <w:sz w:val="17"/>
          <w:szCs w:val="17"/>
          <w:color w:val="auto"/>
        </w:rPr>
        <w:t>”) subject to such terms, conditions and regulations as are from time to time applicable to patrons of the Parking Area. There shall be no additional charge for Tenant’s use of the unreserved parking spaces during the initial Term and any renewal thereof.</w:t>
      </w:r>
    </w:p>
    <w:p>
      <w:pPr>
        <w:spacing w:after="0" w:line="16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Tenant shall at all times comply with all Laws respecting the use of the Parking Area. Landlord reserves the right to adopt, modify, and enforce reasonable rules and regulations governing the use of the Parking Area from time to time including designation of assigned parking spaces, requiring use of any key-card, sticker, or other identification or entrance systems and charging a fee for replacement of any such key-card sticker or other item used in connection with any such system and hours of operations. Landlord may refuse to permit any person who violates such rules and regulations to park in the Parking Area, and any violation of the rules and regulations shall subject the car to removal from the Parking Area.</w:t>
      </w:r>
    </w:p>
    <w:p>
      <w:pPr>
        <w:spacing w:after="0" w:line="179"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Unless specified to the contrary above, the parking spaces provided hereunder shall be provided on an unreserved, “first-come, first served” basis. Tenant acknowledges that Landlord has arranged or may arrange for the Parking Area to be operated by an independent contractor, not affiliated with Landlord.</w:t>
      </w:r>
    </w:p>
    <w:p>
      <w:pPr>
        <w:spacing w:after="0" w:line="136" w:lineRule="exact"/>
        <w:rPr>
          <w:sz w:val="20"/>
          <w:szCs w:val="20"/>
          <w:color w:val="auto"/>
        </w:rPr>
      </w:pPr>
    </w:p>
    <w:p>
      <w:pPr>
        <w:ind w:right="20" w:firstLine="629"/>
        <w:spacing w:after="0" w:line="297" w:lineRule="auto"/>
        <w:rPr>
          <w:sz w:val="20"/>
          <w:szCs w:val="20"/>
          <w:color w:val="auto"/>
        </w:rPr>
      </w:pPr>
      <w:r>
        <w:rPr>
          <w:rFonts w:ascii="Arial" w:cs="Arial" w:eastAsia="Arial" w:hAnsi="Arial"/>
          <w:sz w:val="15"/>
          <w:szCs w:val="15"/>
          <w:color w:val="auto"/>
        </w:rPr>
        <w:t xml:space="preserve">All motor vehicles (including all contents thereof) shall be parked in the Parking Area at the sole risk of Tenant and each other Tenant Party, it being expressly agreed and understood Landlord has no duty to insure any of said motor vehicles (including the contents thereof), and Landlord is not responsible for the protection and security of such vehicles. Landlord shall not be responsible for enforcing Tenant’s parking rights against any third parties. </w:t>
      </w:r>
      <w:r>
        <w:rPr>
          <w:rFonts w:ascii="Arial" w:cs="Arial" w:eastAsia="Arial" w:hAnsi="Arial"/>
          <w:sz w:val="15"/>
          <w:szCs w:val="15"/>
          <w:b w:val="1"/>
          <w:bCs w:val="1"/>
          <w:color w:val="auto"/>
        </w:rPr>
        <w:t>NOTWITHSTANDING</w:t>
      </w:r>
    </w:p>
    <w:p>
      <w:pPr>
        <w:spacing w:after="0" w:line="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b w:val="1"/>
          <w:bCs w:val="1"/>
          <w:color w:val="auto"/>
        </w:rPr>
        <w:t>ANYTHING TO THE CONTRARY CONTAINED IN THIS LEASE, LANDLORD SHALL HAVE NO LIABILITY WHATSOEVER FOR ANY PROPERTY DAMAGE OR LOSS WHICH MIGHT OCCUR ON THE PARKING AREA OR AS A RESULT OF OR IN CONNECTION WITH THE PARKING OF MOTOR VEHICLES IN ANY OF THE PARKING SPACES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RENEWAL OPTION</w:t>
      </w:r>
    </w:p>
    <w:p>
      <w:pPr>
        <w:spacing w:after="0" w:line="230"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Tenant may renew this Lease for one additional period of five years, by delivering written notice of the exercise thereof to Landlord not earlier than 15 months nor later than 12 months before the expiration of the Term. The Basic Rent payable for each month during such extended Term shall be the prevailing rental rate (the “</w:t>
      </w:r>
      <w:r>
        <w:rPr>
          <w:rFonts w:ascii="Arial" w:cs="Arial" w:eastAsia="Arial" w:hAnsi="Arial"/>
          <w:sz w:val="17"/>
          <w:szCs w:val="17"/>
          <w:b w:val="1"/>
          <w:bCs w:val="1"/>
          <w:u w:val="single" w:color="auto"/>
          <w:color w:val="auto"/>
        </w:rPr>
        <w:t>Prevailing Rental Rate</w:t>
      </w:r>
      <w:r>
        <w:rPr>
          <w:rFonts w:ascii="Arial" w:cs="Arial" w:eastAsia="Arial" w:hAnsi="Arial"/>
          <w:sz w:val="17"/>
          <w:szCs w:val="17"/>
          <w:color w:val="auto"/>
        </w:rPr>
        <w:t>”), at the commencement of such extended Term, for renewals of space in comparable buildings in the Northwest Austin, Texas submarket (including the Building) of equivalent quality, size, utility and location, with the length of the extended Term, the lack of any parking charges and the credit standing of Tenant to be taken into account on a fair market basis. Within 30 days after receipt of Tenant’s notice to renew, Landlord shall deliver to Tenant written notice of the Prevailing Rental Rate and shall advise Tenant of the required adjustment to Basic Rent, if any, and the other terms and conditions offered. Tenant shall, within 30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and conditions provided in this Lease, except as follows:</w:t>
      </w:r>
    </w:p>
    <w:p>
      <w:pPr>
        <w:spacing w:after="0" w:line="181" w:lineRule="exact"/>
        <w:rPr>
          <w:sz w:val="20"/>
          <w:szCs w:val="20"/>
          <w:color w:val="auto"/>
        </w:rPr>
      </w:pPr>
    </w:p>
    <w:p>
      <w:pPr>
        <w:ind w:left="1880" w:hanging="617"/>
        <w:spacing w:after="0"/>
        <w:tabs>
          <w:tab w:leader="none" w:pos="18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Basic Rent shall be adjusted to the Prevailing Rental Rate;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Tenant shall have no further renewal option unless expressly granted by Landlord in writing; and</w:t>
      </w:r>
    </w:p>
    <w:p>
      <w:pPr>
        <w:spacing w:after="0" w:line="224" w:lineRule="exact"/>
        <w:rPr>
          <w:rFonts w:ascii="Arial" w:cs="Arial" w:eastAsia="Arial" w:hAnsi="Arial"/>
          <w:sz w:val="17"/>
          <w:szCs w:val="17"/>
          <w:color w:val="auto"/>
        </w:rPr>
      </w:pPr>
    </w:p>
    <w:p>
      <w:pPr>
        <w:ind w:left="640" w:right="280" w:firstLine="623"/>
        <w:spacing w:after="0" w:line="289" w:lineRule="auto"/>
        <w:tabs>
          <w:tab w:leader="none" w:pos="190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Landlord shall lease to Tenant the Premises in their then-current condition, and Landlord shall not provide to Tenant any allowances (e.g., moving allowance, construction allowance, and the like) or other tenant inducements.</w:t>
      </w:r>
    </w:p>
    <w:p>
      <w:pPr>
        <w:spacing w:after="0" w:line="158" w:lineRule="exact"/>
        <w:rPr>
          <w:sz w:val="20"/>
          <w:szCs w:val="20"/>
          <w:color w:val="auto"/>
        </w:rPr>
      </w:pPr>
    </w:p>
    <w:p>
      <w:pPr>
        <w:jc w:val="both"/>
        <w:ind w:right="520" w:firstLine="629"/>
        <w:spacing w:after="0" w:line="273" w:lineRule="auto"/>
        <w:rPr>
          <w:sz w:val="20"/>
          <w:szCs w:val="20"/>
          <w:color w:val="auto"/>
        </w:rPr>
      </w:pPr>
      <w:r>
        <w:rPr>
          <w:rFonts w:ascii="Arial" w:cs="Arial" w:eastAsia="Arial" w:hAnsi="Arial"/>
          <w:sz w:val="17"/>
          <w:szCs w:val="17"/>
          <w:color w:val="auto"/>
        </w:rPr>
        <w:t>If Tenant rejects Landlord’s determination of the Prevailing Rental Rate, or fails to timely notify Landlord in writing that Tenant accepts or rejects Landlord’s determination of the Prevailing Rental Rate, time being of the essence with respect thereto, Tenant’s rights under this Exhibit shall terminate and Tenant shall have no right to renew this Lease.</w:t>
      </w:r>
    </w:p>
    <w:p>
      <w:pPr>
        <w:spacing w:after="0" w:line="172" w:lineRule="exact"/>
        <w:rPr>
          <w:sz w:val="20"/>
          <w:szCs w:val="20"/>
          <w:color w:val="auto"/>
        </w:rPr>
      </w:pPr>
    </w:p>
    <w:p>
      <w:pPr>
        <w:ind w:right="80" w:firstLine="629"/>
        <w:spacing w:after="0" w:line="279" w:lineRule="auto"/>
        <w:rPr>
          <w:sz w:val="20"/>
          <w:szCs w:val="20"/>
          <w:color w:val="auto"/>
        </w:rPr>
      </w:pPr>
      <w:r>
        <w:rPr>
          <w:rFonts w:ascii="Arial" w:cs="Arial" w:eastAsia="Arial" w:hAnsi="Arial"/>
          <w:sz w:val="16"/>
          <w:szCs w:val="16"/>
          <w:color w:val="auto"/>
        </w:rPr>
        <w:t>Tenant’s rights under this Exhibit shall terminate, at Landlord’s option, if (a) an uncured Monetary Event of Default exists as of the date of Tenant’s exercise of its rights under this Exhibit or as of the renewal commencement date of the applicable extended Term, (b) this Lease or Tenant’s right to possession of any of the Premises is terminated, (c) Tenant assigns its interest in this Lease or sublets more than 20% of the Premises, (d) Tenant fails to lease from Landlord at least 10,364 rentable square feet of space and to occupy at least 80% of such space, (e) Landlord determines, in its sole but reasonable discretion, that Tenant’s financial condition or creditworthiness has materially deteriorated since the date of this Lease, or (f) Tenant fails to timely exercise its option under this Exhibit, time being of the essence with respect to Tenant’s exercise thereof. If Landlord determines that clause (e) above is applicable, Landlord may, as a condition to Tenant’s right to exercise its renewal option under this Exhibit, require Tenant to provide Landlord with additional security (in the form of a security deposit or, at Landlord’s election, a letter of credit), in an amount reasonably determined by Landlord to secure repayment of Landlord’s out-of-pocket costs incurred as a result of a renewal of the Term. As used above, a “</w:t>
      </w:r>
      <w:r>
        <w:rPr>
          <w:rFonts w:ascii="Arial" w:cs="Arial" w:eastAsia="Arial" w:hAnsi="Arial"/>
          <w:sz w:val="16"/>
          <w:szCs w:val="16"/>
          <w:b w:val="1"/>
          <w:bCs w:val="1"/>
          <w:u w:val="single" w:color="auto"/>
          <w:color w:val="auto"/>
        </w:rPr>
        <w:t>Monetary Event of Default</w:t>
      </w:r>
      <w:r>
        <w:rPr>
          <w:rFonts w:ascii="Arial" w:cs="Arial" w:eastAsia="Arial" w:hAnsi="Arial"/>
          <w:sz w:val="16"/>
          <w:szCs w:val="16"/>
          <w:color w:val="auto"/>
        </w:rPr>
        <w:t>” means any Event of Default under Section 17.1 of this Lease entitled “Payment Default” or Section 17.7 of this Lease entitled “Insolvency”.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LOAN NO. 1000531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I</w:t>
      </w:r>
    </w:p>
    <w:p>
      <w:pPr>
        <w:sectPr>
          <w:pgSz w:w="11900" w:h="16851" w:orient="portrait"/>
          <w:cols w:equalWidth="0" w:num="1">
            <w:col w:w="11420"/>
          </w:cols>
          <w:pgMar w:left="240" w:top="127" w:right="239" w:bottom="0" w:gutter="0" w:footer="0" w:header="0"/>
        </w:sectPr>
      </w:pPr>
    </w:p>
    <w:bookmarkStart w:id="251" w:name="page252"/>
    <w:bookmarkEnd w:id="251"/>
    <w:p>
      <w:pPr>
        <w:ind w:left="2180"/>
        <w:spacing w:after="0"/>
        <w:rPr>
          <w:sz w:val="20"/>
          <w:szCs w:val="20"/>
          <w:color w:val="auto"/>
        </w:rPr>
      </w:pPr>
      <w:r>
        <w:rPr>
          <w:rFonts w:ascii="Arial" w:cs="Arial" w:eastAsia="Arial" w:hAnsi="Arial"/>
          <w:sz w:val="17"/>
          <w:szCs w:val="17"/>
          <w:b w:val="1"/>
          <w:bCs w:val="1"/>
          <w:u w:val="single" w:color="auto"/>
          <w:color w:val="auto"/>
        </w:rPr>
        <w:t>FORM OF SUBORDINATION, NON-DISTURBANCE AND ATTORNMENT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RECORDING REQUESTED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WHEN RECORDED MAIL 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Commercial Real Estate – Portfolio Services Group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420 Montgomery Street, 6th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 94104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Michael H. Panah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Loan No. 1000531</w:t>
      </w:r>
    </w:p>
    <w:p>
      <w:pPr>
        <w:spacing w:after="0" w:line="206" w:lineRule="exact"/>
        <w:rPr>
          <w:sz w:val="20"/>
          <w:szCs w:val="20"/>
          <w:color w:val="auto"/>
        </w:rPr>
      </w:pPr>
    </w:p>
    <w:p>
      <w:pPr>
        <w:jc w:val="center"/>
        <w:ind w:left="260" w:right="1820"/>
        <w:spacing w:after="0" w:line="289" w:lineRule="auto"/>
        <w:rPr>
          <w:sz w:val="20"/>
          <w:szCs w:val="20"/>
          <w:color w:val="auto"/>
        </w:rPr>
      </w:pPr>
      <w:r>
        <w:rPr>
          <w:rFonts w:ascii="Arial" w:cs="Arial" w:eastAsia="Arial" w:hAnsi="Arial"/>
          <w:sz w:val="17"/>
          <w:szCs w:val="17"/>
          <w:b w:val="1"/>
          <w:bCs w:val="1"/>
          <w:color w:val="auto"/>
        </w:rPr>
        <w:t>SUBORDINATION AGREEMENT; ACKNOWLEDGMENT OF LEASE ASSIGNMENT, ESTOPPEL, ATTORNMENT AND NON-DISTURBANCE AGREEMENT (Lease to Deed of Trust)</w:t>
      </w:r>
    </w:p>
    <w:p>
      <w:pPr>
        <w:spacing w:after="0" w:line="368" w:lineRule="exact"/>
        <w:rPr>
          <w:sz w:val="20"/>
          <w:szCs w:val="20"/>
          <w:color w:val="auto"/>
        </w:rPr>
      </w:pPr>
    </w:p>
    <w:p>
      <w:pPr>
        <w:ind w:left="1060" w:right="180" w:hanging="1056"/>
        <w:spacing w:after="0" w:line="297" w:lineRule="auto"/>
        <w:tabs>
          <w:tab w:leader="none" w:pos="1040" w:val="left"/>
        </w:tabs>
        <w:rPr>
          <w:sz w:val="20"/>
          <w:szCs w:val="20"/>
          <w:color w:val="auto"/>
        </w:rPr>
      </w:pPr>
      <w:r>
        <w:rPr>
          <w:rFonts w:ascii="Arial" w:cs="Arial" w:eastAsia="Arial" w:hAnsi="Arial"/>
          <w:sz w:val="17"/>
          <w:szCs w:val="17"/>
          <w:b w:val="1"/>
          <w:bCs w:val="1"/>
          <w:color w:val="auto"/>
        </w:rPr>
        <w:t>NOTICE:</w:t>
      </w:r>
      <w:r>
        <w:rPr>
          <w:sz w:val="20"/>
          <w:szCs w:val="20"/>
          <w:color w:val="auto"/>
        </w:rPr>
        <w:tab/>
      </w:r>
      <w:r>
        <w:rPr>
          <w:rFonts w:ascii="Arial" w:cs="Arial" w:eastAsia="Arial" w:hAnsi="Arial"/>
          <w:sz w:val="17"/>
          <w:szCs w:val="17"/>
          <w:b w:val="1"/>
          <w:bCs w:val="1"/>
          <w:color w:val="auto"/>
        </w:rPr>
        <w:t>THIS SUBORDINATION AGREEMENT RESULTS IN YOUR SECURITY INTEREST IN THE PROPERTY BECOMING SUBJECT TO AND OF LOWER PRIORITY THAN THE LIEN OF SOME OTHER OR LATER SECURITY INSTRUMENT.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THIS SUBORDINATION AGREEMENT; ACKNOWLEDGMENT OF LEASE ASSIGNMENT, ESTOPPEL, ATTORNMENT AND NON-DISTURBANCE</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AGREEMENT (“Agreement”) is made as of , 2012, by and between RIATA HOLDINGS, L.P., a Delaware limited partnership, doing business in the State of Texas as Riata Austin Holdings, L.P. (“Owner” or “Lessor”), VERACYTE, INC., a Delaware corporation (“Lessee”), and WELLS FARGO BANK, NATIONAL ASSOCIATION, as Administrative Agent (“Administrative Agent”) for the lenders from time to time party to the Loan Agreement, as defined below (“Lenders”).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left="320" w:right="240" w:hanging="315"/>
        <w:spacing w:after="0" w:line="273" w:lineRule="auto"/>
        <w:tabs>
          <w:tab w:leader="none" w:pos="33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Pursuant to the terms and provisions of a Lease Agreement dated as of November 28, 2012 (“Lease”), Lessee holds a leasehold estate in and to a portion of the property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incorporated herein by this reference (which property, together with all improvements now or hereafter located on the property, is defined as the “Property”).</w:t>
      </w:r>
    </w:p>
    <w:p>
      <w:pPr>
        <w:spacing w:after="0" w:line="171" w:lineRule="exact"/>
        <w:rPr>
          <w:rFonts w:ascii="Arial" w:cs="Arial" w:eastAsia="Arial" w:hAnsi="Arial"/>
          <w:sz w:val="17"/>
          <w:szCs w:val="17"/>
          <w:color w:val="auto"/>
        </w:rPr>
      </w:pPr>
    </w:p>
    <w:p>
      <w:pPr>
        <w:ind w:left="340" w:right="20" w:hanging="335"/>
        <w:spacing w:after="0" w:line="263" w:lineRule="auto"/>
        <w:tabs>
          <w:tab w:leader="none" w:pos="34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Pursuant to the Loan Agreement dated as of August 19, 2008, as amended (“Loan Agreement”), Owner has executed in favor of Administrative Agent, for the benefit of Lenders, a deed of trust with absolute assignment of leases and rents, security agreement and fixture filing, as amended (as amended, “Deed of Trust”) securing, among other things, promissory notes (collectively, “Amended Notes”) in the aggregate principal sum of One Hundred Thirty-Eight Million Three Hundred Seventy Thousand Dollars ($138,370,000), in favor of Lenders, which Amended Notes are payable with interest and upon the terms and conditions described therein and evidence a loan in such aggregate principal sum (“Loan”). The Deed of Trust was recorded on August 22, 2008, as Document No. 2008-142377, Travis County, Texas Official Records.</w:t>
      </w:r>
    </w:p>
    <w:p>
      <w:pPr>
        <w:spacing w:after="0" w:line="183" w:lineRule="exact"/>
        <w:rPr>
          <w:rFonts w:ascii="Arial" w:cs="Arial" w:eastAsia="Arial" w:hAnsi="Arial"/>
          <w:sz w:val="17"/>
          <w:szCs w:val="17"/>
          <w:color w:val="auto"/>
        </w:rPr>
      </w:pPr>
    </w:p>
    <w:p>
      <w:pPr>
        <w:ind w:left="320" w:right="40" w:hanging="315"/>
        <w:spacing w:after="0" w:line="273" w:lineRule="auto"/>
        <w:tabs>
          <w:tab w:leader="none" w:pos="32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a condition to making the Loan secured by the Deed of Trust, Administrative Agent and Lenders require that the Deed of Trust be unconditionally and at all times remain a lien on the Property, prior and superior to the Lease and that Lessee specifically and unconditionally subordinate the Lease to the lien of the Deed of Trust.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20" w:firstLine="5"/>
        <w:spacing w:after="0" w:line="579" w:lineRule="auto"/>
        <w:tabs>
          <w:tab w:leader="none" w:pos="353" w:val="left"/>
        </w:tabs>
        <w:numPr>
          <w:ilvl w:val="0"/>
          <w:numId w:val="234"/>
        </w:numPr>
        <w:rPr>
          <w:rFonts w:ascii="Arial" w:cs="Arial" w:eastAsia="Arial" w:hAnsi="Arial"/>
          <w:sz w:val="15"/>
          <w:szCs w:val="15"/>
          <w:color w:val="auto"/>
        </w:rPr>
      </w:pPr>
      <w:r>
        <w:rPr>
          <w:rFonts w:ascii="Arial" w:cs="Arial" w:eastAsia="Arial" w:hAnsi="Arial"/>
          <w:sz w:val="15"/>
          <w:szCs w:val="15"/>
          <w:color w:val="auto"/>
        </w:rPr>
        <w:t>Owner and Lessee have agreed to the subordination, attornment and other agreements herein in favor of Administrative Agent and Lenders. NOW THEREFORE, for valuable consideration, Owner and Lessee hereby agree for the benefit of Administrative Agent and Lenders as follows:</w:t>
      </w:r>
    </w:p>
    <w:p>
      <w:pPr>
        <w:spacing w:after="0" w:line="1" w:lineRule="exact"/>
        <w:rPr>
          <w:sz w:val="20"/>
          <w:szCs w:val="20"/>
          <w:color w:val="auto"/>
        </w:rPr>
      </w:pPr>
    </w:p>
    <w:p>
      <w:pPr>
        <w:ind w:left="640" w:hanging="635"/>
        <w:spacing w:after="0"/>
        <w:tabs>
          <w:tab w:leader="none" w:pos="640" w:val="left"/>
        </w:tabs>
        <w:numPr>
          <w:ilvl w:val="0"/>
          <w:numId w:val="235"/>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Owner and Lessee hereby agree that:</w:t>
      </w:r>
    </w:p>
    <w:p>
      <w:pPr>
        <w:spacing w:after="0" w:line="224" w:lineRule="exact"/>
        <w:rPr>
          <w:rFonts w:ascii="Arial" w:cs="Arial" w:eastAsia="Arial" w:hAnsi="Arial"/>
          <w:sz w:val="17"/>
          <w:szCs w:val="17"/>
          <w:color w:val="auto"/>
        </w:rPr>
      </w:pPr>
    </w:p>
    <w:p>
      <w:pPr>
        <w:ind w:left="1260" w:right="40" w:hanging="629"/>
        <w:spacing w:after="0" w:line="302"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b w:val="1"/>
          <w:bCs w:val="1"/>
          <w:u w:val="single" w:color="auto"/>
          <w:color w:val="auto"/>
        </w:rPr>
        <w:t>Prior Lien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Deed of Trust securing the Amended Notes in favor of Administrative Agent, for the benefit of Lenders, and any modifications,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renewals or extensions thereof (including, without limitation, any modifications, renewals or extensions with respect to any additional advances made subject to the Deed of Trust), shall unconditionally be and at all times remain a lien on the Property prior and superior to the Lease;</w:t>
      </w:r>
    </w:p>
    <w:p>
      <w:pPr>
        <w:spacing w:after="0" w:line="14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5"/>
          <w:szCs w:val="15"/>
          <w:b w:val="1"/>
          <w:bCs w:val="1"/>
          <w:u w:val="single" w:color="auto"/>
          <w:color w:val="auto"/>
        </w:rPr>
        <w:t>Subordination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Lenders would not have made the Loan without this agreement to subordinate; and</w:t>
      </w:r>
    </w:p>
    <w:p>
      <w:pPr>
        <w:spacing w:after="0" w:line="224" w:lineRule="exact"/>
        <w:rPr>
          <w:rFonts w:ascii="Arial" w:cs="Arial" w:eastAsia="Arial" w:hAnsi="Arial"/>
          <w:sz w:val="17"/>
          <w:szCs w:val="17"/>
          <w:color w:val="auto"/>
        </w:rPr>
      </w:pPr>
    </w:p>
    <w:p>
      <w:pPr>
        <w:ind w:left="1260" w:right="160" w:hanging="629"/>
        <w:spacing w:after="0" w:line="270" w:lineRule="auto"/>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shall be the whole agreement and only agreement with regard to the subordination of the Lease to the lien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Deed of Trust and shall supersede and cancel, but only insofar as would affect the priority between the Deed of Trust and the Lease, any prior agreements as to such subordination, including, without limitation, those provisions, if any, contained in the Lease which provide for the subordination of the Lease to a deed or deeds of trust or to a mortgage or mortgages.</w:t>
      </w:r>
    </w:p>
    <w:p>
      <w:pPr>
        <w:spacing w:after="0" w:line="17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AND FURTHER, Lessee individually declares, agrees and acknowledges for the benefit of Administrative Agent and Lenders that:</w:t>
      </w:r>
    </w:p>
    <w:p>
      <w:pPr>
        <w:spacing w:after="0" w:line="218" w:lineRule="exact"/>
        <w:rPr>
          <w:rFonts w:ascii="Arial" w:cs="Arial" w:eastAsia="Arial" w:hAnsi="Arial"/>
          <w:sz w:val="17"/>
          <w:szCs w:val="17"/>
          <w:color w:val="auto"/>
        </w:rPr>
      </w:pPr>
    </w:p>
    <w:p>
      <w:pPr>
        <w:ind w:left="1260" w:right="40" w:hanging="629"/>
        <w:spacing w:after="0" w:line="292" w:lineRule="auto"/>
        <w:rPr>
          <w:rFonts w:ascii="Arial" w:cs="Arial" w:eastAsia="Arial" w:hAnsi="Arial"/>
          <w:sz w:val="17"/>
          <w:szCs w:val="17"/>
          <w:color w:val="auto"/>
        </w:rPr>
      </w:pPr>
      <w:r>
        <w:rPr>
          <w:rFonts w:ascii="Arial" w:cs="Arial" w:eastAsia="Arial" w:hAnsi="Arial"/>
          <w:sz w:val="17"/>
          <w:szCs w:val="17"/>
          <w:color w:val="auto"/>
        </w:rPr>
        <w:t>1.4</w:t>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Lenders, in making disbursements pursuant to the Amended Notes, the Deed of Trust or the Loan Agreement with respect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Property, is under no obligation or duty to, nor have Administrative Agent or Lenders represented that they will, see to the application of such proceeds by the person or persons to whom Lenders disburse such proceeds, and any application or use of such proceeds for purposes other than those provided for in such agreement or agreements shall not defeat this agreement to subordinate in whole or in part;</w:t>
      </w:r>
    </w:p>
    <w:p>
      <w:pPr>
        <w:spacing w:after="0" w:line="153" w:lineRule="exact"/>
        <w:rPr>
          <w:rFonts w:ascii="Arial" w:cs="Arial" w:eastAsia="Arial" w:hAnsi="Arial"/>
          <w:sz w:val="17"/>
          <w:szCs w:val="17"/>
          <w:color w:val="auto"/>
        </w:rPr>
      </w:pPr>
    </w:p>
    <w:p>
      <w:pPr>
        <w:ind w:left="1260" w:right="180" w:hanging="629"/>
        <w:spacing w:after="0" w:line="267" w:lineRule="auto"/>
        <w:rPr>
          <w:rFonts w:ascii="Arial" w:cs="Arial" w:eastAsia="Arial" w:hAnsi="Arial"/>
          <w:sz w:val="17"/>
          <w:szCs w:val="17"/>
          <w:color w:val="auto"/>
        </w:rPr>
      </w:pPr>
      <w:r>
        <w:rPr>
          <w:rFonts w:ascii="Arial" w:cs="Arial" w:eastAsia="Arial" w:hAnsi="Arial"/>
          <w:sz w:val="17"/>
          <w:szCs w:val="17"/>
          <w:color w:val="auto"/>
        </w:rPr>
        <w:t>1.5</w:t>
      </w:r>
      <w:r>
        <w:rPr>
          <w:rFonts w:ascii="Arial" w:cs="Arial" w:eastAsia="Arial" w:hAnsi="Arial"/>
          <w:sz w:val="17"/>
          <w:szCs w:val="17"/>
          <w:b w:val="1"/>
          <w:bCs w:val="1"/>
          <w:u w:val="single" w:color="auto"/>
          <w:color w:val="auto"/>
        </w:rPr>
        <w:t>Waiver, Relinquishment and Subordination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intentionally and unconditionally waives, relinquishes and subordinates all of Lessee’s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right, title and interest in and to the Property to the lien of the Deed of Trust and understands that in reliance upon, and in consideration of, this waiver, relinquishment and subordination, specific loans and advances are being and will be made by Lenders and, as part and parcel thereof, specific monetary and other obligations are being and will be entered into which would not be made or entered into but for said reliance upon this waiver, relinquishment and subordination.</w:t>
      </w:r>
    </w:p>
    <w:p>
      <w:pPr>
        <w:sectPr>
          <w:pgSz w:w="11900" w:h="16838" w:orient="portrait"/>
          <w:cols w:equalWidth="0" w:num="1">
            <w:col w:w="11420"/>
          </w:cols>
          <w:pgMar w:left="240" w:top="331" w:right="239" w:bottom="107" w:gutter="0" w:footer="0" w:header="0"/>
        </w:sectPr>
      </w:pPr>
    </w:p>
    <w:bookmarkStart w:id="252" w:name="page253"/>
    <w:bookmarkEnd w:id="252"/>
    <w:p>
      <w:pPr>
        <w:spacing w:after="0" w:line="48" w:lineRule="exact"/>
        <w:rPr>
          <w:sz w:val="20"/>
          <w:szCs w:val="20"/>
          <w:color w:val="auto"/>
        </w:rPr>
      </w:pPr>
    </w:p>
    <w:p>
      <w:pPr>
        <w:ind w:left="580" w:right="660" w:hanging="575"/>
        <w:spacing w:after="0" w:line="297" w:lineRule="auto"/>
        <w:tabs>
          <w:tab w:leader="none" w:pos="578"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consents to the assignment of the Lease by Lessor in favor of Administrative Agent, for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Lenders.</w:t>
      </w:r>
    </w:p>
    <w:p>
      <w:pPr>
        <w:spacing w:after="0" w:line="145" w:lineRule="exact"/>
        <w:rPr>
          <w:rFonts w:ascii="Arial" w:cs="Arial" w:eastAsia="Arial" w:hAnsi="Arial"/>
          <w:sz w:val="17"/>
          <w:szCs w:val="17"/>
          <w:color w:val="auto"/>
        </w:rPr>
      </w:pPr>
    </w:p>
    <w:p>
      <w:pPr>
        <w:ind w:left="640" w:hanging="635"/>
        <w:spacing w:after="0"/>
        <w:tabs>
          <w:tab w:leader="none" w:pos="640"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ESTOPPEL</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represents that:</w:t>
      </w:r>
    </w:p>
    <w:p>
      <w:pPr>
        <w:spacing w:after="0" w:line="224" w:lineRule="exact"/>
        <w:rPr>
          <w:rFonts w:ascii="Arial" w:cs="Arial" w:eastAsia="Arial" w:hAnsi="Arial"/>
          <w:sz w:val="17"/>
          <w:szCs w:val="17"/>
          <w:color w:val="auto"/>
        </w:rPr>
      </w:pPr>
    </w:p>
    <w:p>
      <w:pPr>
        <w:ind w:left="1260" w:right="140" w:hanging="629"/>
        <w:spacing w:after="0" w:line="277" w:lineRule="auto"/>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7"/>
          <w:szCs w:val="17"/>
          <w:b w:val="1"/>
          <w:bCs w:val="1"/>
          <w:u w:val="single" w:color="auto"/>
          <w:color w:val="auto"/>
        </w:rPr>
        <w:t>Lease Effective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Lease has been duly executed and delivered by Lessee and, subject to the terms and conditions thereof, the Lease is in full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force and effect, the obligations of Lessee thereunder are valid and binding and there have been no modifications or additions to the Lease, written or oral;</w:t>
      </w:r>
    </w:p>
    <w:p>
      <w:pPr>
        <w:spacing w:after="0" w:line="162" w:lineRule="exact"/>
        <w:rPr>
          <w:rFonts w:ascii="Arial" w:cs="Arial" w:eastAsia="Arial" w:hAnsi="Arial"/>
          <w:sz w:val="17"/>
          <w:szCs w:val="17"/>
          <w:color w:val="auto"/>
        </w:rPr>
      </w:pPr>
    </w:p>
    <w:p>
      <w:pPr>
        <w:ind w:left="1260" w:right="340" w:hanging="629"/>
        <w:spacing w:after="0" w:line="277" w:lineRule="auto"/>
        <w:rPr>
          <w:rFonts w:ascii="Arial" w:cs="Arial" w:eastAsia="Arial" w:hAnsi="Arial"/>
          <w:sz w:val="17"/>
          <w:szCs w:val="17"/>
          <w:color w:val="auto"/>
        </w:rPr>
      </w:pPr>
      <w:r>
        <w:rPr>
          <w:rFonts w:ascii="Arial" w:cs="Arial" w:eastAsia="Arial" w:hAnsi="Arial"/>
          <w:sz w:val="17"/>
          <w:szCs w:val="17"/>
          <w:color w:val="auto"/>
        </w:rPr>
        <w:t>3.2</w:t>
      </w: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 the best of Lessee’s knowledge, as of the date hereof: (i) there exists no breach, default, or event or condition which, with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giving of notice or the passage of time or both, would constitute a breach or default under the Lease; and (ii) there are no existing claims, defenses or offsets against rental due or to become due under the Lease;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4"/>
              </w:rPr>
              <w:t xml:space="preserve">Entire Agreement. </w:t>
            </w:r>
            <w:r>
              <w:rPr>
                <w:rFonts w:ascii="Arial" w:cs="Arial" w:eastAsia="Arial" w:hAnsi="Arial"/>
                <w:sz w:val="17"/>
                <w:szCs w:val="17"/>
                <w:color w:val="auto"/>
                <w:w w:val="94"/>
              </w:rPr>
              <w:t>The Lease constitutes the entire agreement between Lessor and Lessee with respect to the Property and Lessee claims no</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rights with respect to the Property other than as set forth in the Lease; and</w:t>
            </w:r>
          </w:p>
        </w:tc>
        <w:tc>
          <w:tcPr>
            <w:tcW w:w="430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jc w:val="right"/>
              <w:ind w:right="1253"/>
              <w:spacing w:after="0"/>
              <w:rPr>
                <w:sz w:val="20"/>
                <w:szCs w:val="20"/>
                <w:color w:val="auto"/>
              </w:rPr>
            </w:pPr>
            <w:r>
              <w:rPr>
                <w:rFonts w:ascii="Arial" w:cs="Arial" w:eastAsia="Arial" w:hAnsi="Arial"/>
                <w:sz w:val="17"/>
                <w:szCs w:val="17"/>
                <w:color w:val="auto"/>
              </w:rPr>
              <w:t>I-2</w:t>
            </w:r>
          </w:p>
        </w:tc>
        <w:tc>
          <w:tcPr>
            <w:tcW w:w="4300" w:type="dxa"/>
            <w:vAlign w:val="bottom"/>
          </w:tcPr>
          <w:p>
            <w:pPr>
              <w:spacing w:after="0"/>
              <w:rPr>
                <w:sz w:val="24"/>
                <w:szCs w:val="24"/>
                <w:color w:val="auto"/>
              </w:rPr>
            </w:pPr>
          </w:p>
        </w:tc>
      </w:tr>
      <w:tr>
        <w:trPr>
          <w:trHeight w:val="128"/>
        </w:trPr>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860" w:type="dxa"/>
            <w:vAlign w:val="bottom"/>
            <w:tcBorders>
              <w:bottom w:val="single" w:sz="8" w:color="010101"/>
            </w:tcBorders>
            <w:gridSpan w:val="2"/>
          </w:tcPr>
          <w:p>
            <w:pPr>
              <w:spacing w:after="0"/>
              <w:rPr>
                <w:sz w:val="11"/>
                <w:szCs w:val="11"/>
                <w:color w:val="auto"/>
              </w:rPr>
            </w:pPr>
          </w:p>
        </w:tc>
      </w:tr>
      <w:tr>
        <w:trPr>
          <w:trHeight w:val="718"/>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3.4</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Prepaid Rent. </w:t>
            </w:r>
            <w:r>
              <w:rPr>
                <w:rFonts w:ascii="Arial" w:cs="Arial" w:eastAsia="Arial" w:hAnsi="Arial"/>
                <w:sz w:val="17"/>
                <w:szCs w:val="17"/>
                <w:color w:val="auto"/>
                <w:w w:val="95"/>
              </w:rPr>
              <w:t>No deposits or prepayments of rent have been made in connection with the Lease, except as follows (if none, state “None”):</w:t>
            </w: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tcBorders>
            <w:gridSpan w:val="2"/>
          </w:tcPr>
          <w:p>
            <w:pPr>
              <w:spacing w:after="0"/>
              <w:rPr>
                <w:sz w:val="19"/>
                <w:szCs w:val="19"/>
                <w:color w:val="auto"/>
              </w:rPr>
            </w:pPr>
          </w:p>
        </w:tc>
        <w:tc>
          <w:tcPr>
            <w:tcW w:w="4640" w:type="dxa"/>
            <w:vAlign w:val="bottom"/>
            <w:gridSpan w:val="2"/>
          </w:tcPr>
          <w:p>
            <w:pPr>
              <w:jc w:val="right"/>
              <w:ind w:right="4153"/>
              <w:spacing w:after="0"/>
              <w:rPr>
                <w:sz w:val="20"/>
                <w:szCs w:val="20"/>
                <w:color w:val="auto"/>
              </w:rPr>
            </w:pPr>
            <w:r>
              <w:rPr>
                <w:rFonts w:ascii="Arial" w:cs="Arial" w:eastAsia="Arial" w:hAnsi="Arial"/>
                <w:sz w:val="17"/>
                <w:szCs w:val="17"/>
                <w:color w:val="auto"/>
              </w:rPr>
              <w:t>.</w:t>
            </w:r>
          </w:p>
        </w:tc>
        <w:tc>
          <w:tcPr>
            <w:tcW w:w="4300" w:type="dxa"/>
            <w:vAlign w:val="bottom"/>
          </w:tcPr>
          <w:p>
            <w:pPr>
              <w:spacing w:after="0"/>
              <w:rPr>
                <w:sz w:val="19"/>
                <w:szCs w:val="19"/>
                <w:color w:val="auto"/>
              </w:rPr>
            </w:pPr>
          </w:p>
        </w:tc>
      </w:tr>
      <w:tr>
        <w:trPr>
          <w:trHeight w:val="381"/>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3.5</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Broker Liens. </w:t>
            </w:r>
            <w:r>
              <w:rPr>
                <w:rFonts w:ascii="Arial" w:cs="Arial" w:eastAsia="Arial" w:hAnsi="Arial"/>
                <w:sz w:val="17"/>
                <w:szCs w:val="17"/>
                <w:color w:val="auto"/>
                <w:w w:val="95"/>
              </w:rPr>
              <w:t>Neither Lessee nor Owner has incurred any fee or commission with any real estate broker which would give rise to any lien</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 under state or local law, except as follows (if none, state “None”):</w:t>
            </w:r>
          </w:p>
        </w:tc>
        <w:tc>
          <w:tcPr>
            <w:tcW w:w="4300" w:type="dxa"/>
            <w:vAlign w:val="bottom"/>
          </w:tcPr>
          <w:p>
            <w:pPr>
              <w:jc w:val="right"/>
              <w:ind w:right="3433"/>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540" w:right="440" w:hanging="535"/>
        <w:spacing w:after="0" w:line="297" w:lineRule="auto"/>
        <w:tabs>
          <w:tab w:leader="none" w:pos="535"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Lessee covenants and agrees that, during all such times as Administrative Agent, for the benefit of Lenders, is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under the Deed of Trust:</w:t>
      </w:r>
    </w:p>
    <w:p>
      <w:pPr>
        <w:spacing w:after="0" w:line="145" w:lineRule="exact"/>
        <w:rPr>
          <w:sz w:val="20"/>
          <w:szCs w:val="20"/>
          <w:color w:val="auto"/>
        </w:rPr>
      </w:pPr>
    </w:p>
    <w:p>
      <w:pPr>
        <w:ind w:left="1280" w:right="280" w:hanging="640"/>
        <w:spacing w:after="0" w:line="302" w:lineRule="auto"/>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b w:val="1"/>
          <w:bCs w:val="1"/>
          <w:u w:val="single" w:color="auto"/>
          <w:color w:val="auto"/>
        </w:rPr>
        <w:t>Modification, Termination and Cancellation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 consent to any modification, amendment, termination or cancellation of the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Lease (in whole or in part) without Administrative Agent’s prior written consent and will not make any payment to Lessor in consideration of any modification, termination or cancellation of the Lease (in whole or in part) without Administrative Agent’s prior written consent;</w:t>
      </w:r>
    </w:p>
    <w:p>
      <w:pPr>
        <w:spacing w:after="0" w:line="144" w:lineRule="exact"/>
        <w:rPr>
          <w:sz w:val="20"/>
          <w:szCs w:val="20"/>
          <w:color w:val="auto"/>
        </w:rPr>
      </w:pPr>
    </w:p>
    <w:p>
      <w:pPr>
        <w:ind w:left="1260" w:right="120" w:hanging="628"/>
        <w:spacing w:after="0" w:line="283" w:lineRule="auto"/>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Notice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notify Administrative Agent in writing concurrently with any notice given to Lessor of any default by Lessor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under the Lease, and Lessee agrees that Administrative Agent and Lenders have the right (but not the obligation) to cure any breach or default specified in such notice within the time periods set forth below and Lessee will not declare a default of the Lease, as to Lenders, if Administrative Agent or any Lender cures such default within fifteen (15) days from and after the expiration of the time period provided in the Lease for the cure thereof by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default cannot with diligence be cured by Administrative Agent or Lenders within such fifteen (15) day period, the commencement of action by Administrative Agent or any Lender within such fifteen (15) day period to remedy the same shall be deemed sufficient so long as Administrative Agent or such Lender pursues such cure with diligence;</w:t>
      </w:r>
    </w:p>
    <w:p>
      <w:pPr>
        <w:spacing w:after="0" w:line="159" w:lineRule="exact"/>
        <w:rPr>
          <w:sz w:val="20"/>
          <w:szCs w:val="20"/>
          <w:color w:val="auto"/>
        </w:rPr>
      </w:pPr>
    </w:p>
    <w:p>
      <w:pPr>
        <w:ind w:left="1260" w:right="500" w:hanging="628"/>
        <w:spacing w:after="0" w:line="297" w:lineRule="auto"/>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b w:val="1"/>
          <w:bCs w:val="1"/>
          <w:u w:val="single" w:color="auto"/>
          <w:color w:val="auto"/>
        </w:rPr>
        <w:t>No Advance Rents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will make no payments or prepayments of rent more than one (1) month in advance of the time when the same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become due under the Lease; and</w:t>
      </w:r>
    </w:p>
    <w:p>
      <w:pPr>
        <w:spacing w:after="0" w:line="145" w:lineRule="exact"/>
        <w:rPr>
          <w:sz w:val="20"/>
          <w:szCs w:val="20"/>
          <w:color w:val="auto"/>
        </w:rPr>
      </w:pPr>
    </w:p>
    <w:p>
      <w:pPr>
        <w:ind w:left="1260" w:right="40" w:hanging="628"/>
        <w:spacing w:after="0" w:line="270" w:lineRule="auto"/>
        <w:tabs>
          <w:tab w:leader="none" w:pos="12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b w:val="1"/>
          <w:bCs w:val="1"/>
          <w:u w:val="single" w:color="auto"/>
          <w:color w:val="auto"/>
        </w:rPr>
        <w:t>Assignment of Rents</w:t>
      </w:r>
      <w:r>
        <w:rPr>
          <w:rFonts w:ascii="Arial" w:cs="Arial" w:eastAsia="Arial" w:hAnsi="Arial"/>
          <w:sz w:val="17"/>
          <w:szCs w:val="17"/>
          <w:color w:val="auto"/>
        </w:rPr>
        <w:t>. Upon receipt by Lessee of written notice from Administrative Agent that Lenders have elected to terminate the license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granted to Lessor to collect rents, as provided in the Deed of Trust, and directing the payment of rents by Lessee to Administrative Agent, Lessee shall comply with such direction to pay and shall not be required to determine whether Lessor is in default under the Loan and/or the Deed of Trust.</w:t>
      </w:r>
    </w:p>
    <w:p>
      <w:pPr>
        <w:spacing w:after="0" w:line="169" w:lineRule="exact"/>
        <w:rPr>
          <w:sz w:val="20"/>
          <w:szCs w:val="20"/>
          <w:color w:val="auto"/>
        </w:rPr>
      </w:pPr>
    </w:p>
    <w:p>
      <w:pPr>
        <w:ind w:left="640" w:right="60" w:hanging="635"/>
        <w:spacing w:after="0" w:line="277" w:lineRule="auto"/>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b w:val="1"/>
          <w:bCs w:val="1"/>
          <w:u w:val="single" w:color="auto"/>
          <w:color w:val="auto"/>
        </w:rPr>
        <w:t>ATTORNMENT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foreclosure under the Deed of Trust, Lessee agrees for the benefit of Administrative Agent and Lenders (including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purpose any transferee of Administrative Agent or Lenders or any transferee of Lessor’s title in and to the Property by Lenders’ exercise of the remedy of sale by foreclosure under the Deed of Trust) as follows:</w:t>
      </w:r>
    </w:p>
    <w:p>
      <w:pPr>
        <w:spacing w:after="0" w:line="162" w:lineRule="exact"/>
        <w:rPr>
          <w:rFonts w:ascii="Arial" w:cs="Arial" w:eastAsia="Arial" w:hAnsi="Arial"/>
          <w:sz w:val="17"/>
          <w:szCs w:val="17"/>
          <w:color w:val="auto"/>
        </w:rPr>
      </w:pPr>
    </w:p>
    <w:p>
      <w:pPr>
        <w:ind w:left="1260" w:right="520" w:hanging="629"/>
        <w:spacing w:after="0" w:line="297" w:lineRule="auto"/>
        <w:rPr>
          <w:rFonts w:ascii="Arial" w:cs="Arial" w:eastAsia="Arial" w:hAnsi="Arial"/>
          <w:sz w:val="17"/>
          <w:szCs w:val="17"/>
          <w:color w:val="auto"/>
        </w:rPr>
      </w:pPr>
      <w:r>
        <w:rPr>
          <w:rFonts w:ascii="Arial" w:cs="Arial" w:eastAsia="Arial" w:hAnsi="Arial"/>
          <w:sz w:val="17"/>
          <w:szCs w:val="17"/>
          <w:color w:val="auto"/>
        </w:rPr>
        <w:t>5.1</w:t>
      </w:r>
      <w:r>
        <w:rPr>
          <w:rFonts w:ascii="Arial" w:cs="Arial" w:eastAsia="Arial" w:hAnsi="Arial"/>
          <w:sz w:val="17"/>
          <w:szCs w:val="17"/>
          <w:b w:val="1"/>
          <w:bCs w:val="1"/>
          <w:u w:val="single" w:color="auto"/>
          <w:color w:val="auto"/>
        </w:rPr>
        <w:t>Payment of Rent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pay to Administrative Agent, for the benefit of Lenders, all rental payments required to be made by Lessee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pursuant to the terms of the Lease for the duration of the term of the Lease;</w:t>
      </w:r>
    </w:p>
    <w:p>
      <w:pPr>
        <w:spacing w:after="0" w:line="145"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5.2</w:t>
      </w:r>
      <w:r>
        <w:rPr>
          <w:rFonts w:ascii="Arial" w:cs="Arial" w:eastAsia="Arial" w:hAnsi="Arial"/>
          <w:sz w:val="17"/>
          <w:szCs w:val="17"/>
          <w:b w:val="1"/>
          <w:bCs w:val="1"/>
          <w:u w:val="single" w:color="auto"/>
          <w:color w:val="auto"/>
        </w:rPr>
        <w:t>Continuation of Performance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be bound to Administrative Agent and Lenders in accordance with all of the provisions of the Lease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 the balance of the term thereof, and Lessee hereby attorns to Administrative Agent, for the benefit of Lenders, as its landlord, such attornment to be effective and self-operative without the execution of any further instrument immediately upon Administrative Agent or any Lender succeeding to Lessor’s interest in the Lease and giving written notice thereof to Lessee;</w:t>
      </w:r>
    </w:p>
    <w:p>
      <w:pPr>
        <w:spacing w:after="0" w:line="169"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5.3</w:t>
      </w:r>
      <w:r>
        <w:rPr>
          <w:rFonts w:ascii="Arial" w:cs="Arial" w:eastAsia="Arial" w:hAnsi="Arial"/>
          <w:sz w:val="17"/>
          <w:szCs w:val="17"/>
          <w:b w:val="1"/>
          <w:bCs w:val="1"/>
          <w:u w:val="single" w:color="auto"/>
          <w:color w:val="auto"/>
        </w:rPr>
        <w:t>No Offset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Neither Administrative Agent nor any Lender shall be liable for, nor subject to, any offsets or defenses which Lessee may have by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reason of any act or omission of Lessor under the Lease, nor for the return of any sums which Lessee may have paid to Lessor under the Lease as and for security deposits, advance rentals or otherwise, except to the extent that such sums are actually delivered by Lessor to Administrative Agent or Lenders; and</w:t>
      </w:r>
    </w:p>
    <w:p>
      <w:pPr>
        <w:spacing w:after="0" w:line="169" w:lineRule="exact"/>
        <w:rPr>
          <w:rFonts w:ascii="Arial" w:cs="Arial" w:eastAsia="Arial" w:hAnsi="Arial"/>
          <w:sz w:val="17"/>
          <w:szCs w:val="17"/>
          <w:color w:val="auto"/>
        </w:rPr>
      </w:pPr>
    </w:p>
    <w:p>
      <w:pPr>
        <w:ind w:left="1260" w:right="140" w:hanging="629"/>
        <w:spacing w:after="0" w:line="277" w:lineRule="auto"/>
        <w:rPr>
          <w:rFonts w:ascii="Arial" w:cs="Arial" w:eastAsia="Arial" w:hAnsi="Arial"/>
          <w:sz w:val="17"/>
          <w:szCs w:val="17"/>
          <w:color w:val="auto"/>
        </w:rPr>
      </w:pPr>
      <w:r>
        <w:rPr>
          <w:rFonts w:ascii="Arial" w:cs="Arial" w:eastAsia="Arial" w:hAnsi="Arial"/>
          <w:sz w:val="17"/>
          <w:szCs w:val="17"/>
          <w:color w:val="auto"/>
        </w:rPr>
        <w:t>5.4</w:t>
      </w:r>
      <w:r>
        <w:rPr>
          <w:rFonts w:ascii="Arial" w:cs="Arial" w:eastAsia="Arial" w:hAnsi="Arial"/>
          <w:sz w:val="17"/>
          <w:szCs w:val="17"/>
          <w:b w:val="1"/>
          <w:bCs w:val="1"/>
          <w:u w:val="single" w:color="auto"/>
          <w:color w:val="auto"/>
        </w:rPr>
        <w:t>Subsequent Transfer</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Administrative Agent or Lenders, by succeeding to the interest of Lessor under the Lease, should become obligated to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perform the covenants of Lessor thereunder, then, upon any further transfer of Lessor’s interest by Administrative Agent or Lenders, all of such obligations shall terminate as to Administrative Agent and Lenders.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40" w:hanging="635"/>
        <w:spacing w:after="0" w:line="317" w:lineRule="auto"/>
        <w:tabs>
          <w:tab w:leader="none" w:pos="640" w:val="left"/>
        </w:tabs>
        <w:numPr>
          <w:ilvl w:val="0"/>
          <w:numId w:val="239"/>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NON-DISTURBANCE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a foreclosure under the Deed of Trust, so long as there shall then exist no breach, default, or event of default on</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 of Lessee under the Lease, Administrative Agent and Lenders agree for themselves and their successors and assigns that the leasehold interest of Lessee under the Lease shall not be extinguished or terminated by reason of such foreclosure, but rather the Lease shall continue in full force and effect and Administrative Agent and Lenders shall recognize and accept Lessee as tenant under the Lease subject to the terms and provisions of the Lease</w:t>
      </w:r>
    </w:p>
    <w:p>
      <w:pPr>
        <w:sectPr>
          <w:pgSz w:w="11900" w:h="16886" w:orient="portrait"/>
          <w:cols w:equalWidth="0" w:num="1">
            <w:col w:w="11460"/>
          </w:cols>
          <w:pgMar w:left="240" w:top="122" w:right="199" w:bottom="0" w:gutter="0" w:footer="0" w:header="0"/>
        </w:sectPr>
      </w:pPr>
    </w:p>
    <w:bookmarkStart w:id="253" w:name="page254"/>
    <w:bookmarkEnd w:id="253"/>
    <w:p>
      <w:pPr>
        <w:ind w:left="635"/>
        <w:spacing w:after="0" w:line="268" w:lineRule="auto"/>
        <w:rPr>
          <w:sz w:val="20"/>
          <w:szCs w:val="20"/>
          <w:color w:val="auto"/>
        </w:rPr>
      </w:pPr>
      <w:r>
        <w:rPr>
          <w:rFonts w:ascii="Arial" w:cs="Arial" w:eastAsia="Arial" w:hAnsi="Arial"/>
          <w:sz w:val="17"/>
          <w:szCs w:val="17"/>
          <w:color w:val="auto"/>
        </w:rPr>
        <w:t>except as modified by this Agreement; provided, however, that Lessee, Administrative Agent and Lenders agree that the following provisions of the Lease (if any) shall not be binding on Administrative Agent or Lenders: any option to purchase with respect to the Property; any right of first refusal with respect to the Property; any provision regarding the use of insurance proceeds or condemnation proceeds with respect to the Property which is inconsistent with the terms of the Deed of Trust.</w:t>
      </w:r>
    </w:p>
    <w:p>
      <w:pPr>
        <w:spacing w:after="0" w:line="170" w:lineRule="exact"/>
        <w:rPr>
          <w:sz w:val="20"/>
          <w:szCs w:val="20"/>
          <w:color w:val="auto"/>
        </w:rPr>
      </w:pPr>
    </w:p>
    <w:p>
      <w:pPr>
        <w:ind w:left="635" w:hanging="635"/>
        <w:spacing w:after="0"/>
        <w:tabs>
          <w:tab w:leader="none" w:pos="635" w:val="left"/>
        </w:tabs>
        <w:numPr>
          <w:ilvl w:val="0"/>
          <w:numId w:val="240"/>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1275" w:right="80" w:hanging="641"/>
        <w:spacing w:after="0" w:line="297"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7"/>
          <w:szCs w:val="17"/>
          <w:b w:val="1"/>
          <w:bCs w:val="1"/>
          <w:u w:val="single" w:color="auto"/>
          <w:color w:val="auto"/>
        </w:rPr>
        <w:t>Heirs, Successors, Assigns and Transferees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covenants herein shall be binding upon, and inure to the benefit of, the heirs, successors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assigns of the parties hereto; and</w:t>
      </w:r>
    </w:p>
    <w:p>
      <w:pPr>
        <w:spacing w:after="0" w:line="145" w:lineRule="exact"/>
        <w:rPr>
          <w:sz w:val="20"/>
          <w:szCs w:val="20"/>
          <w:color w:val="auto"/>
        </w:rPr>
      </w:pPr>
    </w:p>
    <w:p>
      <w:pPr>
        <w:jc w:val="both"/>
        <w:ind w:left="1275" w:right="100" w:hanging="640"/>
        <w:spacing w:after="0" w:line="302" w:lineRule="auto"/>
        <w:tabs>
          <w:tab w:leader="none" w:pos="1255"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notices or other communications required or permitted to be given pursuant to the provisions hereof shall be deemed served upon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delivery or, if mailed, upon the first to occur of receipt or the expiration of three (3) days after deposit in United States Postal Service, certified mail, postage prepaid and addressed to the address of Owner, Lessee or Administrative Agent appearing below:</w:t>
      </w:r>
    </w:p>
    <w:p>
      <w:pPr>
        <w:spacing w:after="0" w:line="150"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“OWNER”</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One Market Plaza</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Spear Tower, Suite 4125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John Grassi</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and to:</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ind w:left="1995"/>
        <w:spacing w:after="0" w:line="214" w:lineRule="auto"/>
        <w:rPr>
          <w:sz w:val="20"/>
          <w:szCs w:val="20"/>
          <w:color w:val="auto"/>
        </w:rPr>
      </w:pPr>
      <w:r>
        <w:rPr>
          <w:rFonts w:ascii="Arial" w:cs="Arial" w:eastAsia="Arial" w:hAnsi="Arial"/>
          <w:sz w:val="17"/>
          <w:szCs w:val="17"/>
          <w:color w:val="auto"/>
        </w:rPr>
        <w:t>1114 Avenue of the Americas,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New York, New York 10036</w:t>
      </w:r>
    </w:p>
    <w:p>
      <w:pPr>
        <w:spacing w:after="0" w:line="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Asset Manager</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“ADMINISTRATIVE AGENT”</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as Administrative Agent</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Institutional &amp; Metro Markets Group</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600 California Street, 19th Floor</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94108</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Richard W. Daniel</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Loan No. 1000531</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“LESSEE”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Prior to Commencement Date (as defined in the Lease):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South San Francisco, California 94080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Chief Financial Officer</w:t>
      </w:r>
    </w:p>
    <w:p>
      <w:pPr>
        <w:spacing w:after="0" w:line="212"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Following Commencement Date: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Austin, Texas 78727</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w:t>
      </w:r>
    </w:p>
    <w:p>
      <w:pPr>
        <w:spacing w:after="0" w:line="212" w:lineRule="exact"/>
        <w:rPr>
          <w:sz w:val="20"/>
          <w:szCs w:val="20"/>
          <w:color w:val="auto"/>
        </w:rPr>
      </w:pPr>
    </w:p>
    <w:p>
      <w:pPr>
        <w:ind w:left="935" w:right="80"/>
        <w:spacing w:after="0" w:line="289"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any party shall have the right to change its address for notice hereunder by the giving of written notice thereof to the other party in the manner set forth in this Agreement; and</w:t>
      </w:r>
    </w:p>
    <w:p>
      <w:pPr>
        <w:spacing w:after="0" w:line="152" w:lineRule="exact"/>
        <w:rPr>
          <w:sz w:val="20"/>
          <w:szCs w:val="20"/>
          <w:color w:val="auto"/>
        </w:rPr>
      </w:pPr>
    </w:p>
    <w:p>
      <w:pPr>
        <w:ind w:left="1255" w:right="460" w:hanging="628"/>
        <w:spacing w:after="0" w:line="297" w:lineRule="auto"/>
        <w:tabs>
          <w:tab w:leader="none" w:pos="1235"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may be executed in two or more counterparts, each of which shall be deemed an original and all of which</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together shall constitute and be construed as one and the same instrument; and</w:t>
      </w:r>
    </w:p>
    <w:p>
      <w:pPr>
        <w:spacing w:after="0" w:line="145" w:lineRule="exact"/>
        <w:rPr>
          <w:sz w:val="20"/>
          <w:szCs w:val="20"/>
          <w:color w:val="auto"/>
        </w:rPr>
      </w:pPr>
    </w:p>
    <w:p>
      <w:pPr>
        <w:ind w:left="1255" w:right="180" w:hanging="628"/>
        <w:spacing w:after="0" w:line="277" w:lineRule="auto"/>
        <w:tabs>
          <w:tab w:leader="none" w:pos="1235"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b w:val="1"/>
          <w:bCs w:val="1"/>
          <w:u w:val="single" w:color="auto"/>
          <w:color w:val="auto"/>
        </w:rPr>
        <w:t>Remedies Cumulative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All rights of Administrative Agent and Lenders herein to collect rents on behalf of Lessor under the Lease are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cumulative and shall be in addition to any and all other rights and remedies provided by law and by other agreements between Administrative Agent and/or Lenders and Lessor or others; and</w:t>
      </w:r>
    </w:p>
    <w:p>
      <w:pPr>
        <w:spacing w:after="0" w:line="162" w:lineRule="exact"/>
        <w:rPr>
          <w:sz w:val="20"/>
          <w:szCs w:val="20"/>
          <w:color w:val="auto"/>
        </w:rPr>
      </w:pPr>
    </w:p>
    <w:p>
      <w:pPr>
        <w:ind w:left="1255" w:right="100" w:hanging="628"/>
        <w:spacing w:after="0" w:line="297" w:lineRule="auto"/>
        <w:tabs>
          <w:tab w:leader="none" w:pos="1235"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b w:val="1"/>
          <w:bCs w:val="1"/>
          <w:u w:val="single" w:color="auto"/>
          <w:color w:val="auto"/>
        </w:rPr>
        <w:t>Paragraph Headings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Paragraph headings in this Agreement are for convenience only and are not to be construed as part of this Agreement or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any way limiting or applying the provisions hereof.</w:t>
      </w:r>
    </w:p>
    <w:p>
      <w:pPr>
        <w:spacing w:after="0" w:line="145" w:lineRule="exact"/>
        <w:rPr>
          <w:sz w:val="20"/>
          <w:szCs w:val="20"/>
          <w:color w:val="auto"/>
        </w:rPr>
      </w:pPr>
    </w:p>
    <w:p>
      <w:pPr>
        <w:ind w:left="4555" w:right="4240" w:hanging="4555"/>
        <w:spacing w:after="0" w:line="604" w:lineRule="auto"/>
        <w:tabs>
          <w:tab w:leader="none" w:pos="620" w:val="left"/>
        </w:tabs>
        <w:numPr>
          <w:ilvl w:val="0"/>
          <w:numId w:val="241"/>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is attached hereto and incorporated herein by this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[Signatures follow on next page]</w:t>
      </w:r>
    </w:p>
    <w:p>
      <w:pPr>
        <w:sectPr>
          <w:pgSz w:w="11900" w:h="16838" w:orient="portrait"/>
          <w:cols w:equalWidth="0" w:num="1">
            <w:col w:w="11355"/>
          </w:cols>
          <w:pgMar w:left="245" w:top="127" w:right="299" w:bottom="0" w:gutter="0" w:footer="0" w:header="0"/>
        </w:sectPr>
      </w:pPr>
    </w:p>
    <w:bookmarkStart w:id="254" w:name="page255"/>
    <w:bookmarkEnd w:id="254"/>
    <w:p>
      <w:pPr>
        <w:jc w:val="center"/>
        <w:ind w:right="40"/>
        <w:spacing w:after="0"/>
        <w:rPr>
          <w:sz w:val="20"/>
          <w:szCs w:val="20"/>
          <w:color w:val="auto"/>
        </w:rPr>
      </w:pPr>
      <w:r>
        <w:rPr>
          <w:rFonts w:ascii="Arial" w:cs="Arial" w:eastAsia="Arial" w:hAnsi="Arial"/>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18" w:lineRule="exact"/>
        <w:rPr>
          <w:sz w:val="20"/>
          <w:szCs w:val="20"/>
          <w:color w:val="auto"/>
        </w:rPr>
      </w:pPr>
    </w:p>
    <w:p>
      <w:pPr>
        <w:ind w:left="960" w:right="40" w:hanging="955"/>
        <w:spacing w:after="0" w:line="277" w:lineRule="auto"/>
        <w:tabs>
          <w:tab w:leader="none" w:pos="940" w:val="left"/>
        </w:tabs>
        <w:rPr>
          <w:sz w:val="20"/>
          <w:szCs w:val="20"/>
          <w:color w:val="auto"/>
        </w:rPr>
      </w:pPr>
      <w:r>
        <w:rPr>
          <w:rFonts w:ascii="Arial" w:cs="Arial" w:eastAsia="Arial" w:hAnsi="Arial"/>
          <w:sz w:val="17"/>
          <w:szCs w:val="17"/>
          <w:b w:val="1"/>
          <w:bCs w:val="1"/>
          <w:color w:val="auto"/>
        </w:rPr>
        <w:t>NOTICE:</w:t>
        <w:tab/>
        <w:t>THIS SUBORDINATION AGREEMENT CONTAINS A PROVISION WHICH ALLOWS THE PERSON OBLIGATED ON YOUR REAL PROPERTY SECURITY TO OBTAIN A LOAN A PORTION OF WHICH MAY BE EXPENDED FOR OTHER PURPOSES THAN IMPROVEMENT OF THE LAND.</w:t>
      </w:r>
    </w:p>
    <w:p>
      <w:pPr>
        <w:spacing w:after="0" w:line="162"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color w:val="auto"/>
        </w:rPr>
        <w:t>IT IS RECOMMENDED THAT, PRIOR TO THE EXECUTION OF THIS AGREEMENT, THE PARTIES CONSULT WITH THEIR ATTORNEYS WITH RESPECT HERETO.</w:t>
      </w:r>
    </w:p>
    <w:p>
      <w:pPr>
        <w:spacing w:after="0" w:line="355"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“OWNER”</w:t>
            </w:r>
          </w:p>
        </w:tc>
      </w:tr>
      <w:tr>
        <w:trPr>
          <w:trHeight w:val="408"/>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RIATA HOLDINGS, L.P.,</w:t>
            </w:r>
          </w:p>
        </w:tc>
      </w:tr>
      <w:tr>
        <w:trPr>
          <w:trHeight w:val="210"/>
        </w:trPr>
        <w:tc>
          <w:tcPr>
            <w:tcW w:w="5700" w:type="dxa"/>
            <w:vAlign w:val="bottom"/>
            <w:gridSpan w:val="3"/>
          </w:tcPr>
          <w:p>
            <w:pPr>
              <w:spacing w:after="0"/>
              <w:rPr>
                <w:sz w:val="20"/>
                <w:szCs w:val="20"/>
                <w:color w:val="auto"/>
              </w:rPr>
            </w:pPr>
            <w:r>
              <w:rPr>
                <w:rFonts w:ascii="Arial" w:cs="Arial" w:eastAsia="Arial" w:hAnsi="Arial"/>
                <w:sz w:val="17"/>
                <w:szCs w:val="17"/>
                <w:color w:val="auto"/>
              </w:rPr>
              <w:t>a Delaware limited partnership,</w:t>
            </w:r>
          </w:p>
        </w:tc>
      </w:tr>
      <w:tr>
        <w:trPr>
          <w:trHeight w:val="210"/>
        </w:trPr>
        <w:tc>
          <w:tcPr>
            <w:tcW w:w="5700" w:type="dxa"/>
            <w:vAlign w:val="bottom"/>
            <w:gridSpan w:val="3"/>
          </w:tcPr>
          <w:p>
            <w:pPr>
              <w:spacing w:after="0"/>
              <w:rPr>
                <w:sz w:val="20"/>
                <w:szCs w:val="20"/>
                <w:color w:val="auto"/>
              </w:rPr>
            </w:pPr>
            <w:r>
              <w:rPr>
                <w:rFonts w:ascii="Arial" w:cs="Arial" w:eastAsia="Arial" w:hAnsi="Arial"/>
                <w:sz w:val="17"/>
                <w:szCs w:val="17"/>
                <w:color w:val="auto"/>
              </w:rPr>
              <w:t>doing business in the State of Texas</w:t>
            </w:r>
          </w:p>
        </w:tc>
      </w:tr>
      <w:tr>
        <w:trPr>
          <w:trHeight w:val="222"/>
        </w:trPr>
        <w:tc>
          <w:tcPr>
            <w:tcW w:w="5700" w:type="dxa"/>
            <w:vAlign w:val="bottom"/>
            <w:gridSpan w:val="3"/>
          </w:tcPr>
          <w:p>
            <w:pPr>
              <w:spacing w:after="0"/>
              <w:rPr>
                <w:sz w:val="20"/>
                <w:szCs w:val="20"/>
                <w:color w:val="auto"/>
              </w:rPr>
            </w:pPr>
            <w:r>
              <w:rPr>
                <w:rFonts w:ascii="Arial" w:cs="Arial" w:eastAsia="Arial" w:hAnsi="Arial"/>
                <w:sz w:val="17"/>
                <w:szCs w:val="17"/>
                <w:color w:val="auto"/>
              </w:rPr>
              <w:t>as Riata Austin Holdings, L.P.</w:t>
            </w:r>
          </w:p>
        </w:tc>
      </w:tr>
      <w:tr>
        <w:trPr>
          <w:trHeight w:val="408"/>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Riata Holdings General Partner, LLC,</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a Delaware limited liability company,</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doing business in the State of Texas</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as Riata Austin Holdings General Partner, LLC,</w:t>
            </w:r>
          </w:p>
        </w:tc>
      </w:tr>
      <w:tr>
        <w:trPr>
          <w:trHeight w:val="222"/>
        </w:trPr>
        <w:tc>
          <w:tcPr>
            <w:tcW w:w="48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General Partner</w:t>
            </w:r>
          </w:p>
        </w:tc>
      </w:tr>
      <w:tr>
        <w:trPr>
          <w:trHeight w:val="419"/>
        </w:trPr>
        <w:tc>
          <w:tcPr>
            <w:tcW w:w="480" w:type="dxa"/>
            <w:vAlign w:val="bottom"/>
          </w:tcPr>
          <w:p>
            <w:pPr>
              <w:spacing w:after="0"/>
              <w:rPr>
                <w:sz w:val="24"/>
                <w:szCs w:val="24"/>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By:</w:t>
            </w:r>
          </w:p>
        </w:tc>
      </w:tr>
      <w:tr>
        <w:trPr>
          <w:trHeight w:val="190"/>
        </w:trPr>
        <w:tc>
          <w:tcPr>
            <w:tcW w:w="480" w:type="dxa"/>
            <w:vAlign w:val="bottom"/>
          </w:tcPr>
          <w:p>
            <w:pPr>
              <w:spacing w:after="0"/>
              <w:rPr>
                <w:sz w:val="16"/>
                <w:szCs w:val="16"/>
                <w:color w:val="auto"/>
              </w:rPr>
            </w:pPr>
          </w:p>
        </w:tc>
        <w:tc>
          <w:tcPr>
            <w:tcW w:w="940" w:type="dxa"/>
            <w:vAlign w:val="bottom"/>
          </w:tcPr>
          <w:p>
            <w:pPr>
              <w:ind w:left="240"/>
              <w:spacing w:after="0" w:line="190" w:lineRule="exact"/>
              <w:rPr>
                <w:sz w:val="20"/>
                <w:szCs w:val="20"/>
                <w:color w:val="auto"/>
              </w:rPr>
            </w:pPr>
            <w:r>
              <w:rPr>
                <w:rFonts w:ascii="Arial" w:cs="Arial" w:eastAsia="Arial" w:hAnsi="Arial"/>
                <w:sz w:val="17"/>
                <w:szCs w:val="17"/>
                <w:color w:val="auto"/>
              </w:rPr>
              <w:t>Name:</w:t>
            </w:r>
          </w:p>
        </w:tc>
        <w:tc>
          <w:tcPr>
            <w:tcW w:w="4280" w:type="dxa"/>
            <w:vAlign w:val="bottom"/>
            <w:tcBorders>
              <w:top w:val="single" w:sz="8" w:color="auto"/>
              <w:bottom w:val="single" w:sz="8" w:color="auto"/>
            </w:tcBorders>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940" w:type="dxa"/>
            <w:vAlign w:val="bottom"/>
          </w:tcPr>
          <w:p>
            <w:pPr>
              <w:ind w:left="240"/>
              <w:spacing w:after="0" w:line="189" w:lineRule="exact"/>
              <w:rPr>
                <w:sz w:val="20"/>
                <w:szCs w:val="20"/>
                <w:color w:val="auto"/>
              </w:rPr>
            </w:pPr>
            <w:r>
              <w:rPr>
                <w:rFonts w:ascii="Arial" w:cs="Arial" w:eastAsia="Arial" w:hAnsi="Arial"/>
                <w:sz w:val="17"/>
                <w:szCs w:val="17"/>
                <w:color w:val="auto"/>
              </w:rPr>
              <w:t>Title:</w:t>
            </w:r>
          </w:p>
        </w:tc>
        <w:tc>
          <w:tcPr>
            <w:tcW w:w="4280" w:type="dxa"/>
            <w:vAlign w:val="bottom"/>
            <w:tcBorders>
              <w:bottom w:val="single" w:sz="8" w:color="auto"/>
            </w:tcBorders>
          </w:tcPr>
          <w:p>
            <w:pPr>
              <w:spacing w:after="0"/>
              <w:rPr>
                <w:sz w:val="16"/>
                <w:szCs w:val="16"/>
                <w:color w:val="auto"/>
              </w:rPr>
            </w:pPr>
          </w:p>
        </w:tc>
      </w:tr>
    </w:tbl>
    <w:p>
      <w:pPr>
        <w:spacing w:after="0" w:line="38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“ADMINISTRATIVE AGENT”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WELLS FARGO BANK,</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NATIONAL ASSOCIATION,</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Administrative Agent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By:</w:t>
            </w:r>
          </w:p>
        </w:tc>
        <w:tc>
          <w:tcPr>
            <w:tcW w:w="1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91" w:lineRule="exact"/>
              <w:rPr>
                <w:sz w:val="20"/>
                <w:szCs w:val="20"/>
                <w:color w:val="auto"/>
              </w:rPr>
            </w:pPr>
            <w:r>
              <w:rPr>
                <w:rFonts w:ascii="Arial" w:cs="Arial" w:eastAsia="Arial" w:hAnsi="Arial"/>
                <w:sz w:val="17"/>
                <w:szCs w:val="17"/>
                <w:color w:val="auto"/>
              </w:rPr>
              <w:t>Name:</w:t>
            </w:r>
          </w:p>
        </w:tc>
        <w:tc>
          <w:tcPr>
            <w:tcW w:w="1700" w:type="dxa"/>
            <w:vAlign w:val="bottom"/>
          </w:tcPr>
          <w:p>
            <w:pPr>
              <w:spacing w:after="0" w:line="191" w:lineRule="exact"/>
              <w:rPr>
                <w:sz w:val="20"/>
                <w:szCs w:val="20"/>
                <w:color w:val="auto"/>
              </w:rPr>
            </w:pPr>
            <w:r>
              <w:rPr>
                <w:rFonts w:ascii="Arial" w:cs="Arial" w:eastAsia="Arial" w:hAnsi="Arial"/>
                <w:sz w:val="17"/>
                <w:szCs w:val="17"/>
                <w:color w:val="auto"/>
              </w:rPr>
              <w:t>Richard W. Daniel</w:t>
            </w:r>
          </w:p>
        </w:tc>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Title:</w:t>
            </w:r>
          </w:p>
        </w:tc>
        <w:tc>
          <w:tcPr>
            <w:tcW w:w="1700" w:type="dxa"/>
            <w:vAlign w:val="bottom"/>
          </w:tcPr>
          <w:p>
            <w:pPr>
              <w:spacing w:after="0"/>
              <w:rPr>
                <w:sz w:val="20"/>
                <w:szCs w:val="20"/>
                <w:color w:val="auto"/>
              </w:rPr>
            </w:pPr>
            <w:r>
              <w:rPr>
                <w:rFonts w:ascii="Arial" w:cs="Arial" w:eastAsia="Arial" w:hAnsi="Arial"/>
                <w:sz w:val="17"/>
                <w:szCs w:val="17"/>
                <w:color w:val="auto"/>
              </w:rPr>
              <w:t>Vice President</w:t>
            </w: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b w:val="1"/>
                <w:bCs w:val="1"/>
                <w:color w:val="auto"/>
              </w:rPr>
              <w:t>“LESSEE”</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b w:val="1"/>
                <w:bCs w:val="1"/>
                <w:color w:val="auto"/>
              </w:rPr>
              <w:t>VERACYTE, INC.,</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color w:val="auto"/>
              </w:rPr>
              <w:t>a Delaware corporation</w:t>
            </w: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By:</w:t>
            </w:r>
          </w:p>
        </w:tc>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90" w:lineRule="exact"/>
              <w:rPr>
                <w:sz w:val="20"/>
                <w:szCs w:val="20"/>
                <w:color w:val="auto"/>
              </w:rPr>
            </w:pPr>
            <w:r>
              <w:rPr>
                <w:rFonts w:ascii="Arial" w:cs="Arial" w:eastAsia="Arial" w:hAnsi="Arial"/>
                <w:sz w:val="17"/>
                <w:szCs w:val="17"/>
                <w:color w:val="auto"/>
              </w:rPr>
              <w:t>Name:</w:t>
            </w:r>
          </w:p>
        </w:tc>
        <w:tc>
          <w:tcPr>
            <w:tcW w:w="17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89" w:lineRule="exact"/>
              <w:rPr>
                <w:sz w:val="20"/>
                <w:szCs w:val="20"/>
                <w:color w:val="auto"/>
              </w:rPr>
            </w:pPr>
            <w:r>
              <w:rPr>
                <w:rFonts w:ascii="Arial" w:cs="Arial" w:eastAsia="Arial" w:hAnsi="Arial"/>
                <w:sz w:val="17"/>
                <w:szCs w:val="17"/>
                <w:color w:val="auto"/>
              </w:rPr>
              <w:t>Title:</w:t>
            </w:r>
          </w:p>
        </w:tc>
        <w:tc>
          <w:tcPr>
            <w:tcW w:w="17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jc w:val="center"/>
              <w:ind w:left="1073"/>
              <w:spacing w:after="0"/>
              <w:rPr>
                <w:sz w:val="20"/>
                <w:szCs w:val="20"/>
                <w:color w:val="auto"/>
              </w:rPr>
            </w:pPr>
            <w:r>
              <w:rPr>
                <w:rFonts w:ascii="Arial" w:cs="Arial" w:eastAsia="Arial" w:hAnsi="Arial"/>
                <w:sz w:val="17"/>
                <w:szCs w:val="17"/>
                <w:b w:val="1"/>
                <w:bCs w:val="1"/>
                <w:color w:val="auto"/>
              </w:rPr>
              <w:t>(ALL SIGNATURES MUST BE ACKNOWLEDGED)</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jc w:val="center"/>
              <w:ind w:left="2773"/>
              <w:spacing w:after="0"/>
              <w:rPr>
                <w:sz w:val="20"/>
                <w:szCs w:val="20"/>
                <w:color w:val="auto"/>
              </w:rPr>
            </w:pPr>
            <w:r>
              <w:rPr>
                <w:rFonts w:ascii="Arial" w:cs="Arial" w:eastAsia="Arial" w:hAnsi="Arial"/>
                <w:sz w:val="17"/>
                <w:szCs w:val="17"/>
                <w:color w:val="auto"/>
              </w:rPr>
              <w:t>I-6</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86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EXHIBIT A</w:t>
            </w: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40" w:type="dxa"/>
            <w:vAlign w:val="bottom"/>
            <w:gridSpan w:val="4"/>
          </w:tcPr>
          <w:p>
            <w:pPr>
              <w:jc w:val="right"/>
              <w:ind w:right="40"/>
              <w:spacing w:after="0" w:line="189" w:lineRule="exact"/>
              <w:rPr>
                <w:sz w:val="20"/>
                <w:szCs w:val="20"/>
                <w:color w:val="auto"/>
              </w:rPr>
            </w:pPr>
            <w:r>
              <w:rPr>
                <w:rFonts w:ascii="Arial" w:cs="Arial" w:eastAsia="Arial" w:hAnsi="Arial"/>
                <w:sz w:val="17"/>
                <w:szCs w:val="17"/>
                <w:b w:val="1"/>
                <w:bCs w:val="1"/>
                <w:color w:val="auto"/>
                <w:w w:val="96"/>
              </w:rPr>
              <w:t>LOAN NO. 1000531</w:t>
            </w:r>
          </w:p>
        </w:tc>
      </w:tr>
      <w:tr>
        <w:trPr>
          <w:trHeight w:val="43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jc w:val="center"/>
              <w:ind w:left="1053"/>
              <w:spacing w:after="0"/>
              <w:rPr>
                <w:sz w:val="20"/>
                <w:szCs w:val="20"/>
                <w:color w:val="auto"/>
              </w:rPr>
            </w:pPr>
            <w:r>
              <w:rPr>
                <w:rFonts w:ascii="Arial" w:cs="Arial" w:eastAsia="Arial" w:hAnsi="Arial"/>
                <w:sz w:val="17"/>
                <w:szCs w:val="17"/>
                <w:b w:val="1"/>
                <w:bCs w:val="1"/>
                <w:color w:val="auto"/>
              </w:rPr>
              <w:t>DESCRIPTION OF PROPERTY</w:t>
            </w:r>
          </w:p>
        </w:tc>
        <w:tc>
          <w:tcPr>
            <w:tcW w:w="17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10820" w:type="dxa"/>
            <w:vAlign w:val="bottom"/>
            <w:gridSpan w:val="7"/>
          </w:tcPr>
          <w:p>
            <w:pPr>
              <w:spacing w:after="0"/>
              <w:rPr>
                <w:sz w:val="20"/>
                <w:szCs w:val="20"/>
                <w:color w:val="auto"/>
              </w:rPr>
            </w:pPr>
            <w:r>
              <w:rPr>
                <w:rFonts w:ascii="Arial" w:cs="Arial" w:eastAsia="Arial" w:hAnsi="Arial"/>
                <w:sz w:val="17"/>
                <w:szCs w:val="17"/>
                <w:color w:val="auto"/>
                <w:w w:val="97"/>
              </w:rPr>
              <w:t>EXHIBIT A to Subordination Agreement; Acknowledgment of Lease Assignment, Estoppel, Attornment and Non-Disturbance Agreement dated as of</w:t>
            </w:r>
          </w:p>
        </w:tc>
        <w:tc>
          <w:tcPr>
            <w:tcW w:w="600" w:type="dxa"/>
            <w:vAlign w:val="bottom"/>
          </w:tcPr>
          <w:p>
            <w:pPr>
              <w:jc w:val="right"/>
              <w:spacing w:after="0"/>
              <w:rPr>
                <w:sz w:val="20"/>
                <w:szCs w:val="20"/>
                <w:color w:val="auto"/>
              </w:rPr>
            </w:pPr>
            <w:r>
              <w:rPr>
                <w:rFonts w:ascii="Arial" w:cs="Arial" w:eastAsia="Arial" w:hAnsi="Arial"/>
                <w:sz w:val="17"/>
                <w:szCs w:val="17"/>
                <w:color w:val="auto"/>
              </w:rPr>
              <w:t>, 2012,</w:t>
            </w:r>
          </w:p>
        </w:tc>
        <w:tc>
          <w:tcPr>
            <w:tcW w:w="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820" w:type="dxa"/>
            <w:vAlign w:val="bottom"/>
            <w:gridSpan w:val="7"/>
          </w:tcPr>
          <w:p>
            <w:pPr>
              <w:spacing w:after="0"/>
              <w:rPr>
                <w:sz w:val="20"/>
                <w:szCs w:val="20"/>
                <w:color w:val="auto"/>
              </w:rPr>
            </w:pPr>
            <w:r>
              <w:rPr>
                <w:rFonts w:ascii="Arial" w:cs="Arial" w:eastAsia="Arial" w:hAnsi="Arial"/>
                <w:sz w:val="17"/>
                <w:szCs w:val="17"/>
                <w:color w:val="auto"/>
                <w:w w:val="95"/>
              </w:rPr>
              <w:t>executed by RIATA HOLDINGS, L.P., a Delaware limited partnership, doing business in the State of Texas as Riata Austin Holdings, L.P., as “Owner”,</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0820" w:type="dxa"/>
            <w:vAlign w:val="bottom"/>
            <w:gridSpan w:val="7"/>
          </w:tcPr>
          <w:p>
            <w:pPr>
              <w:spacing w:after="0"/>
              <w:rPr>
                <w:sz w:val="20"/>
                <w:szCs w:val="20"/>
                <w:color w:val="auto"/>
              </w:rPr>
            </w:pPr>
            <w:r>
              <w:rPr>
                <w:rFonts w:ascii="Arial" w:cs="Arial" w:eastAsia="Arial" w:hAnsi="Arial"/>
                <w:sz w:val="17"/>
                <w:szCs w:val="17"/>
                <w:color w:val="auto"/>
              </w:rPr>
              <w:t>VERACYTE, INC., a Delaware corporation, as “Lessee”, and WELLS FARGO BANK, NATIONAL ASSOCIATION, as “Administrative Agent”.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140" w:type="dxa"/>
            <w:vAlign w:val="bottom"/>
            <w:gridSpan w:val="4"/>
          </w:tcPr>
          <w:p>
            <w:pPr>
              <w:spacing w:after="0"/>
              <w:rPr>
                <w:sz w:val="20"/>
                <w:szCs w:val="20"/>
                <w:color w:val="auto"/>
              </w:rPr>
            </w:pPr>
            <w:r>
              <w:rPr>
                <w:rFonts w:ascii="Arial" w:cs="Arial" w:eastAsia="Arial" w:hAnsi="Arial"/>
                <w:sz w:val="17"/>
                <w:szCs w:val="17"/>
                <w:color w:val="auto"/>
                <w:w w:val="96"/>
              </w:rPr>
              <w:t>All that certain real property located in the City of Austin, County of Travis, State of Texas, described as follows:</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86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39"/>
        </w:trPr>
        <w:tc>
          <w:tcPr>
            <w:tcW w:w="2140" w:type="dxa"/>
            <w:vAlign w:val="bottom"/>
            <w:gridSpan w:val="2"/>
          </w:tcPr>
          <w:p>
            <w:pPr>
              <w:spacing w:after="0"/>
              <w:rPr>
                <w:sz w:val="20"/>
                <w:szCs w:val="20"/>
                <w:color w:val="auto"/>
              </w:rPr>
            </w:pPr>
            <w:r>
              <w:rPr>
                <w:rFonts w:ascii="Arial" w:cs="Arial" w:eastAsia="Arial" w:hAnsi="Arial"/>
                <w:sz w:val="17"/>
                <w:szCs w:val="17"/>
                <w:b w:val="1"/>
                <w:bCs w:val="1"/>
                <w:color w:val="auto"/>
              </w:rPr>
              <w:t>STATE OF CALIFORNIA</w:t>
            </w:r>
          </w:p>
        </w:tc>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2140" w:type="dxa"/>
            <w:vAlign w:val="bottom"/>
            <w:gridSpan w:val="2"/>
          </w:tcPr>
          <w:p>
            <w:pPr>
              <w:spacing w:after="0"/>
              <w:rPr>
                <w:sz w:val="20"/>
                <w:szCs w:val="20"/>
                <w:color w:val="auto"/>
              </w:rPr>
            </w:pPr>
            <w:r>
              <w:rPr>
                <w:rFonts w:ascii="Arial" w:cs="Arial" w:eastAsia="Arial" w:hAnsi="Arial"/>
                <w:sz w:val="17"/>
                <w:szCs w:val="17"/>
                <w:b w:val="1"/>
                <w:bCs w:val="1"/>
                <w:color w:val="auto"/>
              </w:rPr>
              <w:t>COUNTY OF</w:t>
            </w:r>
          </w:p>
        </w:tc>
        <w:tc>
          <w:tcPr>
            <w:tcW w:w="4300" w:type="dxa"/>
            <w:vAlign w:val="bottom"/>
          </w:tcPr>
          <w:p>
            <w:pPr>
              <w:ind w:left="140"/>
              <w:spacing w:after="0"/>
              <w:rPr>
                <w:sz w:val="20"/>
                <w:szCs w:val="20"/>
                <w:color w:val="auto"/>
              </w:rPr>
            </w:pPr>
            <w:r>
              <w:rPr>
                <w:rFonts w:ascii="Arial" w:cs="Arial" w:eastAsia="Arial" w:hAnsi="Arial"/>
                <w:sz w:val="17"/>
                <w:szCs w:val="17"/>
                <w:color w:val="auto"/>
              </w:rPr>
              <w:t>ss.</w:t>
            </w:r>
          </w:p>
        </w:tc>
        <w:tc>
          <w:tcPr>
            <w:tcW w:w="1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140" w:type="dxa"/>
            <w:vAlign w:val="bottom"/>
            <w:gridSpan w:val="2"/>
          </w:tcPr>
          <w:p>
            <w:pPr>
              <w:spacing w:after="0"/>
              <w:rPr>
                <w:sz w:val="20"/>
                <w:szCs w:val="20"/>
                <w:color w:val="auto"/>
              </w:rPr>
            </w:pPr>
            <w:r>
              <w:rPr>
                <w:rFonts w:ascii="Arial" w:cs="Arial" w:eastAsia="Arial" w:hAnsi="Arial"/>
                <w:sz w:val="17"/>
                <w:szCs w:val="17"/>
                <w:color w:val="auto"/>
              </w:rPr>
              <w:t>On</w:t>
            </w:r>
          </w:p>
        </w:tc>
        <w:tc>
          <w:tcPr>
            <w:tcW w:w="6000" w:type="dxa"/>
            <w:vAlign w:val="bottom"/>
            <w:gridSpan w:val="2"/>
          </w:tcPr>
          <w:p>
            <w:pPr>
              <w:ind w:left="740"/>
              <w:spacing w:after="0"/>
              <w:rPr>
                <w:sz w:val="20"/>
                <w:szCs w:val="20"/>
                <w:color w:val="auto"/>
              </w:rPr>
            </w:pPr>
            <w:r>
              <w:rPr>
                <w:rFonts w:ascii="Arial" w:cs="Arial" w:eastAsia="Arial" w:hAnsi="Arial"/>
                <w:sz w:val="17"/>
                <w:szCs w:val="17"/>
                <w:color w:val="auto"/>
              </w:rPr>
              <w:t>before me, (insert name and title of the officer), personally appeared</w:t>
            </w:r>
          </w:p>
        </w:tc>
        <w:tc>
          <w:tcPr>
            <w:tcW w:w="2680" w:type="dxa"/>
            <w:vAlign w:val="bottom"/>
            <w:gridSpan w:val="3"/>
          </w:tcPr>
          <w:p>
            <w:pPr>
              <w:ind w:left="220"/>
              <w:spacing w:after="0"/>
              <w:rPr>
                <w:sz w:val="20"/>
                <w:szCs w:val="20"/>
                <w:color w:val="auto"/>
              </w:rPr>
            </w:pPr>
            <w:r>
              <w:rPr>
                <w:rFonts w:ascii="Arial" w:cs="Arial" w:eastAsia="Arial" w:hAnsi="Arial"/>
                <w:sz w:val="17"/>
                <w:szCs w:val="17"/>
                <w:color w:val="auto"/>
                <w:w w:val="93"/>
              </w:rPr>
              <w:t>, who proved to me on the basis of</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-2814955</wp:posOffset>
            </wp:positionV>
            <wp:extent cx="12700"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-2814955</wp:posOffset>
            </wp:positionV>
            <wp:extent cx="12700"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-908685</wp:posOffset>
            </wp:positionV>
            <wp:extent cx="12700"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-908685</wp:posOffset>
            </wp:positionV>
            <wp:extent cx="12700"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satisfactory evidence to be the person(s) whose name(s) is/are subscribed to the within instrument and acknowledged to me that he/she/they executed the same in</w:t>
      </w:r>
    </w:p>
    <w:p>
      <w:pPr>
        <w:sectPr>
          <w:pgSz w:w="11900" w:h="16838" w:orient="portrait"/>
          <w:cols w:equalWidth="0" w:num="1">
            <w:col w:w="11460"/>
          </w:cols>
          <w:pgMar w:left="240" w:top="127" w:right="199" w:bottom="0" w:gutter="0" w:footer="0" w:header="0"/>
        </w:sectPr>
      </w:pPr>
    </w:p>
    <w:bookmarkStart w:id="255" w:name="page256"/>
    <w:bookmarkEnd w:id="255"/>
    <w:p>
      <w:pPr>
        <w:spacing w:after="0" w:line="289" w:lineRule="auto"/>
        <w:rPr>
          <w:sz w:val="20"/>
          <w:szCs w:val="20"/>
          <w:color w:val="auto"/>
        </w:rPr>
      </w:pPr>
      <w:r>
        <w:rPr>
          <w:rFonts w:ascii="Arial" w:cs="Arial" w:eastAsia="Arial" w:hAnsi="Arial"/>
          <w:sz w:val="17"/>
          <w:szCs w:val="17"/>
          <w:color w:val="auto"/>
        </w:rPr>
        <w:t>his/her/their authorized capacity(ies), and that by his/her/their signature(s) on the instrument the person(s), or the entity upon behalf of which the person(s) acted, executed the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STATE OF CALIFORNIA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58" w:lineRule="exact"/>
        <w:rPr>
          <w:sz w:val="20"/>
          <w:szCs w:val="20"/>
          <w:color w:val="auto"/>
        </w:rPr>
      </w:pPr>
    </w:p>
    <w:p>
      <w:pPr>
        <w:sectPr>
          <w:pgSz w:w="11900" w:h="16838" w:orient="portrait"/>
          <w:cols w:equalWidth="0" w:num="2">
            <w:col w:w="2000" w:space="280"/>
            <w:col w:w="9000"/>
          </w:cols>
          <w:pgMar w:left="240" w:top="127" w:right="379" w:bottom="1440" w:gutter="0" w:footer="0" w:header="0"/>
          <w:type w:val="continuous"/>
        </w:sectPr>
      </w:pPr>
    </w:p>
    <w:p>
      <w:pPr>
        <w:spacing w:after="0"/>
        <w:tabs>
          <w:tab w:leader="none" w:pos="2860" w:val="left"/>
          <w:tab w:leader="none" w:pos="834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12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46" w:lineRule="exact"/>
        <w:rPr>
          <w:sz w:val="20"/>
          <w:szCs w:val="20"/>
          <w:color w:val="auto"/>
        </w:rPr>
      </w:pPr>
    </w:p>
    <w:p>
      <w:pPr>
        <w:sectPr>
          <w:pgSz w:w="11900" w:h="16838" w:orient="portrait"/>
          <w:cols w:equalWidth="0" w:num="2">
            <w:col w:w="1560" w:space="720"/>
            <w:col w:w="9000"/>
          </w:cols>
          <w:pgMar w:left="240" w:top="127" w:right="379" w:bottom="1440" w:gutter="0" w:footer="0" w:header="0"/>
          <w:type w:val="continuous"/>
        </w:sectPr>
      </w:pPr>
    </w:p>
    <w:p>
      <w:pPr>
        <w:spacing w:after="0" w:line="12" w:lineRule="exact"/>
        <w:rPr>
          <w:sz w:val="20"/>
          <w:szCs w:val="20"/>
          <w:color w:val="auto"/>
        </w:rPr>
      </w:pPr>
    </w:p>
    <w:p>
      <w:pPr>
        <w:spacing w:after="0"/>
        <w:tabs>
          <w:tab w:leader="none" w:pos="2920" w:val="left"/>
          <w:tab w:leader="none" w:pos="840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12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type w:val="continuous"/>
        </w:sectPr>
      </w:pPr>
    </w:p>
    <w:bookmarkStart w:id="256" w:name="page257"/>
    <w:bookmarkEnd w:id="256"/>
    <w:p>
      <w:pPr>
        <w:jc w:val="right"/>
        <w:spacing w:after="0"/>
        <w:rPr>
          <w:sz w:val="20"/>
          <w:szCs w:val="20"/>
          <w:color w:val="auto"/>
        </w:rPr>
      </w:pPr>
      <w:r>
        <w:rPr>
          <w:rFonts w:ascii="Arial" w:cs="Arial" w:eastAsia="Arial" w:hAnsi="Arial"/>
          <w:sz w:val="17"/>
          <w:szCs w:val="17"/>
          <w:b w:val="1"/>
          <w:bCs w:val="1"/>
          <w:color w:val="auto"/>
        </w:rPr>
        <w:t>Exhibit 10.17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[Veracyte Letterhead]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April1,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Shelly Guyer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Shelly:</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are uniformly impressed with your abilities and experience, and we are excited to extend an offer of employment. We hope you find the opportunity to be compelling and we look forward to having you join us. We believe we can provide an environment in which you may continue your professional growth while making key contributions to the success of Veracyte. We are, therefore, pleased to offer you the position of Chief Financial Officer. This role will help the company achieve both short and long term business objectives. In this role, you will report to Bonnie Anderson, Chief Executive Officer. You should note that the Company may modify job titles and reporting relationships from time to time as it deems necessary.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24" w:lineRule="exact"/>
        <w:rPr>
          <w:sz w:val="20"/>
          <w:szCs w:val="20"/>
          <w:color w:val="auto"/>
        </w:rPr>
      </w:pPr>
    </w:p>
    <w:p>
      <w:pPr>
        <w:jc w:val="both"/>
        <w:ind w:left="740" w:right="260" w:hanging="293"/>
        <w:spacing w:after="0" w:line="273"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You will receive a base salary of $275,000 ($11,458.33 per pay period), less all applicable taxes and withholdings paid in accordance with Veracyte’s established payroll schedule, presently semi-monthly. In addition, you will be eligible to participate in Veracyte’s 2013 Executive Bonus Plan with a bonus target of 25 percent of annual base salary, prorated based on length of service.</w:t>
      </w:r>
    </w:p>
    <w:p>
      <w:pPr>
        <w:spacing w:after="0" w:line="171" w:lineRule="exact"/>
        <w:rPr>
          <w:rFonts w:ascii="Arial" w:cs="Arial" w:eastAsia="Arial" w:hAnsi="Arial"/>
          <w:sz w:val="17"/>
          <w:szCs w:val="17"/>
          <w:color w:val="auto"/>
        </w:rPr>
      </w:pPr>
    </w:p>
    <w:p>
      <w:pPr>
        <w:ind w:left="740" w:hanging="293"/>
        <w:spacing w:after="0"/>
        <w:tabs>
          <w:tab w:leader="none" w:pos="7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You will be eligible to participate in Veracyte’s Executive Change of Control and Severance program.</w:t>
      </w:r>
    </w:p>
    <w:p>
      <w:pPr>
        <w:spacing w:after="0" w:line="224" w:lineRule="exact"/>
        <w:rPr>
          <w:rFonts w:ascii="Arial" w:cs="Arial" w:eastAsia="Arial" w:hAnsi="Arial"/>
          <w:sz w:val="17"/>
          <w:szCs w:val="17"/>
          <w:color w:val="auto"/>
        </w:rPr>
      </w:pPr>
    </w:p>
    <w:p>
      <w:pPr>
        <w:ind w:left="740" w:right="120" w:hanging="293"/>
        <w:spacing w:after="0" w:line="289"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You will be eligible for medical, dental and vision benefits, and participation in the Company’s 401(k) plan, which will be further detailed in a separate conversation with Human Resources.</w:t>
      </w:r>
    </w:p>
    <w:p>
      <w:pPr>
        <w:spacing w:after="0" w:line="158" w:lineRule="exact"/>
        <w:rPr>
          <w:rFonts w:ascii="Arial" w:cs="Arial" w:eastAsia="Arial" w:hAnsi="Arial"/>
          <w:sz w:val="17"/>
          <w:szCs w:val="17"/>
          <w:color w:val="auto"/>
        </w:rPr>
      </w:pPr>
    </w:p>
    <w:p>
      <w:pPr>
        <w:ind w:left="740" w:right="560" w:hanging="293"/>
        <w:spacing w:after="0" w:line="289"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You will be eligible for paid time off and company paid holidays in accordance with Veracyte’s established policies. These and other policies are explained fully in the Company’s employee handbook.</w:t>
      </w:r>
    </w:p>
    <w:p>
      <w:pPr>
        <w:spacing w:after="0" w:line="158" w:lineRule="exact"/>
        <w:rPr>
          <w:rFonts w:ascii="Arial" w:cs="Arial" w:eastAsia="Arial" w:hAnsi="Arial"/>
          <w:sz w:val="17"/>
          <w:szCs w:val="17"/>
          <w:color w:val="auto"/>
        </w:rPr>
      </w:pPr>
    </w:p>
    <w:p>
      <w:pPr>
        <w:ind w:left="740" w:right="220" w:hanging="293"/>
        <w:spacing w:after="0" w:line="263"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significant equity participation to the members of its founding team. Consistent with this philosophy, if you decide to join the Company, you will be granted the option to purchase 600,000 shares of the Common Stock of Veracyte as recommended and approved by the Company’s Board of Directors following commencement of your full-time employment with Veracyte. The price per share will be equal to the fair market value of the Common Stock on the date of grant, as determined by the Company’s Board of Directors. The vesting schedule will be 1/4 of the shares vesting on the first anniversary of your employment, and then 1/48 of the shares vesting each month for the next 36 months.</w:t>
      </w:r>
    </w:p>
    <w:p>
      <w:pPr>
        <w:spacing w:after="0" w:line="183" w:lineRule="exact"/>
        <w:rPr>
          <w:rFonts w:ascii="Arial" w:cs="Arial" w:eastAsia="Arial" w:hAnsi="Arial"/>
          <w:sz w:val="17"/>
          <w:szCs w:val="17"/>
          <w:color w:val="auto"/>
        </w:rPr>
      </w:pPr>
    </w:p>
    <w:p>
      <w:pPr>
        <w:ind w:left="740" w:right="340" w:hanging="293"/>
        <w:spacing w:after="0" w:line="273"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171" w:lineRule="exact"/>
        <w:rPr>
          <w:rFonts w:ascii="Arial" w:cs="Arial" w:eastAsia="Arial" w:hAnsi="Arial"/>
          <w:sz w:val="17"/>
          <w:szCs w:val="17"/>
          <w:color w:val="auto"/>
        </w:rPr>
      </w:pPr>
    </w:p>
    <w:p>
      <w:pPr>
        <w:ind w:left="740" w:right="80" w:hanging="293"/>
        <w:spacing w:after="0" w:line="289" w:lineRule="auto"/>
        <w:tabs>
          <w:tab w:leader="none" w:pos="73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7000 Shoreline Court, Suite 250 · South San Francisco, CA 94080 · T 650.243.6300 · F 650.243.6301 ·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terminated by you, the Company requests that you provide a minimum two weeks’ notice, or as much notice as possible.</w:t>
      </w:r>
    </w:p>
    <w:p>
      <w:pPr>
        <w:spacing w:after="0" w:line="224" w:lineRule="exact"/>
        <w:rPr>
          <w:sz w:val="20"/>
          <w:szCs w:val="20"/>
          <w:color w:val="auto"/>
        </w:rPr>
      </w:pPr>
    </w:p>
    <w:p>
      <w:pPr>
        <w:ind w:left="740" w:right="40" w:hanging="293"/>
        <w:spacing w:after="0" w:line="263" w:lineRule="auto"/>
        <w:tabs>
          <w:tab w:leader="none" w:pos="73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requirement for resolution by binding arbitration of any dispute arising out of our employment relationship. This arbitration requirement is described in detail in the aforementioned agreement, a copy of which is enclosed with this offer. A signed copy of this agreement must be received by the Company prior to your first day of employment.</w:t>
      </w:r>
    </w:p>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accept the Company’s offer, please sign and date this letter in the space provided below. A duplicate original is enclosed for your records. This offer of employment expires on April 8, 2013. A mutually acceptable start date is to be determined.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We look forward to your acceptance of this offer, and to working with you at Veracyte, Inc. If you have any questions about this offer or its terms, please feel free to contact me directly at 650-243-6302.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7"/>
                <w:szCs w:val="17"/>
                <w:color w:val="auto"/>
              </w:rPr>
              <w:t>Signature:</w:t>
            </w: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Shelly D. Guyer</w:t>
            </w:r>
          </w:p>
        </w:tc>
      </w:tr>
      <w:tr>
        <w:trPr>
          <w:trHeight w:val="203"/>
        </w:trPr>
        <w:tc>
          <w:tcPr>
            <w:tcW w:w="1400" w:type="dxa"/>
            <w:vAlign w:val="bottom"/>
          </w:tcPr>
          <w:p>
            <w:pPr>
              <w:spacing w:after="0"/>
              <w:rPr>
                <w:sz w:val="20"/>
                <w:szCs w:val="20"/>
                <w:color w:val="auto"/>
              </w:rPr>
            </w:pPr>
            <w:r>
              <w:rPr>
                <w:rFonts w:ascii="Arial" w:cs="Arial" w:eastAsia="Arial" w:hAnsi="Arial"/>
                <w:sz w:val="17"/>
                <w:szCs w:val="17"/>
                <w:color w:val="auto"/>
              </w:rPr>
              <w:t>Printed Name:</w:t>
            </w: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Shelly D. Guyer</w:t>
            </w:r>
          </w:p>
        </w:tc>
      </w:tr>
    </w:tbl>
    <w:p>
      <w:pPr>
        <w:sectPr>
          <w:pgSz w:w="11900" w:h="16838" w:orient="portrait"/>
          <w:cols w:equalWidth="0" w:num="1">
            <w:col w:w="11420"/>
          </w:cols>
          <w:pgMar w:left="240" w:top="357" w:right="239" w:bottom="0" w:gutter="0" w:footer="0" w:header="0"/>
        </w:sectPr>
      </w:pPr>
    </w:p>
    <w:bookmarkStart w:id="257" w:name="page258"/>
    <w:bookmarkEnd w:id="257"/>
    <w:p>
      <w:pPr>
        <w:spacing w:after="0"/>
        <w:tabs>
          <w:tab w:leader="none" w:pos="13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4/8/13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17145</wp:posOffset>
            </wp:positionV>
            <wp:extent cx="27387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Enclosures: Duplicate Original letter, At-Will Employment, Confidential Information, Invention Assignment and Arbitration Agreement</w:t>
      </w:r>
    </w:p>
    <w:p>
      <w:pPr>
        <w:spacing w:after="0" w:line="22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7000 Shoreline Court, Suite 250 · South San Francisco, CA 94080 · T 650.243.6300 · F 650.243.6301 ·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10.18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[Veracyte Letterhead]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January 27,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Christopher Hall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Chris,</w:t>
      </w:r>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We are uniformly impressed with your abilities and experience, and we are excited to extend an offer of employment. We hope you find the opportunity to be compelling and we look forward to having you join us as a member of our founding team. We believe we can provide an environment in which you may continue your professional growth while making key contributions to the success of Veracyte. We are, therefore, pleased to offer you the position of </w:t>
      </w:r>
      <w:r>
        <w:rPr>
          <w:rFonts w:ascii="Arial" w:cs="Arial" w:eastAsia="Arial" w:hAnsi="Arial"/>
          <w:sz w:val="17"/>
          <w:szCs w:val="17"/>
          <w:b w:val="1"/>
          <w:bCs w:val="1"/>
          <w:color w:val="auto"/>
        </w:rPr>
        <w:t>Chief Commercial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Officer. </w:t>
      </w:r>
      <w:r>
        <w:rPr>
          <w:rFonts w:ascii="Arial" w:cs="Arial" w:eastAsia="Arial" w:hAnsi="Arial"/>
          <w:sz w:val="17"/>
          <w:szCs w:val="17"/>
          <w:color w:val="auto"/>
        </w:rPr>
        <w:t>Your responsibilities will be focused primarily on formulating and executing the Company’s sales and marketing strategy, building a top-tier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organization to support the achievement of short- and long-term business objectives, and other duties as assigned. This role is pivotal in helping the company achieve success. In this role, you will report to me. You should note that the Company may modify job titles and reporting relationships from time to time as it deems necessary.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24" w:lineRule="exact"/>
        <w:rPr>
          <w:sz w:val="20"/>
          <w:szCs w:val="20"/>
          <w:color w:val="auto"/>
        </w:rPr>
      </w:pPr>
    </w:p>
    <w:p>
      <w:pPr>
        <w:ind w:left="760" w:right="380" w:hanging="316"/>
        <w:spacing w:after="0" w:line="289" w:lineRule="auto"/>
        <w:tabs>
          <w:tab w:leader="none" w:pos="76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You will receive a salary of $24,166.67 per month (which is $290,000 annually), less all applicable taxes and withholdings paid in accordance with Veracyte’s established payroll schedule, presently semi-monthly.</w:t>
      </w:r>
    </w:p>
    <w:p>
      <w:pPr>
        <w:spacing w:after="0" w:line="158" w:lineRule="exact"/>
        <w:rPr>
          <w:rFonts w:ascii="Arial" w:cs="Arial" w:eastAsia="Arial" w:hAnsi="Arial"/>
          <w:sz w:val="17"/>
          <w:szCs w:val="17"/>
          <w:color w:val="auto"/>
        </w:rPr>
      </w:pPr>
    </w:p>
    <w:p>
      <w:pPr>
        <w:ind w:left="740" w:right="60" w:hanging="301"/>
        <w:spacing w:after="0" w:line="268" w:lineRule="auto"/>
        <w:tabs>
          <w:tab w:leader="none" w:pos="74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Starting with the 2010 fiscal year and for each fiscal year thereafter, you will be eligible to receive an annual executive bonus of up to 20% of your then current annual salary. The bonus may be paid out in a combination of cash and stock option grants at the sole discretion of the Company’s Board of Directors. Any stock options granted will be granted at the fair market value on the date of grant and the number of the options granted will be determined at the sole discretion of the Company’s Board of Directors.</w:t>
      </w:r>
    </w:p>
    <w:p>
      <w:pPr>
        <w:spacing w:after="0" w:line="175" w:lineRule="exact"/>
        <w:rPr>
          <w:rFonts w:ascii="Arial" w:cs="Arial" w:eastAsia="Arial" w:hAnsi="Arial"/>
          <w:sz w:val="17"/>
          <w:szCs w:val="17"/>
          <w:color w:val="auto"/>
        </w:rPr>
      </w:pPr>
    </w:p>
    <w:p>
      <w:pPr>
        <w:ind w:left="740" w:right="140" w:hanging="301"/>
        <w:spacing w:after="0" w:line="289" w:lineRule="auto"/>
        <w:tabs>
          <w:tab w:leader="none" w:pos="74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You will be eligible for medical, dental and vision benefits, and participation in the Company’s 401(k) plan,which will be further detailed in a separate conversation with Human Resources.</w:t>
      </w:r>
    </w:p>
    <w:p>
      <w:pPr>
        <w:spacing w:after="0" w:line="158" w:lineRule="exact"/>
        <w:rPr>
          <w:rFonts w:ascii="Arial" w:cs="Arial" w:eastAsia="Arial" w:hAnsi="Arial"/>
          <w:sz w:val="17"/>
          <w:szCs w:val="17"/>
          <w:color w:val="auto"/>
        </w:rPr>
      </w:pPr>
    </w:p>
    <w:p>
      <w:pPr>
        <w:ind w:left="760" w:right="540" w:hanging="322"/>
        <w:spacing w:after="0" w:line="289" w:lineRule="auto"/>
        <w:tabs>
          <w:tab w:leader="none" w:pos="76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You will be eligible for paid time off and company paid holidays in accordance with Veracyte’s established policies. These and other policies are explained fully in the Company’s employee handbook.</w:t>
      </w:r>
    </w:p>
    <w:p>
      <w:pPr>
        <w:spacing w:after="0" w:line="158" w:lineRule="exact"/>
        <w:rPr>
          <w:rFonts w:ascii="Arial" w:cs="Arial" w:eastAsia="Arial" w:hAnsi="Arial"/>
          <w:sz w:val="17"/>
          <w:szCs w:val="17"/>
          <w:color w:val="auto"/>
        </w:rPr>
      </w:pPr>
    </w:p>
    <w:p>
      <w:pPr>
        <w:ind w:left="760" w:right="180" w:hanging="313"/>
        <w:spacing w:after="0" w:line="268" w:lineRule="auto"/>
        <w:tabs>
          <w:tab w:leader="none" w:pos="75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significant equity participation to the members of its founding team. Consistent with this philosophy, if you decide to join the Company, you will be granted the option to purchase 450,000 shares of the Common Stock of Veracyte as recommended and approved by the Company’s Board of Directors at its next regularly scheduled meeting following commencement of your full-time employment with Veracyte. The price per share will be equal to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780"/>
        <w:spacing w:after="0" w:line="238" w:lineRule="auto"/>
        <w:rPr>
          <w:rFonts w:ascii="Arial" w:cs="Arial" w:eastAsia="Arial" w:hAnsi="Arial"/>
          <w:sz w:val="17"/>
          <w:szCs w:val="17"/>
          <w:color w:val="auto"/>
        </w:rPr>
      </w:pPr>
      <w:r>
        <w:rPr>
          <w:rFonts w:ascii="Arial" w:cs="Arial" w:eastAsia="Arial" w:hAnsi="Arial"/>
          <w:sz w:val="17"/>
          <w:szCs w:val="17"/>
          <w:color w:val="auto"/>
        </w:rPr>
        <w:t xml:space="preserve">fair market value of the Common Stock on the date of grant, as determined by the Company’s Board of Directors. The vesting schedule will be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4</w:t>
      </w:r>
      <w:r>
        <w:rPr>
          <w:rFonts w:ascii="Arial" w:cs="Arial" w:eastAsia="Arial" w:hAnsi="Arial"/>
          <w:sz w:val="17"/>
          <w:szCs w:val="17"/>
          <w:color w:val="auto"/>
        </w:rPr>
        <w:t xml:space="preserve"> of the shares vesting on the first anniversary of your employment, and then 1/48 of the shares vesting each month for the next 36 months, subject to your continued service to the Company on each vesting date.</w:t>
      </w:r>
    </w:p>
    <w:p>
      <w:pPr>
        <w:spacing w:after="0" w:line="200" w:lineRule="exact"/>
        <w:rPr>
          <w:rFonts w:ascii="Arial" w:cs="Arial" w:eastAsia="Arial" w:hAnsi="Arial"/>
          <w:sz w:val="17"/>
          <w:szCs w:val="17"/>
          <w:color w:val="auto"/>
        </w:rPr>
      </w:pPr>
    </w:p>
    <w:p>
      <w:pPr>
        <w:ind w:left="760" w:right="120" w:hanging="313"/>
        <w:spacing w:after="0" w:line="262" w:lineRule="auto"/>
        <w:tabs>
          <w:tab w:leader="none" w:pos="75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If the Company terminates your employment with the Company for any reason Other Than Cause (as defined below)[, death or disability] within 24 months of your hire date, then subject to you signing a release and waiver of claims with the Company and Sections 6(d) and (e) below, you shall be entitled to receive the following severance: (i) reimbursement of the COBRA premiums for continued health and other insurance coverage pursuant to COBRA at the Company’s expense, for a period of six (6) months after such termination date; (ii) continuing payments of severance pay equal to your base salary, as then in effect, for a period of six (6) months from the date of such termination; and (iii) the unvested portion of your outstanding stock options that would normally vest over the following six (6) months from the date of such termination will immediately vest prior to such termination and become exercisable.</w:t>
      </w:r>
    </w:p>
    <w:p>
      <w:pPr>
        <w:spacing w:after="0" w:line="184" w:lineRule="exact"/>
        <w:rPr>
          <w:rFonts w:ascii="Arial" w:cs="Arial" w:eastAsia="Arial" w:hAnsi="Arial"/>
          <w:sz w:val="17"/>
          <w:szCs w:val="17"/>
          <w:color w:val="auto"/>
        </w:rPr>
      </w:pPr>
    </w:p>
    <w:p>
      <w:pPr>
        <w:ind w:left="1340" w:right="160" w:hanging="312"/>
        <w:spacing w:after="0" w:line="273" w:lineRule="auto"/>
        <w:tabs>
          <w:tab w:leader="none" w:pos="1330" w:val="left"/>
        </w:tabs>
        <w:numPr>
          <w:ilvl w:val="1"/>
          <w:numId w:val="244"/>
        </w:numPr>
        <w:rPr>
          <w:rFonts w:ascii="Arial" w:cs="Arial" w:eastAsia="Arial" w:hAnsi="Arial"/>
          <w:sz w:val="17"/>
          <w:szCs w:val="17"/>
          <w:color w:val="auto"/>
        </w:rPr>
      </w:pPr>
      <w:r>
        <w:rPr>
          <w:rFonts w:ascii="Arial" w:cs="Arial" w:eastAsia="Arial" w:hAnsi="Arial"/>
          <w:sz w:val="17"/>
          <w:szCs w:val="17"/>
          <w:b w:val="1"/>
          <w:bCs w:val="1"/>
          <w:i w:val="1"/>
          <w:iCs w:val="1"/>
          <w:color w:val="auto"/>
        </w:rPr>
        <w:t>“Other Them Cause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include, but not be limited to, the following: (A) any purported termination of your employment by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not affected for Cause or (B) your resignation from the Company within thirty (30) days following the expiration of any Company cure period (as discussed below) as a direct result of Constructive Termination as defined below.</w:t>
      </w:r>
    </w:p>
    <w:p>
      <w:pPr>
        <w:spacing w:after="0" w:line="171" w:lineRule="exact"/>
        <w:rPr>
          <w:rFonts w:ascii="Arial" w:cs="Arial" w:eastAsia="Arial" w:hAnsi="Arial"/>
          <w:sz w:val="17"/>
          <w:szCs w:val="17"/>
          <w:color w:val="auto"/>
        </w:rPr>
      </w:pPr>
    </w:p>
    <w:p>
      <w:pPr>
        <w:ind w:left="1340" w:right="140" w:hanging="303"/>
        <w:spacing w:after="0" w:line="265" w:lineRule="auto"/>
        <w:tabs>
          <w:tab w:leader="none" w:pos="1331" w:val="left"/>
        </w:tabs>
        <w:numPr>
          <w:ilvl w:val="1"/>
          <w:numId w:val="244"/>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Constructive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occur if there is, without your express written consent, a material reduction by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twenty-five percent (25%) of your then current base compensation, provided, however, you may not resign for Constructive Termination without first providing the Company with written notice of such material reduction in your base compensation within ninety (90) days of such reduction and a reasonable cure period of not less than thirty (30) days following the date of such notice and such reduction in your base compensation has not been cured during such cure period.</w:t>
      </w:r>
    </w:p>
    <w:p>
      <w:pPr>
        <w:spacing w:after="0" w:line="179" w:lineRule="exact"/>
        <w:rPr>
          <w:rFonts w:ascii="Arial" w:cs="Arial" w:eastAsia="Arial" w:hAnsi="Arial"/>
          <w:sz w:val="17"/>
          <w:szCs w:val="17"/>
          <w:color w:val="auto"/>
        </w:rPr>
      </w:pPr>
    </w:p>
    <w:p>
      <w:pPr>
        <w:ind w:left="1360" w:right="40" w:hanging="319"/>
        <w:spacing w:after="0" w:line="268" w:lineRule="auto"/>
        <w:tabs>
          <w:tab w:leader="none" w:pos="1368" w:val="left"/>
        </w:tabs>
        <w:numPr>
          <w:ilvl w:val="2"/>
          <w:numId w:val="244"/>
        </w:numPr>
        <w:rPr>
          <w:rFonts w:ascii="Arial" w:cs="Arial" w:eastAsia="Arial" w:hAnsi="Arial"/>
          <w:sz w:val="17"/>
          <w:szCs w:val="17"/>
          <w:color w:val="auto"/>
        </w:rPr>
      </w:pPr>
      <w:r>
        <w:rPr>
          <w:rFonts w:ascii="Arial" w:cs="Arial" w:eastAsia="Arial" w:hAnsi="Arial"/>
          <w:sz w:val="17"/>
          <w:szCs w:val="17"/>
          <w:color w:val="auto"/>
        </w:rPr>
        <w:t xml:space="preserve">Termination shall be for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the occurrence of any of the following: (a) willful and repeated failure, after written notice, to follow the written policies of the Company or of the Board; (b) any conviction of a felony crime under the state or federal laws of the United States of America; (c) material breach of any material provision of any confidentiality agreements; or (d) your willful failure to comply with a material instruction of the Company or its Board given in good faith.</w:t>
      </w:r>
    </w:p>
    <w:p>
      <w:pPr>
        <w:spacing w:after="0" w:line="175" w:lineRule="exact"/>
        <w:rPr>
          <w:rFonts w:ascii="Arial" w:cs="Arial" w:eastAsia="Arial" w:hAnsi="Arial"/>
          <w:sz w:val="17"/>
          <w:szCs w:val="17"/>
          <w:color w:val="auto"/>
        </w:rPr>
      </w:pPr>
    </w:p>
    <w:p>
      <w:pPr>
        <w:ind w:left="1360" w:right="60" w:hanging="315"/>
        <w:spacing w:after="0" w:line="301" w:lineRule="auto"/>
        <w:tabs>
          <w:tab w:leader="none" w:pos="1369" w:val="left"/>
        </w:tabs>
        <w:numPr>
          <w:ilvl w:val="2"/>
          <w:numId w:val="244"/>
        </w:numPr>
        <w:rPr>
          <w:rFonts w:ascii="Arial" w:cs="Arial" w:eastAsia="Arial" w:hAnsi="Arial"/>
          <w:sz w:val="15"/>
          <w:szCs w:val="15"/>
          <w:color w:val="auto"/>
        </w:rPr>
      </w:pPr>
      <w:r>
        <w:rPr>
          <w:rFonts w:ascii="Arial" w:cs="Arial" w:eastAsia="Arial" w:hAnsi="Arial"/>
          <w:sz w:val="15"/>
          <w:szCs w:val="15"/>
          <w:color w:val="auto"/>
        </w:rPr>
        <w:t>The receipt of any severance benefits pursuant to this offer letter will be subject to your signing and not revoking a release and waiver of claims in a form reasonably acceptable to the Company (the “Release”) and provided that such Release becomes effective and irrevocable no later than sixty (60) days following the termination date (such deadline, the “Release Deadline”). If the Release does not become effective and irrevocable by the Release Deadline, you will forfeit any rights to severance benefits under this offer letter. No severance benefits will be paid or provided until the Release becomes effective and irrevocable. Upon the Release becoming effective, any payments delayed from the date you terminate employment through the effective date of the Release will be payable in a lump sum without interest as soon as administratively practicable after the Release becomes effective and irrevocable and all other amounts will be payable in accordance with the payment schedule applicable to each payment or benefit. In the event the termination occurs at a time during the calendar year where the Release could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-5063490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259" w:name="page260"/>
    <w:bookmarkEnd w:id="259"/>
    <w:p>
      <w:pPr>
        <w:ind w:left="1360" w:right="180"/>
        <w:spacing w:after="0" w:line="289" w:lineRule="auto"/>
        <w:rPr>
          <w:sz w:val="20"/>
          <w:szCs w:val="20"/>
          <w:color w:val="auto"/>
        </w:rPr>
      </w:pPr>
      <w:r>
        <w:rPr>
          <w:rFonts w:ascii="Arial" w:cs="Arial" w:eastAsia="Arial" w:hAnsi="Arial"/>
          <w:sz w:val="17"/>
          <w:szCs w:val="17"/>
          <w:color w:val="auto"/>
        </w:rPr>
        <w:t>effective in the calendar year following the calendar year in which your termination occurs, then any severance payments under this letter that would be considered Deferred Compensation (as defined below) will be paid on, or in the case of installments,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commence until,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your termination date</w:t>
      </w:r>
      <w:r>
        <w:rPr>
          <w:rFonts w:ascii="Arial" w:cs="Arial" w:eastAsia="Arial" w:hAnsi="Arial"/>
          <w:sz w:val="16"/>
          <w:szCs w:val="16"/>
          <w:i w:val="1"/>
          <w:iCs w:val="1"/>
          <w:color w:val="auto"/>
        </w:rPr>
        <w:t>,</w:t>
      </w:r>
      <w:r>
        <w:rPr>
          <w:rFonts w:ascii="Arial" w:cs="Arial" w:eastAsia="Arial" w:hAnsi="Arial"/>
          <w:sz w:val="16"/>
          <w:szCs w:val="16"/>
          <w:color w:val="auto"/>
        </w:rPr>
        <w:t xml:space="preserve"> or, if later, the Deferred Compensation Delayed Payment Date (as defined below).</w:t>
      </w:r>
    </w:p>
    <w:p>
      <w:pPr>
        <w:spacing w:after="0" w:line="190" w:lineRule="exact"/>
        <w:rPr>
          <w:sz w:val="20"/>
          <w:szCs w:val="20"/>
          <w:color w:val="auto"/>
        </w:rPr>
      </w:pPr>
    </w:p>
    <w:p>
      <w:pPr>
        <w:ind w:left="1360" w:right="120" w:hanging="315"/>
        <w:spacing w:after="0" w:line="293" w:lineRule="auto"/>
        <w:tabs>
          <w:tab w:leader="none" w:pos="1372"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Code Section 409A and the final regulations and official guidance promulgated thereunder (“Section 409A”) so that none of the payments and benefits to be provided hereunder will be subject to the additional penalty tax imposed under Section 409A, and any ambiguous terms herein will be interpreted to so comply. The Company agrees to work together with you in good faith to consider any and all amendments to this offer letter and to take such reasonable actions which are necessary, appropriate or desirable to avoid imposition of any additional tax, interest penalty or accelerated income recognition prior to actual payment to you under Section 409A. Notwithstanding anything to the contrary in this offer letter, no severance payments or severance benefits payable to you upon termination of employment, if any, when considered together with any other severance payments or separation benefits that are considered deferred compensation (“Deferred Compensation”) will be payable until you have a “separation from service” within the meaning of Section 409A. Further, if at the time of your termination of employment, you are a “specified employee” within the meaning of</w:t>
      </w:r>
    </w:p>
    <w:p>
      <w:pPr>
        <w:spacing w:after="0" w:line="4" w:lineRule="exact"/>
        <w:rPr>
          <w:rFonts w:ascii="Arial" w:cs="Arial" w:eastAsia="Arial" w:hAnsi="Arial"/>
          <w:sz w:val="15"/>
          <w:szCs w:val="15"/>
          <w:color w:val="auto"/>
        </w:rPr>
      </w:pPr>
    </w:p>
    <w:p>
      <w:pPr>
        <w:ind w:left="1360" w:right="100"/>
        <w:spacing w:after="0" w:line="263" w:lineRule="auto"/>
        <w:rPr>
          <w:rFonts w:ascii="Arial" w:cs="Arial" w:eastAsia="Arial" w:hAnsi="Arial"/>
          <w:sz w:val="15"/>
          <w:szCs w:val="15"/>
          <w:color w:val="auto"/>
        </w:rPr>
      </w:pPr>
      <w:r>
        <w:rPr>
          <w:rFonts w:ascii="Arial" w:cs="Arial" w:eastAsia="Arial" w:hAnsi="Arial"/>
          <w:sz w:val="17"/>
          <w:szCs w:val="17"/>
          <w:color w:val="auto"/>
        </w:rPr>
        <w:t>Section 409A, payment of such Deferred Compensation will be delayed to the extent necessary to avoid the imposition of the additional tax imposed under Section 409A, which generally means that you will receive payment on the first payroll date that occurs on or after the date that is 6 months and 1 day following your termination of employment, or your death, if earlier (the “Deferred Compensation Delayed Payment Date”).</w:t>
      </w:r>
    </w:p>
    <w:p>
      <w:pPr>
        <w:spacing w:after="0" w:line="179" w:lineRule="exact"/>
        <w:rPr>
          <w:rFonts w:ascii="Arial" w:cs="Arial" w:eastAsia="Arial" w:hAnsi="Arial"/>
          <w:sz w:val="15"/>
          <w:szCs w:val="15"/>
          <w:color w:val="auto"/>
        </w:rPr>
      </w:pPr>
    </w:p>
    <w:p>
      <w:pPr>
        <w:ind w:left="760" w:right="360" w:hanging="313"/>
        <w:spacing w:after="0" w:line="273" w:lineRule="auto"/>
        <w:tabs>
          <w:tab w:leader="none" w:pos="75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171" w:lineRule="exact"/>
        <w:rPr>
          <w:rFonts w:ascii="Arial" w:cs="Arial" w:eastAsia="Arial" w:hAnsi="Arial"/>
          <w:sz w:val="17"/>
          <w:szCs w:val="17"/>
          <w:color w:val="auto"/>
        </w:rPr>
      </w:pPr>
    </w:p>
    <w:p>
      <w:pPr>
        <w:jc w:val="both"/>
        <w:ind w:left="760" w:right="80" w:hanging="313"/>
        <w:spacing w:after="0" w:line="273" w:lineRule="auto"/>
        <w:tabs>
          <w:tab w:leader="none" w:pos="75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 terminated by you, the Company requests that you provide a minimum two weeks’ notice, or as much notice as possible.</w:t>
      </w:r>
    </w:p>
    <w:p>
      <w:pPr>
        <w:spacing w:after="0" w:line="171" w:lineRule="exact"/>
        <w:rPr>
          <w:rFonts w:ascii="Arial" w:cs="Arial" w:eastAsia="Arial" w:hAnsi="Arial"/>
          <w:sz w:val="17"/>
          <w:szCs w:val="17"/>
          <w:color w:val="auto"/>
        </w:rPr>
      </w:pPr>
    </w:p>
    <w:p>
      <w:pPr>
        <w:ind w:left="760" w:right="60" w:hanging="313"/>
        <w:spacing w:after="0" w:line="263" w:lineRule="auto"/>
        <w:tabs>
          <w:tab w:leader="none" w:pos="75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requirement for resolution by binding arbitration of any dispute arising out of our employment relationship. This arbitration requirement is described in detail in the aforementioned agreement, a copy of which is enclosed with this offer. A signed copy of this agreement must be received by the Company prior to your first day of employment.</w:t>
      </w:r>
    </w:p>
    <w:p>
      <w:pPr>
        <w:spacing w:after="0" w:line="183" w:lineRule="exact"/>
        <w:rPr>
          <w:rFonts w:ascii="Arial" w:cs="Arial" w:eastAsia="Arial" w:hAnsi="Arial"/>
          <w:sz w:val="17"/>
          <w:szCs w:val="17"/>
          <w:color w:val="auto"/>
        </w:rPr>
      </w:pPr>
    </w:p>
    <w:p>
      <w:pPr>
        <w:ind w:left="760" w:hanging="313"/>
        <w:spacing w:after="0"/>
        <w:tabs>
          <w:tab w:leader="none" w:pos="7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This offer is also contingent upon a successful completion of your background check.</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To accept the Company’s offer, please sign and date this letter in the space provided below. A duplicate original is enclosed for your records. This offer of employment expires on Monday, February 1, 2010. If you accept our offer, your start date is anticipated to be as soon as possible, but in no event later than Monday, March 15, 2010. This letter, together with any agreements relating to proprietary rights as herein described, sets forth the terms of your employment with the Company, and supersedes any prior representations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7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We look forward to your acceptance of this offer, and to working with you at Veracyte, Inc. If you have any questions about this offer or its terms, please feel free to contact me directly at 650-243-6302.</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to and accepted: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Signature:</w:t>
            </w:r>
          </w:p>
        </w:tc>
        <w:tc>
          <w:tcPr>
            <w:tcW w:w="2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/s/ Christopher Hall</w:t>
            </w:r>
          </w:p>
        </w:tc>
      </w:tr>
      <w:tr>
        <w:trPr>
          <w:trHeight w:val="203"/>
        </w:trPr>
        <w:tc>
          <w:tcPr>
            <w:tcW w:w="1140" w:type="dxa"/>
            <w:vAlign w:val="bottom"/>
          </w:tcPr>
          <w:p>
            <w:pPr>
              <w:spacing w:after="0"/>
              <w:rPr>
                <w:sz w:val="20"/>
                <w:szCs w:val="20"/>
                <w:color w:val="auto"/>
              </w:rPr>
            </w:pPr>
            <w:r>
              <w:rPr>
                <w:rFonts w:ascii="Arial" w:cs="Arial" w:eastAsia="Arial" w:hAnsi="Arial"/>
                <w:sz w:val="17"/>
                <w:szCs w:val="17"/>
                <w:color w:val="auto"/>
              </w:rPr>
              <w:t>Printed Name:</w:t>
            </w:r>
          </w:p>
        </w:tc>
        <w:tc>
          <w:tcPr>
            <w:tcW w:w="260" w:type="dxa"/>
            <w:vAlign w:val="bottom"/>
          </w:tcPr>
          <w:p>
            <w:pPr>
              <w:spacing w:after="0"/>
              <w:rPr>
                <w:sz w:val="17"/>
                <w:szCs w:val="17"/>
                <w:color w:val="auto"/>
              </w:rPr>
            </w:pPr>
          </w:p>
        </w:tc>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Christopher Hall</w:t>
            </w:r>
          </w:p>
        </w:tc>
        <w:tc>
          <w:tcPr>
            <w:tcW w:w="5740" w:type="dxa"/>
            <w:vAlign w:val="bottom"/>
          </w:tcPr>
          <w:p>
            <w:pPr>
              <w:spacing w:after="0"/>
              <w:rPr>
                <w:sz w:val="17"/>
                <w:szCs w:val="17"/>
                <w:color w:val="auto"/>
              </w:rPr>
            </w:pPr>
          </w:p>
        </w:tc>
      </w:tr>
      <w:tr>
        <w:trPr>
          <w:trHeight w:val="203"/>
        </w:trPr>
        <w:tc>
          <w:tcPr>
            <w:tcW w:w="1140" w:type="dxa"/>
            <w:vAlign w:val="bottom"/>
          </w:tcPr>
          <w:p>
            <w:pPr>
              <w:spacing w:after="0"/>
              <w:rPr>
                <w:sz w:val="20"/>
                <w:szCs w:val="20"/>
                <w:color w:val="auto"/>
              </w:rPr>
            </w:pPr>
            <w:r>
              <w:rPr>
                <w:rFonts w:ascii="Arial" w:cs="Arial" w:eastAsia="Arial" w:hAnsi="Arial"/>
                <w:sz w:val="17"/>
                <w:szCs w:val="17"/>
                <w:color w:val="auto"/>
              </w:rPr>
              <w:t>Date:</w:t>
            </w:r>
          </w:p>
        </w:tc>
        <w:tc>
          <w:tcPr>
            <w:tcW w:w="260" w:type="dxa"/>
            <w:vAlign w:val="bottom"/>
          </w:tcPr>
          <w:p>
            <w:pPr>
              <w:spacing w:after="0"/>
              <w:rPr>
                <w:sz w:val="17"/>
                <w:szCs w:val="17"/>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Jan 28, 2010</w:t>
            </w:r>
          </w:p>
        </w:tc>
        <w:tc>
          <w:tcPr>
            <w:tcW w:w="574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7"/>
                <w:szCs w:val="17"/>
                <w:color w:val="auto"/>
              </w:rPr>
              <w:t>Enclosures:</w:t>
            </w:r>
          </w:p>
        </w:tc>
        <w:tc>
          <w:tcPr>
            <w:tcW w:w="10320" w:type="dxa"/>
            <w:vAlign w:val="bottom"/>
            <w:gridSpan w:val="3"/>
          </w:tcPr>
          <w:p>
            <w:pPr>
              <w:ind w:left="120"/>
              <w:spacing w:after="0"/>
              <w:rPr>
                <w:sz w:val="20"/>
                <w:szCs w:val="20"/>
                <w:color w:val="auto"/>
              </w:rPr>
            </w:pPr>
            <w:r>
              <w:rPr>
                <w:rFonts w:ascii="Arial" w:cs="Arial" w:eastAsia="Arial" w:hAnsi="Arial"/>
                <w:sz w:val="17"/>
                <w:szCs w:val="17"/>
                <w:color w:val="auto"/>
              </w:rPr>
              <w:t>Duplicate Original letter, At-Will Employment, Confidential Information, Invention Assignment and Arbitration Agreement</w:t>
            </w:r>
          </w:p>
        </w:tc>
      </w:tr>
      <w:tr>
        <w:trPr>
          <w:trHeight w:val="338"/>
        </w:trPr>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32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120" w:gutter="0" w:footer="0" w:header="0"/>
        </w:sectPr>
      </w:pPr>
    </w:p>
    <w:bookmarkStart w:id="260" w:name="page261"/>
    <w:bookmarkEnd w:id="260"/>
    <w:p>
      <w:pPr>
        <w:ind w:left="10440"/>
        <w:spacing w:after="0"/>
        <w:rPr>
          <w:sz w:val="20"/>
          <w:szCs w:val="20"/>
          <w:color w:val="auto"/>
        </w:rPr>
      </w:pPr>
      <w:r>
        <w:rPr>
          <w:rFonts w:ascii="Arial" w:cs="Arial" w:eastAsia="Arial" w:hAnsi="Arial"/>
          <w:sz w:val="16"/>
          <w:szCs w:val="16"/>
          <w:b w:val="1"/>
          <w:bCs w:val="1"/>
          <w:color w:val="auto"/>
        </w:rPr>
        <w:t>Exhibit 10.19</w:t>
      </w:r>
    </w:p>
    <w:p>
      <w:pPr>
        <w:spacing w:after="0" w:line="236" w:lineRule="exact"/>
        <w:rPr>
          <w:sz w:val="20"/>
          <w:szCs w:val="20"/>
          <w:color w:val="auto"/>
        </w:rPr>
      </w:pPr>
    </w:p>
    <w:p>
      <w:pPr>
        <w:ind w:left="7440"/>
        <w:spacing w:after="0"/>
        <w:rPr>
          <w:sz w:val="20"/>
          <w:szCs w:val="20"/>
          <w:color w:val="auto"/>
        </w:rPr>
      </w:pPr>
      <w:r>
        <w:rPr>
          <w:rFonts w:ascii="Arial" w:cs="Arial" w:eastAsia="Arial" w:hAnsi="Arial"/>
          <w:sz w:val="17"/>
          <w:szCs w:val="17"/>
          <w:b w:val="1"/>
          <w:bCs w:val="1"/>
          <w:color w:val="auto"/>
        </w:rPr>
        <w:t>*** CONFIDENTIAL TREATMENT REQUESTED.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Confidential portions of this document have been redacted and have been separately filed with the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PATHOLOGY SERVICES AGREEMENT</w:t>
      </w:r>
    </w:p>
    <w:p>
      <w:pPr>
        <w:spacing w:after="0" w:line="230" w:lineRule="exact"/>
        <w:rPr>
          <w:sz w:val="20"/>
          <w:szCs w:val="20"/>
          <w:color w:val="auto"/>
        </w:rPr>
      </w:pPr>
    </w:p>
    <w:p>
      <w:pPr>
        <w:ind w:right="140" w:firstLine="566"/>
        <w:spacing w:after="0" w:line="238" w:lineRule="auto"/>
        <w:rPr>
          <w:sz w:val="20"/>
          <w:szCs w:val="20"/>
          <w:color w:val="auto"/>
        </w:rPr>
      </w:pPr>
      <w:r>
        <w:rPr>
          <w:rFonts w:ascii="Arial" w:cs="Arial" w:eastAsia="Arial" w:hAnsi="Arial"/>
          <w:sz w:val="17"/>
          <w:szCs w:val="17"/>
          <w:color w:val="auto"/>
        </w:rPr>
        <w:t>THIS PATHOLOGY SERVICES AGREEMENT (“Agreement”) is made this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November, 2010 (the “Effective Date”), by and among </w:t>
      </w: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California corporation (“Veracyte”), and</w:t>
      </w:r>
      <w:r>
        <w:rPr>
          <w:rFonts w:ascii="Arial" w:cs="Arial" w:eastAsia="Arial" w:hAnsi="Arial"/>
          <w:sz w:val="17"/>
          <w:szCs w:val="17"/>
          <w:b w:val="1"/>
          <w:bCs w:val="1"/>
          <w:color w:val="auto"/>
        </w:rPr>
        <w:t xml:space="preserve"> BRAZOS VALLEY PATHOLOGY, P.A. D/B/A REITPATH, </w:t>
      </w:r>
      <w:r>
        <w:rPr>
          <w:rFonts w:ascii="Arial" w:cs="Arial" w:eastAsia="Arial" w:hAnsi="Arial"/>
          <w:sz w:val="17"/>
          <w:szCs w:val="17"/>
          <w:color w:val="auto"/>
        </w:rPr>
        <w:t>a Texas professional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(“Pathologists”). Veracyte and Pathologists are sometimes referred to in this Agreement as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or, collectively, as the </w:t>
      </w:r>
      <w:r>
        <w:rPr>
          <w:rFonts w:ascii="Arial" w:cs="Arial" w:eastAsia="Arial" w:hAnsi="Arial"/>
          <w:sz w:val="17"/>
          <w:szCs w:val="17"/>
          <w:b w:val="1"/>
          <w:bCs w:val="1"/>
          <w:color w:val="auto"/>
        </w:rPr>
        <w:t>“Parties.”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460" w:firstLine="697"/>
        <w:spacing w:after="0" w:line="273" w:lineRule="auto"/>
        <w:tabs>
          <w:tab w:leader="none" w:pos="126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Veracyte is engaged in the business of developing and marketing diagnostic testing utilizing Veracyte’s proprietary molecular assays and procuring the related anatomic and cytologic pathology. Veracyte is not licensed to practice medicine, but does require the assistance of pathologists who are licensed in states in which Veracyte does business and in states in which patients who utilize Veracyte’s services reside.</w:t>
      </w:r>
    </w:p>
    <w:p>
      <w:pPr>
        <w:spacing w:after="0" w:line="171" w:lineRule="exact"/>
        <w:rPr>
          <w:rFonts w:ascii="Arial" w:cs="Arial" w:eastAsia="Arial" w:hAnsi="Arial"/>
          <w:sz w:val="17"/>
          <w:szCs w:val="17"/>
          <w:color w:val="auto"/>
        </w:rPr>
      </w:pPr>
    </w:p>
    <w:p>
      <w:pPr>
        <w:ind w:left="1260" w:hanging="563"/>
        <w:spacing w:after="0"/>
        <w:tabs>
          <w:tab w:leader="none" w:pos="12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Brazos Valley Pathology, P.A. is a Texas professional association which is engaged in the practice of medicine and specializes in pathology.</w:t>
      </w:r>
    </w:p>
    <w:p>
      <w:pPr>
        <w:spacing w:after="0" w:line="235" w:lineRule="exact"/>
        <w:rPr>
          <w:rFonts w:ascii="Arial" w:cs="Arial" w:eastAsia="Arial" w:hAnsi="Arial"/>
          <w:sz w:val="16"/>
          <w:szCs w:val="16"/>
          <w:color w:val="auto"/>
        </w:rPr>
      </w:pPr>
    </w:p>
    <w:p>
      <w:pPr>
        <w:ind w:left="1260" w:hanging="563"/>
        <w:spacing w:after="0"/>
        <w:tabs>
          <w:tab w:leader="none" w:pos="12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Veracyte desires to retain the services of Pathologists to provide professional pathology services on the terms and conditions stated herein.</w:t>
      </w:r>
    </w:p>
    <w:p>
      <w:pPr>
        <w:spacing w:after="0" w:line="235" w:lineRule="exact"/>
        <w:rPr>
          <w:rFonts w:ascii="Arial" w:cs="Arial" w:eastAsia="Arial" w:hAnsi="Arial"/>
          <w:sz w:val="16"/>
          <w:szCs w:val="16"/>
          <w:color w:val="auto"/>
        </w:rPr>
      </w:pPr>
    </w:p>
    <w:p>
      <w:pPr>
        <w:ind w:left="5180"/>
        <w:spacing w:after="0"/>
        <w:rPr>
          <w:rFonts w:ascii="Arial" w:cs="Arial" w:eastAsia="Arial" w:hAnsi="Arial"/>
          <w:sz w:val="16"/>
          <w:szCs w:val="16"/>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18" w:lineRule="exact"/>
        <w:rPr>
          <w:sz w:val="20"/>
          <w:szCs w:val="20"/>
          <w:color w:val="auto"/>
        </w:rPr>
      </w:pPr>
    </w:p>
    <w:p>
      <w:pPr>
        <w:ind w:left="1260" w:hanging="626"/>
        <w:spacing w:after="0"/>
        <w:tabs>
          <w:tab w:leader="none" w:pos="126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Engagement</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jc w:val="both"/>
        <w:ind w:right="20" w:firstLine="1263"/>
        <w:spacing w:after="0" w:line="273" w:lineRule="auto"/>
        <w:tabs>
          <w:tab w:leader="none" w:pos="1885"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Scope of Engagement</w:t>
      </w:r>
      <w:r>
        <w:rPr>
          <w:rFonts w:ascii="Arial" w:cs="Arial" w:eastAsia="Arial" w:hAnsi="Arial"/>
          <w:sz w:val="17"/>
          <w:szCs w:val="17"/>
          <w:color w:val="auto"/>
        </w:rPr>
        <w:t xml:space="preserve">. Veracyte hereby grants to Pathologists the exclusive right to provide cytopathologic studies of thyroid specimens referred to Veracyte for cytology testing, except as set forth in </w:t>
      </w:r>
      <w:r>
        <w:rPr>
          <w:rFonts w:ascii="Arial" w:cs="Arial" w:eastAsia="Arial" w:hAnsi="Arial"/>
          <w:sz w:val="17"/>
          <w:szCs w:val="17"/>
          <w:u w:val="single" w:color="auto"/>
          <w:color w:val="auto"/>
        </w:rPr>
        <w:t>Exhibit A (“Exceptions to Exclusivity”)</w:t>
      </w:r>
      <w:r>
        <w:rPr>
          <w:rFonts w:ascii="Arial" w:cs="Arial" w:eastAsia="Arial" w:hAnsi="Arial"/>
          <w:sz w:val="17"/>
          <w:szCs w:val="17"/>
          <w:color w:val="auto"/>
        </w:rPr>
        <w:t>. Unless otherwise agreed in writing, Pathologists shall have no responsibility or liability for:</w:t>
      </w:r>
    </w:p>
    <w:p>
      <w:pPr>
        <w:spacing w:after="0" w:line="171" w:lineRule="exact"/>
        <w:rPr>
          <w:rFonts w:ascii="Arial" w:cs="Arial" w:eastAsia="Arial" w:hAnsi="Arial"/>
          <w:sz w:val="17"/>
          <w:szCs w:val="17"/>
          <w:color w:val="auto"/>
        </w:rPr>
      </w:pPr>
    </w:p>
    <w:p>
      <w:pPr>
        <w:ind w:left="2600" w:hanging="707"/>
        <w:spacing w:after="0"/>
        <w:tabs>
          <w:tab w:leader="none" w:pos="2600" w:val="left"/>
        </w:tabs>
        <w:numPr>
          <w:ilvl w:val="2"/>
          <w:numId w:val="248"/>
        </w:numPr>
        <w:rPr>
          <w:rFonts w:ascii="Arial" w:cs="Arial" w:eastAsia="Arial" w:hAnsi="Arial"/>
          <w:sz w:val="16"/>
          <w:szCs w:val="16"/>
          <w:color w:val="auto"/>
        </w:rPr>
      </w:pPr>
      <w:r>
        <w:rPr>
          <w:rFonts w:ascii="Arial" w:cs="Arial" w:eastAsia="Arial" w:hAnsi="Arial"/>
          <w:sz w:val="16"/>
          <w:szCs w:val="16"/>
          <w:color w:val="auto"/>
        </w:rPr>
        <w:t>the processing of any pathology specimens or for the performance of any clinical laboratory tests by Veracyte or any third</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party; and</w:t>
      </w:r>
    </w:p>
    <w:p>
      <w:pPr>
        <w:spacing w:after="0" w:line="212" w:lineRule="exact"/>
        <w:rPr>
          <w:rFonts w:ascii="Arial" w:cs="Arial" w:eastAsia="Arial" w:hAnsi="Arial"/>
          <w:sz w:val="16"/>
          <w:szCs w:val="16"/>
          <w:color w:val="auto"/>
        </w:rPr>
      </w:pPr>
    </w:p>
    <w:p>
      <w:pPr>
        <w:ind w:left="2620" w:hanging="727"/>
        <w:spacing w:after="0"/>
        <w:tabs>
          <w:tab w:leader="none" w:pos="262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any services provided by third party pathologists engaged by Veracyte pursuant to Section 9(b) below.</w:t>
      </w:r>
    </w:p>
    <w:p>
      <w:pPr>
        <w:spacing w:after="0" w:line="224" w:lineRule="exact"/>
        <w:rPr>
          <w:rFonts w:ascii="Arial" w:cs="Arial" w:eastAsia="Arial" w:hAnsi="Arial"/>
          <w:sz w:val="17"/>
          <w:szCs w:val="17"/>
          <w:color w:val="auto"/>
        </w:rPr>
      </w:pPr>
    </w:p>
    <w:p>
      <w:pPr>
        <w:ind w:firstLine="1263"/>
        <w:spacing w:after="0" w:line="273" w:lineRule="auto"/>
        <w:tabs>
          <w:tab w:leader="none" w:pos="1895"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Approved Physicians</w:t>
      </w:r>
      <w:r>
        <w:rPr>
          <w:rFonts w:ascii="Arial" w:cs="Arial" w:eastAsia="Arial" w:hAnsi="Arial"/>
          <w:sz w:val="17"/>
          <w:szCs w:val="17"/>
          <w:color w:val="auto"/>
        </w:rPr>
        <w:t xml:space="preserve">. Pathologists will provide the services through individual physicians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(“Approved Physicians”). From time to time additional physicians may be engaged by Pathologists to furnish services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additional physician must satisfy the professional standards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qualifications set forth in this Agreement. Veracyte shall have the sole discretion to approve any such physician in writing prior to furnishing services.</w:t>
      </w:r>
    </w:p>
    <w:p>
      <w:pPr>
        <w:spacing w:after="0" w:line="224" w:lineRule="exact"/>
        <w:rPr>
          <w:sz w:val="20"/>
          <w:szCs w:val="20"/>
          <w:color w:val="auto"/>
        </w:rPr>
      </w:pPr>
    </w:p>
    <w:p>
      <w:pPr>
        <w:ind w:left="1960" w:hanging="697"/>
        <w:spacing w:after="0"/>
        <w:tabs>
          <w:tab w:leader="none" w:pos="1960"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Geographic Limitation</w:t>
      </w:r>
      <w:r>
        <w:rPr>
          <w:rFonts w:ascii="Arial" w:cs="Arial" w:eastAsia="Arial" w:hAnsi="Arial"/>
          <w:sz w:val="17"/>
          <w:szCs w:val="17"/>
          <w:color w:val="auto"/>
        </w:rPr>
        <w:t>. Services will be provided in the Austin, Texas metropolitan area unless otherwise agreed.</w:t>
      </w:r>
    </w:p>
    <w:p>
      <w:pPr>
        <w:spacing w:after="0" w:line="224" w:lineRule="exact"/>
        <w:rPr>
          <w:rFonts w:ascii="Arial" w:cs="Arial" w:eastAsia="Arial" w:hAnsi="Arial"/>
          <w:sz w:val="17"/>
          <w:szCs w:val="17"/>
          <w:color w:val="auto"/>
        </w:rPr>
      </w:pPr>
    </w:p>
    <w:p>
      <w:pPr>
        <w:ind w:firstLine="1263"/>
        <w:spacing w:after="0" w:line="273" w:lineRule="auto"/>
        <w:tabs>
          <w:tab w:leader="none" w:pos="196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International Arrangements. The Parties shall meet and confer in good faith to negotiate the terms and conditions pursuant to which the Services may be provided by Pathologists for samples obtained outside of the United States by Veracyte. Veracyte may engage an additional service provider to provide the Services for patients located outside of the United States.</w:t>
      </w:r>
    </w:p>
    <w:p>
      <w:pPr>
        <w:spacing w:after="0" w:line="165" w:lineRule="exact"/>
        <w:rPr>
          <w:rFonts w:ascii="Arial" w:cs="Arial" w:eastAsia="Arial" w:hAnsi="Arial"/>
          <w:sz w:val="17"/>
          <w:szCs w:val="17"/>
          <w:color w:val="auto"/>
        </w:rPr>
      </w:pPr>
    </w:p>
    <w:p>
      <w:pPr>
        <w:ind w:left="1260" w:hanging="626"/>
        <w:spacing w:after="0"/>
        <w:tabs>
          <w:tab w:leader="none" w:pos="126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and Responsibilities of Pathologists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320" w:firstLine="1263"/>
        <w:spacing w:after="0" w:line="289" w:lineRule="auto"/>
        <w:tabs>
          <w:tab w:leader="none" w:pos="1885"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Pathology Services</w:t>
      </w:r>
      <w:r>
        <w:rPr>
          <w:rFonts w:ascii="Arial" w:cs="Arial" w:eastAsia="Arial" w:hAnsi="Arial"/>
          <w:sz w:val="17"/>
          <w:szCs w:val="17"/>
          <w:color w:val="auto"/>
        </w:rPr>
        <w:t>. Pathologists shall provide physicians and other qualified professionals necessary to provide cytology testing on thyroid specimens from patients referred to Veracyte. Pathology services include (collectively, the “Services”):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macroscopic and microscopic examinations of thyroid cytology specimens;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0"/>
        </w:numPr>
        <w:rPr>
          <w:rFonts w:ascii="Arial" w:cs="Arial" w:eastAsia="Arial" w:hAnsi="Arial"/>
          <w:sz w:val="16"/>
          <w:szCs w:val="16"/>
          <w:color w:val="auto"/>
        </w:rPr>
      </w:pPr>
      <w:r>
        <w:rPr>
          <w:rFonts w:ascii="Arial" w:cs="Arial" w:eastAsia="Arial" w:hAnsi="Arial"/>
          <w:sz w:val="16"/>
          <w:szCs w:val="16"/>
          <w:color w:val="auto"/>
        </w:rPr>
        <w:t>the reporting of these examinations and findings in accordance with Veracyte’s laboratory information system and protocols;</w:t>
      </w:r>
    </w:p>
    <w:p>
      <w:pPr>
        <w:spacing w:after="0" w:line="235" w:lineRule="exact"/>
        <w:rPr>
          <w:rFonts w:ascii="Arial" w:cs="Arial" w:eastAsia="Arial" w:hAnsi="Arial"/>
          <w:sz w:val="16"/>
          <w:szCs w:val="16"/>
          <w:color w:val="auto"/>
        </w:rPr>
      </w:pPr>
    </w:p>
    <w:p>
      <w:pPr>
        <w:ind w:left="640" w:right="160" w:firstLine="1253"/>
        <w:spacing w:after="0" w:line="281" w:lineRule="auto"/>
        <w:tabs>
          <w:tab w:leader="none" w:pos="2567" w:val="left"/>
        </w:tabs>
        <w:numPr>
          <w:ilvl w:val="2"/>
          <w:numId w:val="250"/>
        </w:numPr>
        <w:rPr>
          <w:rFonts w:ascii="Arial" w:cs="Arial" w:eastAsia="Arial" w:hAnsi="Arial"/>
          <w:sz w:val="16"/>
          <w:szCs w:val="16"/>
          <w:color w:val="auto"/>
        </w:rPr>
      </w:pPr>
      <w:r>
        <w:rPr>
          <w:rFonts w:ascii="Arial" w:cs="Arial" w:eastAsia="Arial" w:hAnsi="Arial"/>
          <w:sz w:val="16"/>
          <w:szCs w:val="16"/>
          <w:color w:val="auto"/>
        </w:rPr>
        <w:t>CPT-4 coding in compliance with all applicable federal, state and local laws, rules and regulations (collectively, the “Laws”) with respect to the Medicare and Medicaid programs and any other Federal health care program, as defined at 42 U.S.C. Section 1320a-</w:t>
      </w:r>
    </w:p>
    <w:p>
      <w:pPr>
        <w:ind w:left="640"/>
        <w:spacing w:after="0"/>
        <w:rPr>
          <w:rFonts w:ascii="Arial" w:cs="Arial" w:eastAsia="Arial" w:hAnsi="Arial"/>
          <w:sz w:val="16"/>
          <w:szCs w:val="16"/>
          <w:color w:val="auto"/>
        </w:rPr>
      </w:pPr>
      <w:r>
        <w:rPr>
          <w:rFonts w:ascii="Arial" w:cs="Arial" w:eastAsia="Arial" w:hAnsi="Arial"/>
          <w:sz w:val="17"/>
          <w:szCs w:val="17"/>
          <w:color w:val="auto"/>
        </w:rPr>
        <w:t>7b(f) (collectively, the “Federal Health Care Programs”); and</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 xml:space="preserve">any additional services to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65" w:lineRule="auto"/>
        <w:tabs>
          <w:tab w:leader="none" w:pos="1895"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Equipment</w:t>
      </w:r>
      <w:r>
        <w:rPr>
          <w:rFonts w:ascii="Arial" w:cs="Arial" w:eastAsia="Arial" w:hAnsi="Arial"/>
          <w:sz w:val="17"/>
          <w:szCs w:val="17"/>
          <w:color w:val="auto"/>
        </w:rPr>
        <w:t>. Pathologists shall provide all equipment required to perform the Services, including, but not limited to: microscopes, computers, telecommunications, networking capability, and other tools as necessary to provide the services. Veracyte shall provide or bear the cost of software for report generation and any additional hardware, software or computer system infrastructure required by Veracyte or needed to meet Veracyte’s standards. If the Parties determine that transcription and dictation equipment and/or services are needed, the Parties shall, as soon as reasonably practicable, meet and confer in good faith to negotiate the responsibility for procurement and payment of such items.</w:t>
      </w:r>
    </w:p>
    <w:p>
      <w:pPr>
        <w:spacing w:after="0" w:line="179" w:lineRule="exact"/>
        <w:rPr>
          <w:rFonts w:ascii="Arial" w:cs="Arial" w:eastAsia="Arial" w:hAnsi="Arial"/>
          <w:sz w:val="17"/>
          <w:szCs w:val="17"/>
          <w:color w:val="auto"/>
        </w:rPr>
      </w:pPr>
    </w:p>
    <w:p>
      <w:pPr>
        <w:ind w:right="380" w:firstLine="1263"/>
        <w:spacing w:after="0" w:line="289" w:lineRule="auto"/>
        <w:tabs>
          <w:tab w:leader="none" w:pos="1898"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Consultation</w:t>
      </w:r>
      <w:r>
        <w:rPr>
          <w:rFonts w:ascii="Arial" w:cs="Arial" w:eastAsia="Arial" w:hAnsi="Arial"/>
          <w:sz w:val="17"/>
          <w:szCs w:val="17"/>
          <w:color w:val="auto"/>
        </w:rPr>
        <w:t>. Pathologists shall consult with Veracyte’s laboratory director, if any, as clinically appropriate and in accordance with applicable licensing, accreditation and certification standards and requirements.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Business Promotion</w:t>
      </w:r>
      <w:r>
        <w:rPr>
          <w:rFonts w:ascii="Arial" w:cs="Arial" w:eastAsia="Arial" w:hAnsi="Arial"/>
          <w:sz w:val="17"/>
          <w:szCs w:val="17"/>
          <w:color w:val="auto"/>
        </w:rPr>
        <w:t>. Pathologists shall assist Veracyte, at Veracyte’s</w:t>
      </w:r>
    </w:p>
    <w:p>
      <w:pPr>
        <w:sectPr>
          <w:pgSz w:w="11900" w:h="16838" w:orient="portrait"/>
          <w:cols w:equalWidth="0" w:num="1">
            <w:col w:w="11420"/>
          </w:cols>
          <w:pgMar w:left="240" w:top="357" w:right="239" w:bottom="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expense (which expenses shall be approved in advance by Veracyte), with promotion of the business as mutually agreed upon by the Parties. Pathologists shall also participate in Veracyte’s branding and marketing programs as necessary to establish a unity of purpose in providing high quality technical and professional services to Veracyte’s clients, all in compliance with the Laws applicable to the provision of clinical laboratory and pathology services under this Agreement. All marketing and promotion activities (which shall not include Pathologist’s physician recruiting activities) shall be conducted solely at the direction of, as approved by, and in consultation with Veracyte. Veracyte shall have sole right and authority to approve the content and placement of any and all marketing and promotional materials relating to the Services provided under this Agreement.</w:t>
      </w:r>
    </w:p>
    <w:p>
      <w:pPr>
        <w:spacing w:after="0" w:line="183" w:lineRule="exact"/>
        <w:rPr>
          <w:sz w:val="20"/>
          <w:szCs w:val="20"/>
          <w:color w:val="auto"/>
        </w:rPr>
      </w:pPr>
    </w:p>
    <w:p>
      <w:pPr>
        <w:ind w:right="580" w:firstLine="1263"/>
        <w:spacing w:after="0" w:line="289" w:lineRule="auto"/>
        <w:tabs>
          <w:tab w:leader="none" w:pos="1898"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Compliance Program</w:t>
      </w:r>
      <w:r>
        <w:rPr>
          <w:rFonts w:ascii="Arial" w:cs="Arial" w:eastAsia="Arial" w:hAnsi="Arial"/>
          <w:sz w:val="17"/>
          <w:szCs w:val="17"/>
          <w:color w:val="auto"/>
        </w:rPr>
        <w:t>. Pathologists shall participate in and abide by Veracyte’s compliance program, policies and procedures, as established or adopted from time to time.</w:t>
      </w:r>
    </w:p>
    <w:p>
      <w:pPr>
        <w:spacing w:after="0" w:line="158" w:lineRule="exact"/>
        <w:rPr>
          <w:rFonts w:ascii="Arial" w:cs="Arial" w:eastAsia="Arial" w:hAnsi="Arial"/>
          <w:sz w:val="17"/>
          <w:szCs w:val="17"/>
          <w:color w:val="auto"/>
        </w:rPr>
      </w:pPr>
    </w:p>
    <w:p>
      <w:pPr>
        <w:ind w:right="540" w:firstLine="1263"/>
        <w:spacing w:after="0" w:line="273" w:lineRule="auto"/>
        <w:tabs>
          <w:tab w:leader="none" w:pos="1892"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Designation of Agent</w:t>
      </w:r>
      <w:r>
        <w:rPr>
          <w:rFonts w:ascii="Arial" w:cs="Arial" w:eastAsia="Arial" w:hAnsi="Arial"/>
          <w:sz w:val="17"/>
          <w:szCs w:val="17"/>
          <w:color w:val="auto"/>
        </w:rPr>
        <w:t>. Robert Flanakin shall serve as Pathologist’s sole and exclusive agent for purposes of communicating with Veracyte concerning the rights of Pathologists pursuant to this Agreement. Pathologists shall be bound by all actions and agreements made by this agent. Pathologists may designate, from time to time, a new agent, pursuant to written notice to Veracyte.</w:t>
      </w:r>
    </w:p>
    <w:p>
      <w:pPr>
        <w:spacing w:after="0" w:line="171" w:lineRule="exact"/>
        <w:rPr>
          <w:rFonts w:ascii="Arial" w:cs="Arial" w:eastAsia="Arial" w:hAnsi="Arial"/>
          <w:sz w:val="17"/>
          <w:szCs w:val="17"/>
          <w:color w:val="auto"/>
        </w:rPr>
      </w:pPr>
    </w:p>
    <w:p>
      <w:pPr>
        <w:ind w:right="260" w:firstLine="1263"/>
        <w:spacing w:after="0" w:line="290" w:lineRule="auto"/>
        <w:tabs>
          <w:tab w:leader="none" w:pos="1908"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Physician Compensation Arrangements</w:t>
      </w:r>
      <w:r>
        <w:rPr>
          <w:rFonts w:ascii="Arial" w:cs="Arial" w:eastAsia="Arial" w:hAnsi="Arial"/>
          <w:sz w:val="16"/>
          <w:szCs w:val="16"/>
          <w:color w:val="auto"/>
        </w:rPr>
        <w:t>. Pathologists represent and warrant to Veracyte that the compensation paid or to be paid by Pathologists to any physician is and will at all times be fair market value for services and items actually provided by such physician, not taking into account the value or volume of referrals or other business generated by such physician for Veracyte. Pathologists further represent and warrant to Veracyte that Pathologists has and will at all times maintain a written agreement with each physician receiving compensation from Pathologists.</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Qualifications of Approved Physicians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firstLine="1263"/>
        <w:spacing w:after="0" w:line="285" w:lineRule="auto"/>
        <w:tabs>
          <w:tab w:leader="none" w:pos="1885"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Licenses and Certifications</w:t>
      </w:r>
      <w:r>
        <w:rPr>
          <w:rFonts w:ascii="Arial" w:cs="Arial" w:eastAsia="Arial" w:hAnsi="Arial"/>
          <w:sz w:val="16"/>
          <w:szCs w:val="16"/>
          <w:color w:val="auto"/>
        </w:rPr>
        <w:t>. Pathologists shall ensure that each Approved Physician: (i) has and maintains an unrestricted license to practice medicine in one or more of the Covered States as set forth herein, (ii) is and remains board certified in pathology by the applicable medical specialty board approved by the American Board of Medical Specialties, (iii) is and remains a participating provider in all Federal Health Care Programs, (iv) participates in continuing education as necessary to maintain licensure, professional competence and skills commensurate with the standards of the medical community, (v) meets all other licensing, credentialing and certification standards as mutually defined and agreed to during the term of this Agreement.</w:t>
      </w:r>
    </w:p>
    <w:p>
      <w:pPr>
        <w:spacing w:after="0" w:line="166" w:lineRule="exact"/>
        <w:rPr>
          <w:rFonts w:ascii="Arial" w:cs="Arial" w:eastAsia="Arial" w:hAnsi="Arial"/>
          <w:sz w:val="16"/>
          <w:szCs w:val="16"/>
          <w:color w:val="auto"/>
        </w:rPr>
      </w:pPr>
    </w:p>
    <w:p>
      <w:pPr>
        <w:ind w:right="100" w:firstLine="1263"/>
        <w:spacing w:after="0" w:line="298" w:lineRule="auto"/>
        <w:tabs>
          <w:tab w:leader="none" w:pos="1895"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Covered States</w:t>
      </w:r>
      <w:r>
        <w:rPr>
          <w:rFonts w:ascii="Arial" w:cs="Arial" w:eastAsia="Arial" w:hAnsi="Arial"/>
          <w:sz w:val="16"/>
          <w:szCs w:val="16"/>
          <w:color w:val="auto"/>
        </w:rPr>
        <w:t xml:space="preserve">. Veracyte shall only provide specimens from the Covered States. For purposes of this Agreement, the “Covered States” are as listed in </w:t>
      </w:r>
      <w:r>
        <w:rPr>
          <w:rFonts w:ascii="Arial" w:cs="Arial" w:eastAsia="Arial" w:hAnsi="Arial"/>
          <w:sz w:val="16"/>
          <w:szCs w:val="16"/>
          <w:u w:val="single" w:color="auto"/>
          <w:color w:val="auto"/>
        </w:rPr>
        <w:t>Exhibit D</w:t>
      </w:r>
      <w:r>
        <w:rPr>
          <w:rFonts w:ascii="Arial" w:cs="Arial" w:eastAsia="Arial" w:hAnsi="Arial"/>
          <w:sz w:val="16"/>
          <w:szCs w:val="16"/>
          <w:color w:val="auto"/>
        </w:rPr>
        <w:t>. Pathologists shall engage physicians who are licensed in one or more of the Covered States. Veracyte may request an expansion of the list of Covered States with one hundred twenty (120) days’ written notice, but no more than ten (10) new states may be requested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ninety (90) day period unless mutually agreed upon by the Parties.</w:t>
      </w:r>
    </w:p>
    <w:p>
      <w:pPr>
        <w:spacing w:after="0" w:line="224" w:lineRule="exact"/>
        <w:rPr>
          <w:sz w:val="20"/>
          <w:szCs w:val="20"/>
          <w:color w:val="auto"/>
        </w:rPr>
      </w:pPr>
    </w:p>
    <w:p>
      <w:pPr>
        <w:ind w:right="240" w:firstLine="1263"/>
        <w:spacing w:after="0" w:line="289" w:lineRule="auto"/>
        <w:tabs>
          <w:tab w:leader="none" w:pos="1898"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Notification of Issues</w:t>
      </w:r>
      <w:r>
        <w:rPr>
          <w:rFonts w:ascii="Arial" w:cs="Arial" w:eastAsia="Arial" w:hAnsi="Arial"/>
          <w:sz w:val="17"/>
          <w:szCs w:val="17"/>
          <w:color w:val="auto"/>
        </w:rPr>
        <w:t>. Pathologists shall notify Veracyte in writing within two (2) business days after Pathologists becomes aware of any one or more of the following events: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Any Approved Physician becomes the subject of any suit, action or other legal proceeding arising out of Pathologist’s</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professional services;</w:t>
      </w:r>
    </w:p>
    <w:p>
      <w:pPr>
        <w:spacing w:after="0" w:line="212" w:lineRule="exact"/>
        <w:rPr>
          <w:rFonts w:ascii="Arial" w:cs="Arial" w:eastAsia="Arial" w:hAnsi="Arial"/>
          <w:sz w:val="17"/>
          <w:szCs w:val="17"/>
          <w:color w:val="auto"/>
        </w:rPr>
      </w:pPr>
    </w:p>
    <w:p>
      <w:pPr>
        <w:ind w:left="2560" w:hanging="667"/>
        <w:spacing w:after="0"/>
        <w:tabs>
          <w:tab w:leader="none" w:pos="25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Any Approved Physician is required to pay damages or any other amount in any malpractice action by way of judgment or</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settlement;</w:t>
      </w:r>
    </w:p>
    <w:p>
      <w:pPr>
        <w:spacing w:after="0" w:line="212" w:lineRule="exact"/>
        <w:rPr>
          <w:rFonts w:ascii="Arial" w:cs="Arial" w:eastAsia="Arial" w:hAnsi="Arial"/>
          <w:sz w:val="16"/>
          <w:szCs w:val="16"/>
          <w:color w:val="auto"/>
        </w:rPr>
      </w:pPr>
    </w:p>
    <w:p>
      <w:pPr>
        <w:ind w:left="640" w:right="320" w:firstLine="1253"/>
        <w:spacing w:after="0" w:line="289" w:lineRule="auto"/>
        <w:tabs>
          <w:tab w:leader="none" w:pos="2567"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Any Approved Physician becomes the subject of any disciplinary proceeding or action before any state’s medical board or similar agency responsible for professional standards or behavior;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Any Approved Physician becomes permanently incapacitated or disabled from practicing medicine;</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Any act of nature or any other event occurs which has a material adverse effect on any Approved Physician’s ability to</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perform the Services;</w:t>
      </w:r>
    </w:p>
    <w:p>
      <w:pPr>
        <w:spacing w:after="0" w:line="212" w:lineRule="exact"/>
        <w:rPr>
          <w:rFonts w:ascii="Arial" w:cs="Arial" w:eastAsia="Arial" w:hAnsi="Arial"/>
          <w:sz w:val="17"/>
          <w:szCs w:val="17"/>
          <w:color w:val="auto"/>
        </w:rPr>
      </w:pPr>
    </w:p>
    <w:p>
      <w:pPr>
        <w:ind w:left="640" w:right="520" w:firstLine="1253"/>
        <w:spacing w:after="0" w:line="289" w:lineRule="auto"/>
        <w:tabs>
          <w:tab w:leader="none" w:pos="2544"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Any Approved Physician is charged with or convicted of a felony, a misdemeanor involving fraud, dishonesty, or moral turpitude, or any crime relevant to the practice of medicine; or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Any Approved Physician is debarred, suspended, excluded or otherwise ineligible to participate in any federal or state health</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care program.</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Mandatory Removal</w:t>
      </w:r>
      <w:r>
        <w:rPr>
          <w:rFonts w:ascii="Arial" w:cs="Arial" w:eastAsia="Arial" w:hAnsi="Arial"/>
          <w:sz w:val="16"/>
          <w:szCs w:val="16"/>
          <w:color w:val="auto"/>
        </w:rPr>
        <w:t>. Pathologists shall immediately remove any Approved Physician from furnishing Services under this Agreement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who:</w:t>
      </w:r>
    </w:p>
    <w:p>
      <w:pPr>
        <w:spacing w:after="0" w:line="212" w:lineRule="exact"/>
        <w:rPr>
          <w:rFonts w:ascii="Arial" w:cs="Arial" w:eastAsia="Arial" w:hAnsi="Arial"/>
          <w:sz w:val="16"/>
          <w:szCs w:val="16"/>
          <w:color w:val="auto"/>
        </w:rPr>
      </w:pPr>
    </w:p>
    <w:p>
      <w:pPr>
        <w:ind w:left="640" w:right="340" w:firstLine="1253"/>
        <w:spacing w:after="0" w:line="273" w:lineRule="auto"/>
        <w:tabs>
          <w:tab w:leader="none" w:pos="2548" w:val="left"/>
        </w:tabs>
        <w:numPr>
          <w:ilvl w:val="1"/>
          <w:numId w:val="253"/>
        </w:numPr>
        <w:rPr>
          <w:rFonts w:ascii="Arial" w:cs="Arial" w:eastAsia="Arial" w:hAnsi="Arial"/>
          <w:sz w:val="17"/>
          <w:szCs w:val="17"/>
          <w:color w:val="auto"/>
        </w:rPr>
      </w:pPr>
      <w:r>
        <w:rPr>
          <w:rFonts w:ascii="Arial" w:cs="Arial" w:eastAsia="Arial" w:hAnsi="Arial"/>
          <w:sz w:val="17"/>
          <w:szCs w:val="17"/>
          <w:color w:val="auto"/>
        </w:rPr>
        <w:t>has his or her state license to practice medicine or board certification denied, suspended, restricted, terminated, revoked or relinquished for any reason, whether voluntarily or involuntarily, temporarily or permanently, regardless of the availability of civil or administrative hearing rights or judicial review with respect thereto;</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is debarred, suspended, excluded or otherwise ineligible to participate in any Federal Health Care Program; or</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fails to be covered by the professional liability insurance required to be maintained under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262" w:name="page263"/>
    <w:bookmarkEnd w:id="262"/>
    <w:p>
      <w:pPr>
        <w:ind w:right="460" w:firstLine="1263"/>
        <w:spacing w:after="0" w:line="289" w:lineRule="auto"/>
        <w:tabs>
          <w:tab w:leader="none" w:pos="1898"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Removal Upon Request</w:t>
      </w:r>
      <w:r>
        <w:rPr>
          <w:rFonts w:ascii="Arial" w:cs="Arial" w:eastAsia="Arial" w:hAnsi="Arial"/>
          <w:sz w:val="17"/>
          <w:szCs w:val="17"/>
          <w:color w:val="auto"/>
        </w:rPr>
        <w:t>. Upon written request by Veracyte, Pathologists shall immediately remove any Approved Physician from furnishing Services under this Agreement who:</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engages in conduct that, in Veracyte’s good faith determination, jeopardizes or damages the reputation of Veracyte;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fails to satisfy any of the standards and qualifications set forth in this Agreement;</w:t>
      </w:r>
    </w:p>
    <w:p>
      <w:pPr>
        <w:spacing w:after="0" w:line="224" w:lineRule="exact"/>
        <w:rPr>
          <w:rFonts w:ascii="Arial" w:cs="Arial" w:eastAsia="Arial" w:hAnsi="Arial"/>
          <w:sz w:val="17"/>
          <w:szCs w:val="17"/>
          <w:color w:val="auto"/>
        </w:rPr>
      </w:pPr>
    </w:p>
    <w:p>
      <w:pPr>
        <w:ind w:left="640" w:right="220" w:firstLine="1253"/>
        <w:spacing w:after="0" w:line="289" w:lineRule="auto"/>
        <w:tabs>
          <w:tab w:leader="none" w:pos="2567" w:val="left"/>
        </w:tabs>
        <w:numPr>
          <w:ilvl w:val="2"/>
          <w:numId w:val="254"/>
        </w:numPr>
        <w:rPr>
          <w:rFonts w:ascii="Arial" w:cs="Arial" w:eastAsia="Arial" w:hAnsi="Arial"/>
          <w:sz w:val="17"/>
          <w:szCs w:val="17"/>
          <w:color w:val="auto"/>
        </w:rPr>
      </w:pPr>
      <w:r>
        <w:rPr>
          <w:rFonts w:ascii="Arial" w:cs="Arial" w:eastAsia="Arial" w:hAnsi="Arial"/>
          <w:sz w:val="17"/>
          <w:szCs w:val="17"/>
          <w:color w:val="auto"/>
        </w:rPr>
        <w:t>fails to comply with any other material terms or conditions of this Agreement after being given written notice of that failure and a reasonable opportunity to comply;</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within a twelve (12) month period, has two (2) or more medical malpractice claims filed against him or her; or</w:t>
      </w:r>
    </w:p>
    <w:p>
      <w:pPr>
        <w:spacing w:after="0" w:line="224" w:lineRule="exact"/>
        <w:rPr>
          <w:rFonts w:ascii="Arial" w:cs="Arial" w:eastAsia="Arial" w:hAnsi="Arial"/>
          <w:sz w:val="17"/>
          <w:szCs w:val="17"/>
          <w:color w:val="auto"/>
        </w:rPr>
      </w:pPr>
    </w:p>
    <w:p>
      <w:pPr>
        <w:ind w:left="640" w:right="100" w:firstLine="1253"/>
        <w:spacing w:after="0" w:line="289" w:lineRule="auto"/>
        <w:tabs>
          <w:tab w:leader="none" w:pos="2535" w:val="left"/>
        </w:tabs>
        <w:numPr>
          <w:ilvl w:val="2"/>
          <w:numId w:val="254"/>
        </w:numPr>
        <w:rPr>
          <w:rFonts w:ascii="Arial" w:cs="Arial" w:eastAsia="Arial" w:hAnsi="Arial"/>
          <w:sz w:val="17"/>
          <w:szCs w:val="17"/>
          <w:color w:val="auto"/>
        </w:rPr>
      </w:pPr>
      <w:r>
        <w:rPr>
          <w:rFonts w:ascii="Arial" w:cs="Arial" w:eastAsia="Arial" w:hAnsi="Arial"/>
          <w:sz w:val="17"/>
          <w:szCs w:val="17"/>
          <w:color w:val="auto"/>
        </w:rPr>
        <w:t>is charged with or convicted of a felony, a misdemeanor involving fraud, dishonesty, or moral turpitude, or any crime relevant to the practice of medicine.</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and Responsibilities of Veracyte</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Laboratory</w:t>
      </w:r>
      <w:r>
        <w:rPr>
          <w:rFonts w:ascii="Arial" w:cs="Arial" w:eastAsia="Arial" w:hAnsi="Arial"/>
          <w:sz w:val="17"/>
          <w:szCs w:val="17"/>
          <w:color w:val="auto"/>
        </w:rPr>
        <w:t>. Veracyte shall be responsible for its cytology and molecular lab, its functions, quality and licensure.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Slide Storage</w:t>
      </w:r>
      <w:r>
        <w:rPr>
          <w:rFonts w:ascii="Arial" w:cs="Arial" w:eastAsia="Arial" w:hAnsi="Arial"/>
          <w:sz w:val="17"/>
          <w:szCs w:val="17"/>
          <w:color w:val="auto"/>
        </w:rPr>
        <w:t>. Veracyte shall maintain and store all slides.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Shipping</w:t>
      </w:r>
      <w:r>
        <w:rPr>
          <w:rFonts w:ascii="Arial" w:cs="Arial" w:eastAsia="Arial" w:hAnsi="Arial"/>
          <w:sz w:val="16"/>
          <w:szCs w:val="16"/>
          <w:color w:val="auto"/>
        </w:rPr>
        <w:t>. Veracyte shall ship specimens to Pathologists and pay for cost of return shipping to Veracyte for storage and reporting.</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Clinical Information</w:t>
      </w:r>
      <w:r>
        <w:rPr>
          <w:rFonts w:ascii="Arial" w:cs="Arial" w:eastAsia="Arial" w:hAnsi="Arial"/>
          <w:sz w:val="16"/>
          <w:szCs w:val="16"/>
          <w:color w:val="auto"/>
        </w:rPr>
        <w:t>. Veracyte shall provide all clinical information accompanying any specimens and a manifest of shipment contests.</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Software</w:t>
      </w:r>
      <w:r>
        <w:rPr>
          <w:rFonts w:ascii="Arial" w:cs="Arial" w:eastAsia="Arial" w:hAnsi="Arial"/>
          <w:sz w:val="16"/>
          <w:szCs w:val="16"/>
          <w:color w:val="auto"/>
        </w:rPr>
        <w:t>. Veracyte shall be responsible for dictation and reporting software. Veracyte shall also provide any billing or networking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software needed.</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Managed Care Contracting</w:t>
      </w:r>
      <w:r>
        <w:rPr>
          <w:rFonts w:ascii="Arial" w:cs="Arial" w:eastAsia="Arial" w:hAnsi="Arial"/>
          <w:sz w:val="16"/>
          <w:szCs w:val="16"/>
          <w:color w:val="auto"/>
        </w:rPr>
        <w:t>. Except as otherwise provided in Section 9, below, Veracyte shall be responsible for all managed care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contracting.</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Veracyte shall pay Pathologists in a timely manner as provided in the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634"/>
        <w:spacing w:after="0" w:line="311" w:lineRule="auto"/>
        <w:tabs>
          <w:tab w:leader="none" w:pos="1258" w:val="left"/>
        </w:tabs>
        <w:numPr>
          <w:ilvl w:val="0"/>
          <w:numId w:val="25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Practice of Medicine</w:t>
      </w:r>
      <w:r>
        <w:rPr>
          <w:rFonts w:ascii="Arial" w:cs="Arial" w:eastAsia="Arial" w:hAnsi="Arial"/>
          <w:sz w:val="15"/>
          <w:szCs w:val="15"/>
          <w:b w:val="1"/>
          <w:bCs w:val="1"/>
          <w:color w:val="auto"/>
        </w:rPr>
        <w:t xml:space="preserve">. </w:t>
      </w:r>
      <w:r>
        <w:rPr>
          <w:rFonts w:ascii="Arial" w:cs="Arial" w:eastAsia="Arial" w:hAnsi="Arial"/>
          <w:sz w:val="15"/>
          <w:szCs w:val="15"/>
          <w:color w:val="auto"/>
        </w:rPr>
        <w:t>Pathologists and Veracyte acknowledge that Veracyte is neither authorized nor qualified to engage in any activity which</w:t>
      </w:r>
      <w:r>
        <w:rPr>
          <w:rFonts w:ascii="Arial" w:cs="Arial" w:eastAsia="Arial" w:hAnsi="Arial"/>
          <w:sz w:val="15"/>
          <w:szCs w:val="15"/>
          <w:b w:val="1"/>
          <w:bCs w:val="1"/>
          <w:color w:val="auto"/>
        </w:rPr>
        <w:t xml:space="preserve"> </w:t>
      </w:r>
      <w:r>
        <w:rPr>
          <w:rFonts w:ascii="Arial" w:cs="Arial" w:eastAsia="Arial" w:hAnsi="Arial"/>
          <w:sz w:val="15"/>
          <w:szCs w:val="15"/>
          <w:color w:val="auto"/>
        </w:rPr>
        <w:t>may be construed or deemed to constitute the practice of medicine. Accordingly, Veracyte shall not engage in the practice of medicine nor seek to provide the Services to be provided by Pathologists under this Agreement through its own physician employees or contractors. To the extent that any act or service required of, or reserved to, Veracyte in this Agreement is construed or deemed to constitute the practice of medicine, the performance of such act or service by Veracyte shall be deemed waived or unenforceable, unless this Agreement can be amended to comply with the law, in which case the Parties shall make such amendment.</w:t>
      </w:r>
    </w:p>
    <w:p>
      <w:pPr>
        <w:spacing w:after="0" w:line="140" w:lineRule="exact"/>
        <w:rPr>
          <w:rFonts w:ascii="Arial" w:cs="Arial" w:eastAsia="Arial" w:hAnsi="Arial"/>
          <w:sz w:val="15"/>
          <w:szCs w:val="15"/>
          <w:b w:val="1"/>
          <w:bCs w:val="1"/>
          <w:color w:val="auto"/>
        </w:rPr>
      </w:pPr>
    </w:p>
    <w:p>
      <w:pPr>
        <w:ind w:firstLine="634"/>
        <w:spacing w:after="0" w:line="268" w:lineRule="auto"/>
        <w:tabs>
          <w:tab w:leader="none" w:pos="1258"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become effective on the Effective Date, and shall continue until the last day of the thirty sixth (36</w:t>
      </w:r>
      <w:r>
        <w:rPr>
          <w:rFonts w:ascii="Arial" w:cs="Arial" w:eastAsia="Arial" w:hAnsi="Arial"/>
          <w:sz w:val="20"/>
          <w:szCs w:val="20"/>
          <w:color w:val="auto"/>
          <w:vertAlign w:val="superscript"/>
        </w:rPr>
        <w:t>th</w:t>
      </w:r>
      <w:r>
        <w:rPr>
          <w:rFonts w:ascii="Arial" w:cs="Arial" w:eastAsia="Arial" w:hAnsi="Arial"/>
          <w:sz w:val="16"/>
          <w:szCs w:val="16"/>
          <w:color w:val="auto"/>
        </w:rPr>
        <w:t>) full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month thereafter, unless terminated earlier as provided herein. The Agreement shall automatically renew for successive two (2) year terms unless either Party gives written notice of its intention not to renew this Agreement at least one hundred twenty (120) days prior to the end of the then current term.</w:t>
      </w:r>
    </w:p>
    <w:p>
      <w:pPr>
        <w:spacing w:after="0" w:line="171" w:lineRule="exact"/>
        <w:rPr>
          <w:rFonts w:ascii="Arial" w:cs="Arial" w:eastAsia="Arial" w:hAnsi="Arial"/>
          <w:sz w:val="16"/>
          <w:szCs w:val="16"/>
          <w:b w:val="1"/>
          <w:bCs w:val="1"/>
          <w:color w:val="auto"/>
        </w:rPr>
      </w:pPr>
    </w:p>
    <w:p>
      <w:pPr>
        <w:ind w:left="1260" w:hanging="626"/>
        <w:spacing w:after="0"/>
        <w:tabs>
          <w:tab w:leader="none" w:pos="126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Termination by Pathologists</w:t>
      </w:r>
      <w:r>
        <w:rPr>
          <w:rFonts w:ascii="Arial" w:cs="Arial" w:eastAsia="Arial" w:hAnsi="Arial"/>
          <w:sz w:val="16"/>
          <w:szCs w:val="16"/>
          <w:color w:val="auto"/>
        </w:rPr>
        <w:t>. Pathologists shall have the right to terminate this Agreement immediately upon the occurrence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256"/>
        </w:numPr>
        <w:rPr>
          <w:rFonts w:ascii="Arial" w:cs="Arial" w:eastAsia="Arial" w:hAnsi="Arial"/>
          <w:sz w:val="17"/>
          <w:szCs w:val="17"/>
          <w:color w:val="auto"/>
        </w:rPr>
      </w:pPr>
      <w:r>
        <w:rPr>
          <w:rFonts w:ascii="Arial" w:cs="Arial" w:eastAsia="Arial" w:hAnsi="Arial"/>
          <w:sz w:val="17"/>
          <w:szCs w:val="17"/>
          <w:color w:val="auto"/>
        </w:rPr>
        <w:t>The insolvency of Veracyte;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6"/>
        </w:numPr>
        <w:rPr>
          <w:rFonts w:ascii="Arial" w:cs="Arial" w:eastAsia="Arial" w:hAnsi="Arial"/>
          <w:sz w:val="17"/>
          <w:szCs w:val="17"/>
          <w:color w:val="auto"/>
        </w:rPr>
      </w:pPr>
      <w:r>
        <w:rPr>
          <w:rFonts w:ascii="Arial" w:cs="Arial" w:eastAsia="Arial" w:hAnsi="Arial"/>
          <w:sz w:val="17"/>
          <w:szCs w:val="17"/>
          <w:color w:val="auto"/>
        </w:rPr>
        <w:t>The suspension, revocation, termination or other restriction on Veracyte’s laboratory license;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6"/>
        </w:numPr>
        <w:rPr>
          <w:rFonts w:ascii="Arial" w:cs="Arial" w:eastAsia="Arial" w:hAnsi="Arial"/>
          <w:sz w:val="17"/>
          <w:szCs w:val="17"/>
          <w:color w:val="auto"/>
        </w:rPr>
      </w:pPr>
      <w:r>
        <w:rPr>
          <w:rFonts w:ascii="Arial" w:cs="Arial" w:eastAsia="Arial" w:hAnsi="Arial"/>
          <w:sz w:val="17"/>
          <w:szCs w:val="17"/>
          <w:color w:val="auto"/>
        </w:rPr>
        <w:t>Failure of Veracyte to pay any amounts due hereunder within ten (10) days after the receipt of written notice;</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Breach of the Agreement by Veracyte and its failure to cure such breach within thirty (30) days after the delivery of written</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thereof; or</w:t>
      </w:r>
    </w:p>
    <w:p>
      <w:pPr>
        <w:spacing w:after="0" w:line="212" w:lineRule="exact"/>
        <w:rPr>
          <w:rFonts w:ascii="Arial" w:cs="Arial" w:eastAsia="Arial" w:hAnsi="Arial"/>
          <w:sz w:val="16"/>
          <w:szCs w:val="16"/>
          <w:color w:val="auto"/>
        </w:rPr>
      </w:pPr>
    </w:p>
    <w:p>
      <w:pPr>
        <w:ind w:left="640" w:right="200" w:firstLine="1253"/>
        <w:spacing w:after="0" w:line="289" w:lineRule="auto"/>
        <w:tabs>
          <w:tab w:leader="none" w:pos="2535" w:val="left"/>
        </w:tabs>
        <w:numPr>
          <w:ilvl w:val="2"/>
          <w:numId w:val="256"/>
        </w:numPr>
        <w:rPr>
          <w:rFonts w:ascii="Arial" w:cs="Arial" w:eastAsia="Arial" w:hAnsi="Arial"/>
          <w:sz w:val="17"/>
          <w:szCs w:val="17"/>
          <w:color w:val="auto"/>
        </w:rPr>
      </w:pPr>
      <w:r>
        <w:rPr>
          <w:rFonts w:ascii="Arial" w:cs="Arial" w:eastAsia="Arial" w:hAnsi="Arial"/>
          <w:sz w:val="17"/>
          <w:szCs w:val="17"/>
          <w:color w:val="auto"/>
        </w:rPr>
        <w:t>Termination for any reason of the Services Agreement between Veracyte and Pathology Resource Consultants, L.P. (“PRC”) dated November 12, 2010 (the “Services Agreement”).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Termination by Veracyte</w:t>
      </w:r>
      <w:r>
        <w:rPr>
          <w:rFonts w:ascii="Arial" w:cs="Arial" w:eastAsia="Arial" w:hAnsi="Arial"/>
          <w:sz w:val="16"/>
          <w:szCs w:val="16"/>
          <w:color w:val="auto"/>
        </w:rPr>
        <w:t>. Veracyte shall have the right to terminate this Agreement immediately upon the occurrence of any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256"/>
        </w:numPr>
        <w:rPr>
          <w:rFonts w:ascii="Arial" w:cs="Arial" w:eastAsia="Arial" w:hAnsi="Arial"/>
          <w:sz w:val="17"/>
          <w:szCs w:val="17"/>
          <w:color w:val="auto"/>
        </w:rPr>
      </w:pPr>
      <w:r>
        <w:rPr>
          <w:rFonts w:ascii="Arial" w:cs="Arial" w:eastAsia="Arial" w:hAnsi="Arial"/>
          <w:sz w:val="17"/>
          <w:szCs w:val="17"/>
          <w:color w:val="auto"/>
        </w:rPr>
        <w:t>The insolvency of the Pathologists;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6"/>
        </w:numPr>
        <w:rPr>
          <w:rFonts w:ascii="Arial" w:cs="Arial" w:eastAsia="Arial" w:hAnsi="Arial"/>
          <w:sz w:val="17"/>
          <w:szCs w:val="17"/>
          <w:color w:val="auto"/>
        </w:rPr>
      </w:pPr>
      <w:r>
        <w:rPr>
          <w:rFonts w:ascii="Arial" w:cs="Arial" w:eastAsia="Arial" w:hAnsi="Arial"/>
          <w:sz w:val="17"/>
          <w:szCs w:val="17"/>
          <w:color w:val="auto"/>
        </w:rPr>
        <w:t>The suspension or termination of the Pathologists from any Federal Health Care Program;</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Breach of the agreement by Pathologists and its failure to cure such breach within thirty (30) days after the delivery of written</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-3078480</wp:posOffset>
            </wp:positionV>
            <wp:extent cx="279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0" w:gutter="0" w:footer="0" w:header="0"/>
        </w:sectPr>
      </w:pPr>
    </w:p>
    <w:bookmarkStart w:id="263" w:name="page264"/>
    <w:bookmarkEnd w:id="263"/>
    <w:p>
      <w:pPr>
        <w:ind w:left="2520" w:hanging="647"/>
        <w:spacing w:after="0"/>
        <w:tabs>
          <w:tab w:leader="none" w:pos="2520" w:val="left"/>
        </w:tabs>
        <w:numPr>
          <w:ilvl w:val="2"/>
          <w:numId w:val="257"/>
        </w:numPr>
        <w:rPr>
          <w:rFonts w:ascii="Arial" w:cs="Arial" w:eastAsia="Arial" w:hAnsi="Arial"/>
          <w:sz w:val="17"/>
          <w:szCs w:val="17"/>
          <w:color w:val="auto"/>
        </w:rPr>
      </w:pPr>
      <w:r>
        <w:rPr>
          <w:rFonts w:ascii="Arial" w:cs="Arial" w:eastAsia="Arial" w:hAnsi="Arial"/>
          <w:sz w:val="17"/>
          <w:szCs w:val="17"/>
          <w:color w:val="auto"/>
        </w:rPr>
        <w:t>Termination for any reason of the Services Agreement; or</w:t>
      </w:r>
    </w:p>
    <w:p>
      <w:pPr>
        <w:spacing w:after="0" w:line="224" w:lineRule="exact"/>
        <w:rPr>
          <w:rFonts w:ascii="Arial" w:cs="Arial" w:eastAsia="Arial" w:hAnsi="Arial"/>
          <w:sz w:val="17"/>
          <w:szCs w:val="17"/>
          <w:color w:val="auto"/>
        </w:rPr>
      </w:pPr>
    </w:p>
    <w:p>
      <w:pPr>
        <w:ind w:left="620" w:right="120" w:firstLine="1253"/>
        <w:spacing w:after="0" w:line="268" w:lineRule="auto"/>
        <w:tabs>
          <w:tab w:leader="none" w:pos="2515" w:val="left"/>
        </w:tabs>
        <w:numPr>
          <w:ilvl w:val="2"/>
          <w:numId w:val="257"/>
        </w:numPr>
        <w:rPr>
          <w:rFonts w:ascii="Arial" w:cs="Arial" w:eastAsia="Arial" w:hAnsi="Arial"/>
          <w:sz w:val="17"/>
          <w:szCs w:val="17"/>
          <w:color w:val="auto"/>
        </w:rPr>
      </w:pPr>
      <w:r>
        <w:rPr>
          <w:rFonts w:ascii="Arial" w:cs="Arial" w:eastAsia="Arial" w:hAnsi="Arial"/>
          <w:sz w:val="17"/>
          <w:szCs w:val="17"/>
          <w:color w:val="auto"/>
        </w:rPr>
        <w:t>There is a “Substantial Change” in Pathologists, which Substantial Change has not received written approval, or subsequent ratification by Veracyte, whose approval or ratification shall not be unreasonably withheld. For purposes of this section, “Substantial Change” means the turnover ratio for Approved Physicians exceeds fifty percent (50%) in any one-year period commencing January 1, 2012, whether due to retirement, withdrawal, termination, suspension or otherwise.</w:t>
      </w:r>
    </w:p>
    <w:p>
      <w:pPr>
        <w:spacing w:after="0" w:line="169" w:lineRule="exact"/>
        <w:rPr>
          <w:rFonts w:ascii="Arial" w:cs="Arial" w:eastAsia="Arial" w:hAnsi="Arial"/>
          <w:sz w:val="17"/>
          <w:szCs w:val="17"/>
          <w:color w:val="auto"/>
        </w:rPr>
      </w:pPr>
    </w:p>
    <w:p>
      <w:pPr>
        <w:ind w:left="1240" w:hanging="626"/>
        <w:spacing w:after="0"/>
        <w:tabs>
          <w:tab w:leader="none" w:pos="1240"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Billing and Collection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60" w:hanging="617"/>
        <w:spacing w:after="0"/>
        <w:tabs>
          <w:tab w:leader="none" w:pos="1860"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Right to Bill</w:t>
      </w:r>
      <w:r>
        <w:rPr>
          <w:rFonts w:ascii="Arial" w:cs="Arial" w:eastAsia="Arial" w:hAnsi="Arial"/>
          <w:sz w:val="17"/>
          <w:szCs w:val="17"/>
          <w:color w:val="auto"/>
        </w:rPr>
        <w:t>. Except as otherwise provided in Section 9 below:</w:t>
      </w:r>
    </w:p>
    <w:p>
      <w:pPr>
        <w:spacing w:after="0" w:line="224" w:lineRule="exact"/>
        <w:rPr>
          <w:rFonts w:ascii="Arial" w:cs="Arial" w:eastAsia="Arial" w:hAnsi="Arial"/>
          <w:sz w:val="17"/>
          <w:szCs w:val="17"/>
          <w:color w:val="auto"/>
        </w:rPr>
      </w:pPr>
    </w:p>
    <w:p>
      <w:pPr>
        <w:ind w:left="620" w:right="20" w:firstLine="1253"/>
        <w:spacing w:after="0" w:line="322" w:lineRule="auto"/>
        <w:tabs>
          <w:tab w:leader="none" w:pos="2528" w:val="left"/>
        </w:tabs>
        <w:numPr>
          <w:ilvl w:val="2"/>
          <w:numId w:val="258"/>
        </w:numPr>
        <w:rPr>
          <w:rFonts w:ascii="Arial" w:cs="Arial" w:eastAsia="Arial" w:hAnsi="Arial"/>
          <w:sz w:val="16"/>
          <w:szCs w:val="16"/>
          <w:color w:val="auto"/>
        </w:rPr>
      </w:pPr>
      <w:r>
        <w:rPr>
          <w:rFonts w:ascii="Arial" w:cs="Arial" w:eastAsia="Arial" w:hAnsi="Arial"/>
          <w:sz w:val="16"/>
          <w:szCs w:val="16"/>
          <w:color w:val="auto"/>
        </w:rPr>
        <w:t>Veracyte shall have the sole and exclusive right to bill and collect for any and all Services rendered by Pathologists pursuant to this Agreement and shall have the sole and exclusive right, title and interest in and to accounts receivable with respect to such pathology services.</w:t>
      </w:r>
    </w:p>
    <w:p>
      <w:pPr>
        <w:spacing w:after="0" w:line="135" w:lineRule="exact"/>
        <w:rPr>
          <w:rFonts w:ascii="Arial" w:cs="Arial" w:eastAsia="Arial" w:hAnsi="Arial"/>
          <w:sz w:val="16"/>
          <w:szCs w:val="16"/>
          <w:color w:val="auto"/>
        </w:rPr>
      </w:pPr>
    </w:p>
    <w:p>
      <w:pPr>
        <w:ind w:left="620" w:firstLine="1253"/>
        <w:spacing w:after="0" w:line="268" w:lineRule="auto"/>
        <w:tabs>
          <w:tab w:leader="none" w:pos="2538" w:val="left"/>
        </w:tabs>
        <w:numPr>
          <w:ilvl w:val="2"/>
          <w:numId w:val="258"/>
        </w:numPr>
        <w:rPr>
          <w:rFonts w:ascii="Arial" w:cs="Arial" w:eastAsia="Arial" w:hAnsi="Arial"/>
          <w:sz w:val="17"/>
          <w:szCs w:val="17"/>
          <w:color w:val="auto"/>
        </w:rPr>
      </w:pPr>
      <w:r>
        <w:rPr>
          <w:rFonts w:ascii="Arial" w:cs="Arial" w:eastAsia="Arial" w:hAnsi="Arial"/>
          <w:sz w:val="17"/>
          <w:szCs w:val="17"/>
          <w:color w:val="auto"/>
        </w:rPr>
        <w:t>Pathologists shall seek and obtain compensation for the performance of the Services only from Veracyte. Pathologists shall not bill, assess or charge any fee, assessment or charge of any type against any patient or any other person or entity for Services rendered by Pathologists pursuant to this Agreement. Pathologists shall promptly deliver to Veracyte any and all compensation, in whatever form, that is received by Pathologists for Services rendered by Pathologists pursuant to this Agreement.</w:t>
      </w:r>
    </w:p>
    <w:p>
      <w:pPr>
        <w:spacing w:after="0" w:line="175" w:lineRule="exact"/>
        <w:rPr>
          <w:rFonts w:ascii="Arial" w:cs="Arial" w:eastAsia="Arial" w:hAnsi="Arial"/>
          <w:sz w:val="17"/>
          <w:szCs w:val="17"/>
          <w:color w:val="auto"/>
        </w:rPr>
      </w:pPr>
    </w:p>
    <w:p>
      <w:pPr>
        <w:ind w:left="-20" w:right="100" w:firstLine="1263"/>
        <w:spacing w:after="0" w:line="283" w:lineRule="auto"/>
        <w:tabs>
          <w:tab w:leader="none" w:pos="1875"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Pathologists’ Fee</w:t>
      </w:r>
      <w:r>
        <w:rPr>
          <w:rFonts w:ascii="Arial" w:cs="Arial" w:eastAsia="Arial" w:hAnsi="Arial"/>
          <w:sz w:val="16"/>
          <w:szCs w:val="16"/>
          <w:color w:val="auto"/>
        </w:rPr>
        <w:t xml:space="preserve">. Veracyte shall pay Pathologists for each specimen according to the fee schedule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For all professional cytopathology services completed by Pathologists on or before June 30, 2011, Pathologists shall be paid within sixty (60) days after the end of the calendar month in which the Pathologists complete the Services. For example, the fee for professional cytopathology services completed during the month of January 2011 shall be payable prior to April 1, 2011. For all professional cytopathology services completed by Pathologists after June 30, 2011, Pathologists shall be paid within forty (40) days after the end of the calendar month in which the Pathologists complete the Services. Veracyte may bill patients and/or their third party payors, and payment to Pathologists is not contingent upon Veracyte’s receipt of payment.</w:t>
      </w:r>
    </w:p>
    <w:p>
      <w:pPr>
        <w:spacing w:after="0" w:line="166" w:lineRule="exact"/>
        <w:rPr>
          <w:rFonts w:ascii="Arial" w:cs="Arial" w:eastAsia="Arial" w:hAnsi="Arial"/>
          <w:sz w:val="16"/>
          <w:szCs w:val="16"/>
          <w:color w:val="auto"/>
        </w:rPr>
      </w:pPr>
    </w:p>
    <w:p>
      <w:pPr>
        <w:ind w:left="-20" w:right="260" w:firstLine="1263"/>
        <w:spacing w:after="0" w:line="290" w:lineRule="auto"/>
        <w:tabs>
          <w:tab w:leader="none" w:pos="1878"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Assignment of Claims</w:t>
      </w:r>
      <w:r>
        <w:rPr>
          <w:rFonts w:ascii="Arial" w:cs="Arial" w:eastAsia="Arial" w:hAnsi="Arial"/>
          <w:sz w:val="16"/>
          <w:szCs w:val="16"/>
          <w:color w:val="auto"/>
        </w:rPr>
        <w:t>. Pathologists hereby assign (or reassigns, as the case may be) to Veracyte all claims, demands and rights of Pathologists for payment for any and all Services rendered by Pathologists pursuant to this Agreement. Pathologists shall take such action and execute such documents as may be reasonably necessary or appropriate to effectuate the assignment (or reassignment, as the case may be) to Veracyte of all claims, demands and rights of Pathologists for payment for any and all Services rendered by Pathologists pursuant to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37"/>
        <w:spacing w:after="0"/>
        <w:tabs>
          <w:tab w:leader="none" w:pos="1880"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20" w:right="160" w:firstLine="1253"/>
        <w:spacing w:after="0" w:line="263" w:lineRule="auto"/>
        <w:tabs>
          <w:tab w:leader="none" w:pos="2528" w:val="left"/>
        </w:tabs>
        <w:numPr>
          <w:ilvl w:val="2"/>
          <w:numId w:val="259"/>
        </w:numPr>
        <w:rPr>
          <w:rFonts w:ascii="Arial" w:cs="Arial" w:eastAsia="Arial" w:hAnsi="Arial"/>
          <w:sz w:val="17"/>
          <w:szCs w:val="17"/>
          <w:color w:val="auto"/>
        </w:rPr>
      </w:pPr>
      <w:r>
        <w:rPr>
          <w:rFonts w:ascii="Arial" w:cs="Arial" w:eastAsia="Arial" w:hAnsi="Arial"/>
          <w:sz w:val="17"/>
          <w:szCs w:val="17"/>
          <w:color w:val="auto"/>
        </w:rPr>
        <w:t xml:space="preserve">Veracyte shall reimburse Pathologists for all reasonable and necessary business expenses incurred by Pathologists in connection with the performance of the Services, including shipping, postage, transcription fees, external consults performed at Veracyte’s request, etc.;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(l) Pathologists have obtained prior written approval of Veracyte to incur expenses greater than Five Hundred Dollars ($500), (2) the expenses are directly related to the performance of the Services under this Agreement, (3) the expenses meet the requirements for reimbursement under Veracyte policies, and (4) Pathologists submit receipts to Veracyte within sixty (60) days of incurring the expenses. Receipts submitted to Veracyte after sixty (60) days may or may not be paid at the sole discretion of Veracyte.</w:t>
      </w:r>
    </w:p>
    <w:p>
      <w:pPr>
        <w:spacing w:after="0" w:line="183" w:lineRule="exact"/>
        <w:rPr>
          <w:rFonts w:ascii="Arial" w:cs="Arial" w:eastAsia="Arial" w:hAnsi="Arial"/>
          <w:sz w:val="17"/>
          <w:szCs w:val="17"/>
          <w:color w:val="auto"/>
        </w:rPr>
      </w:pPr>
    </w:p>
    <w:p>
      <w:pPr>
        <w:jc w:val="both"/>
        <w:ind w:left="620" w:right="180" w:firstLine="1253"/>
        <w:spacing w:after="0" w:line="273" w:lineRule="auto"/>
        <w:tabs>
          <w:tab w:leader="none" w:pos="2538" w:val="left"/>
        </w:tabs>
        <w:numPr>
          <w:ilvl w:val="2"/>
          <w:numId w:val="259"/>
        </w:numPr>
        <w:rPr>
          <w:rFonts w:ascii="Arial" w:cs="Arial" w:eastAsia="Arial" w:hAnsi="Arial"/>
          <w:sz w:val="17"/>
          <w:szCs w:val="17"/>
          <w:color w:val="auto"/>
        </w:rPr>
      </w:pPr>
      <w:r>
        <w:rPr>
          <w:rFonts w:ascii="Arial" w:cs="Arial" w:eastAsia="Arial" w:hAnsi="Arial"/>
          <w:sz w:val="17"/>
          <w:szCs w:val="17"/>
          <w:color w:val="auto"/>
        </w:rPr>
        <w:t>Veracyte shall reimburse Pathologists for reasonable and necessary expenses incurred by Pathologists in connection with all sales and marketing activities to promote or represent Veracyte; provided that such sales and marketing activities and expenses are approved in advance by Veracyte.</w:t>
      </w:r>
    </w:p>
    <w:p>
      <w:pPr>
        <w:spacing w:after="0" w:line="171" w:lineRule="exact"/>
        <w:rPr>
          <w:rFonts w:ascii="Arial" w:cs="Arial" w:eastAsia="Arial" w:hAnsi="Arial"/>
          <w:sz w:val="17"/>
          <w:szCs w:val="17"/>
          <w:color w:val="auto"/>
        </w:rPr>
      </w:pPr>
    </w:p>
    <w:p>
      <w:pPr>
        <w:ind w:left="620" w:right="240" w:firstLine="1253"/>
        <w:spacing w:after="0" w:line="268" w:lineRule="auto"/>
        <w:tabs>
          <w:tab w:leader="none" w:pos="2547" w:val="left"/>
        </w:tabs>
        <w:numPr>
          <w:ilvl w:val="2"/>
          <w:numId w:val="259"/>
        </w:numPr>
        <w:rPr>
          <w:rFonts w:ascii="Arial" w:cs="Arial" w:eastAsia="Arial" w:hAnsi="Arial"/>
          <w:sz w:val="17"/>
          <w:szCs w:val="17"/>
          <w:color w:val="auto"/>
        </w:rPr>
      </w:pPr>
      <w:r>
        <w:rPr>
          <w:rFonts w:ascii="Arial" w:cs="Arial" w:eastAsia="Arial" w:hAnsi="Arial"/>
          <w:sz w:val="17"/>
          <w:szCs w:val="17"/>
          <w:color w:val="auto"/>
        </w:rPr>
        <w:t>Veracyte shall reimburse Pathologists for the annual cost of renewing state licenses (other than Texas) for Approved Physicians. Veracyte shall also reimburse Pathologists for the costs of acquiring licenses for Approved Physicians in states other than Texas in order to provide the Services hereunder; this will include, without, limitation, reimbursement of the costs incurred prior to the Effective Date of this Agreement for licenses acquired specifically in anticipation of the execution of the Agreement.</w:t>
      </w:r>
    </w:p>
    <w:p>
      <w:pPr>
        <w:spacing w:after="0" w:line="169" w:lineRule="exact"/>
        <w:rPr>
          <w:rFonts w:ascii="Arial" w:cs="Arial" w:eastAsia="Arial" w:hAnsi="Arial"/>
          <w:sz w:val="17"/>
          <w:szCs w:val="17"/>
          <w:color w:val="auto"/>
        </w:rPr>
      </w:pPr>
    </w:p>
    <w:p>
      <w:pPr>
        <w:ind w:left="1240" w:hanging="626"/>
        <w:spacing w:after="0"/>
        <w:tabs>
          <w:tab w:leader="none" w:pos="124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Third Party Payor Arrangements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20" w:right="100" w:firstLine="1263"/>
        <w:spacing w:after="0" w:line="262" w:lineRule="auto"/>
        <w:tabs>
          <w:tab w:leader="none" w:pos="1865"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Pathologists shall reasonably cooperate with Veracyte at Veracyte’s expense in the billing and collection of fees with respect to Services rendered by Pathologists pursuant this Agreement. Without limiting the generality of the foregoing, Pathologists shall reasonably cooperate with Veracyte: (i) in providing information to permit Veracyte to complete such claim forms with respect to Services rendered by Pathologists pursuant to this Agreement as may be required by insurance carriers, health care service plans, governmental agencies, or other third party payors; and (ii) in all reasonable respects necessary to facilitate Veracyte’s entry into or maintenance of any third party payor arrangements for the provision of services under Federal Health Care Programs or any other public or private health care programs, including insurance programs, self-funded employer health programs, health care service plans and preferred provider organizations.</w:t>
      </w:r>
    </w:p>
    <w:p>
      <w:pPr>
        <w:spacing w:after="0" w:line="184" w:lineRule="exact"/>
        <w:rPr>
          <w:rFonts w:ascii="Arial" w:cs="Arial" w:eastAsia="Arial" w:hAnsi="Arial"/>
          <w:sz w:val="17"/>
          <w:szCs w:val="17"/>
          <w:color w:val="auto"/>
        </w:rPr>
      </w:pPr>
    </w:p>
    <w:p>
      <w:pPr>
        <w:ind w:left="-20" w:right="460" w:firstLine="1263"/>
        <w:spacing w:after="0" w:line="289" w:lineRule="auto"/>
        <w:tabs>
          <w:tab w:leader="none" w:pos="1875"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Enrollment as provider</w:t>
      </w:r>
      <w:r>
        <w:rPr>
          <w:rFonts w:ascii="Arial" w:cs="Arial" w:eastAsia="Arial" w:hAnsi="Arial"/>
          <w:sz w:val="17"/>
          <w:szCs w:val="17"/>
          <w:color w:val="auto"/>
        </w:rPr>
        <w:t>. If Veracyte is not permitted to participate in any third-party payor arrangement that includes the Services, Veracyte may request Pathologists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360" w:firstLine="1253"/>
        <w:spacing w:after="0" w:line="289" w:lineRule="auto"/>
        <w:tabs>
          <w:tab w:leader="none" w:pos="252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Enroll as a provider, separate from Veracyte, in any third party payor arrangement designated by Veracyte, with respect to services provided pursuant to this Agreement;</w:t>
      </w:r>
    </w:p>
    <w:p>
      <w:pPr>
        <w:spacing w:after="0" w:line="158" w:lineRule="exact"/>
        <w:rPr>
          <w:rFonts w:ascii="Arial" w:cs="Arial" w:eastAsia="Arial" w:hAnsi="Arial"/>
          <w:sz w:val="17"/>
          <w:szCs w:val="17"/>
          <w:color w:val="auto"/>
        </w:rPr>
      </w:pPr>
    </w:p>
    <w:p>
      <w:pPr>
        <w:ind w:left="620" w:right="160" w:firstLine="1253"/>
        <w:spacing w:after="0" w:line="289" w:lineRule="auto"/>
        <w:tabs>
          <w:tab w:leader="none" w:pos="253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Enter into an express contractual agreement with said third party payor, or with any intermediate organization, including any independent practice association, as required to effect Pathologist’s enrollment as a provider; and/or</w:t>
      </w:r>
    </w:p>
    <w:p>
      <w:pPr>
        <w:sectPr>
          <w:pgSz w:w="11900" w:h="16838" w:orient="portrait"/>
          <w:cols w:equalWidth="0" w:num="1">
            <w:col w:w="11400"/>
          </w:cols>
          <w:pgMar w:left="260" w:top="573" w:right="239" w:bottom="0" w:gutter="0" w:footer="0" w:header="0"/>
        </w:sectPr>
      </w:pPr>
    </w:p>
    <w:bookmarkStart w:id="264" w:name="page265"/>
    <w:bookmarkEnd w:id="264"/>
    <w:p>
      <w:pPr>
        <w:ind w:left="640" w:right="100" w:firstLine="1253"/>
        <w:spacing w:after="0" w:line="289" w:lineRule="auto"/>
        <w:tabs>
          <w:tab w:leader="none" w:pos="256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Enter into an express contractual agreement with Veracyte regarding global billing, capitation or other payment arrangements that cover Veracyte services and pathology services, as necessary to implement the third party payor arrangement.</w:t>
      </w:r>
    </w:p>
    <w:p>
      <w:pPr>
        <w:spacing w:after="0" w:line="158" w:lineRule="exact"/>
        <w:rPr>
          <w:sz w:val="20"/>
          <w:szCs w:val="20"/>
          <w:color w:val="auto"/>
        </w:rPr>
      </w:pPr>
    </w:p>
    <w:p>
      <w:pPr>
        <w:ind w:right="60"/>
        <w:spacing w:after="0" w:line="360" w:lineRule="auto"/>
        <w:rPr>
          <w:sz w:val="20"/>
          <w:szCs w:val="20"/>
          <w:color w:val="auto"/>
        </w:rPr>
      </w:pPr>
      <w:r>
        <w:rPr>
          <w:rFonts w:ascii="Arial" w:cs="Arial" w:eastAsia="Arial" w:hAnsi="Arial"/>
          <w:sz w:val="15"/>
          <w:szCs w:val="15"/>
          <w:color w:val="auto"/>
        </w:rPr>
        <w:t>Notwithstanding any other provision in this Agreement, upon Pathologists’ failure for any reason to take any of the steps above within ten (10) business days after receipt of a written request, Veracyte may engage an additional service provider to provide the Services for patients covered by the third-party payor in question.</w:t>
      </w:r>
    </w:p>
    <w:p>
      <w:pPr>
        <w:spacing w:after="0" w:line="106" w:lineRule="exact"/>
        <w:rPr>
          <w:sz w:val="20"/>
          <w:szCs w:val="20"/>
          <w:color w:val="auto"/>
        </w:rPr>
      </w:pPr>
    </w:p>
    <w:p>
      <w:pPr>
        <w:ind w:left="1260" w:hanging="626"/>
        <w:spacing w:after="0"/>
        <w:tabs>
          <w:tab w:leader="none" w:pos="126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80" w:firstLine="1263"/>
        <w:spacing w:after="0" w:line="273" w:lineRule="auto"/>
        <w:tabs>
          <w:tab w:leader="none" w:pos="1885"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Pathologists shall at its own expense maintain professional errors and omissions policy with limits of at least One Million Dollars ($1,000,000) per claim and Three Million Dollars ($3,000,000) annual aggregate for each Approved Physician. Veracyte shall at its own expense maintain professional malpractice insurance for its laboratory operations with policy limits of at least Three Million Dollars ($3,000,000).</w:t>
      </w:r>
    </w:p>
    <w:p>
      <w:pPr>
        <w:spacing w:after="0" w:line="171" w:lineRule="exact"/>
        <w:rPr>
          <w:rFonts w:ascii="Arial" w:cs="Arial" w:eastAsia="Arial" w:hAnsi="Arial"/>
          <w:sz w:val="17"/>
          <w:szCs w:val="17"/>
          <w:color w:val="auto"/>
        </w:rPr>
      </w:pPr>
    </w:p>
    <w:p>
      <w:pPr>
        <w:ind w:right="20" w:firstLine="1263"/>
        <w:spacing w:after="0" w:line="262" w:lineRule="auto"/>
        <w:tabs>
          <w:tab w:leader="none" w:pos="1895"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Waiver of Subrogation</w:t>
      </w:r>
      <w:r>
        <w:rPr>
          <w:rFonts w:ascii="Arial" w:cs="Arial" w:eastAsia="Arial" w:hAnsi="Arial"/>
          <w:sz w:val="17"/>
          <w:szCs w:val="17"/>
          <w:color w:val="auto"/>
        </w:rPr>
        <w:t>. Whenever (a) any loss, cost, damage or expense resulting from professional malpractice is incurred by either Party and (b) such Party is then covered (or is required under this Agreement to be covered) in whole or in part by insurance with respect to such loss, cost, damage or expense, then the Party so insured hereby releases the other Party from any liability it may have on account of such loss, cost, damage or expense to the extent of any amount recovered by reason of such insurance, and waives any right of subrogation which might otherwise exist on account thereof, provided that such release of liability and waiver of the right to subrogation shall not be operative in any case where the effect thereof is to invalidate such insurance coverage or increase the cost thereof. The Parties shall use their respective best efforts to obtain such a release and waiver of subrogation from their respective insurance carriers and shall obtain any special endorsements, if required by their insurer, to evidence compliance with the aforementioned waiver. The releases granted herein shall include releases of claims caused by negligence.</w:t>
      </w:r>
    </w:p>
    <w:p>
      <w:pPr>
        <w:spacing w:after="0" w:line="174" w:lineRule="exact"/>
        <w:rPr>
          <w:rFonts w:ascii="Arial" w:cs="Arial" w:eastAsia="Arial" w:hAnsi="Arial"/>
          <w:sz w:val="17"/>
          <w:szCs w:val="17"/>
          <w:color w:val="auto"/>
        </w:rPr>
      </w:pPr>
    </w:p>
    <w:p>
      <w:pPr>
        <w:ind w:left="1240" w:hanging="606"/>
        <w:spacing w:after="0"/>
        <w:tabs>
          <w:tab w:leader="none" w:pos="124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180" w:firstLine="1263"/>
        <w:spacing w:after="0" w:line="289" w:lineRule="auto"/>
        <w:tabs>
          <w:tab w:leader="none" w:pos="1885"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Indemnity by Pathologists</w:t>
      </w:r>
      <w:r>
        <w:rPr>
          <w:rFonts w:ascii="Arial" w:cs="Arial" w:eastAsia="Arial" w:hAnsi="Arial"/>
          <w:sz w:val="17"/>
          <w:szCs w:val="17"/>
          <w:color w:val="auto"/>
        </w:rPr>
        <w:t>. Pathologists shall indemnify and defend Veracyte from and against any claims arising out of (i) the breach of this Agreement by Pathologists, and/or_(ii) from Pathologists’ professional errors or omissions.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firstLine="1263"/>
        <w:spacing w:after="0" w:line="300" w:lineRule="auto"/>
        <w:tabs>
          <w:tab w:leader="none" w:pos="1882" w:val="left"/>
        </w:tabs>
        <w:numPr>
          <w:ilvl w:val="2"/>
          <w:numId w:val="264"/>
        </w:numPr>
        <w:rPr>
          <w:rFonts w:ascii="Arial" w:cs="Arial" w:eastAsia="Arial" w:hAnsi="Arial"/>
          <w:sz w:val="15"/>
          <w:szCs w:val="15"/>
          <w:color w:val="auto"/>
        </w:rPr>
      </w:pPr>
      <w:r>
        <w:rPr>
          <w:rFonts w:ascii="Arial" w:cs="Arial" w:eastAsia="Arial" w:hAnsi="Arial"/>
          <w:sz w:val="15"/>
          <w:szCs w:val="15"/>
          <w:u w:val="single" w:color="auto"/>
          <w:color w:val="auto"/>
        </w:rPr>
        <w:t>Indemnity by Veracyte</w:t>
      </w:r>
      <w:r>
        <w:rPr>
          <w:rFonts w:ascii="Arial" w:cs="Arial" w:eastAsia="Arial" w:hAnsi="Arial"/>
          <w:sz w:val="15"/>
          <w:szCs w:val="15"/>
          <w:color w:val="auto"/>
        </w:rPr>
        <w:t>. Veracyte shall indemnify and defend Pathologists against any claims arising out of (i) the breach of this Agreement by Veracyte, (ii) the preparation of any pathology specimens by Veracyte, and/or (iii) the operation of the cytology or molecular laboratories, and/or</w:t>
      </w:r>
    </w:p>
    <w:p>
      <w:pPr>
        <w:ind w:right="200" w:firstLine="5"/>
        <w:spacing w:after="0" w:line="275" w:lineRule="auto"/>
        <w:tabs>
          <w:tab w:leader="none" w:pos="29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wrongful disclosure of any patient protected health information by Veraycte or as a result of any defects in any software or computer system provided or maintained by Veracyte.</w:t>
      </w:r>
    </w:p>
    <w:p>
      <w:pPr>
        <w:spacing w:after="0" w:line="163" w:lineRule="exact"/>
        <w:rPr>
          <w:rFonts w:ascii="Arial" w:cs="Arial" w:eastAsia="Arial" w:hAnsi="Arial"/>
          <w:sz w:val="17"/>
          <w:szCs w:val="17"/>
          <w:color w:val="auto"/>
        </w:rPr>
      </w:pPr>
    </w:p>
    <w:p>
      <w:pPr>
        <w:ind w:left="1260" w:hanging="626"/>
        <w:spacing w:after="0"/>
        <w:tabs>
          <w:tab w:leader="none" w:pos="1260" w:val="left"/>
        </w:tabs>
        <w:numPr>
          <w:ilvl w:val="1"/>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Cooperation between the Parties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20" w:firstLine="1263"/>
        <w:spacing w:after="0" w:line="281" w:lineRule="auto"/>
        <w:tabs>
          <w:tab w:leader="none" w:pos="1885" w:val="left"/>
        </w:tabs>
        <w:numPr>
          <w:ilvl w:val="2"/>
          <w:numId w:val="265"/>
        </w:numPr>
        <w:rPr>
          <w:rFonts w:ascii="Arial" w:cs="Arial" w:eastAsia="Arial" w:hAnsi="Arial"/>
          <w:sz w:val="16"/>
          <w:szCs w:val="16"/>
          <w:color w:val="auto"/>
        </w:rPr>
      </w:pPr>
      <w:r>
        <w:rPr>
          <w:rFonts w:ascii="Arial" w:cs="Arial" w:eastAsia="Arial" w:hAnsi="Arial"/>
          <w:sz w:val="16"/>
          <w:szCs w:val="16"/>
          <w:u w:val="single" w:color="auto"/>
          <w:color w:val="auto"/>
        </w:rPr>
        <w:t>General Duty to Cooperate</w:t>
      </w:r>
      <w:r>
        <w:rPr>
          <w:rFonts w:ascii="Arial" w:cs="Arial" w:eastAsia="Arial" w:hAnsi="Arial"/>
          <w:sz w:val="16"/>
          <w:szCs w:val="16"/>
          <w:color w:val="auto"/>
        </w:rPr>
        <w:t>. The Parties: (1) shall interact professionally, positively and respectfully with each other and with all of their respective employees and contractors; (2) shall not in any way intentionally disparage or otherwise communicate to third parties negative facts, statements or opinions regarding the other and their respective Board members, partners, employees or business; and (3) shall at all times perform the Services in a manner that is in the best interests of Veracyte and in the best interests and safety of patients. Pathologists agree to reasonably cooperate with Veracyte in: any pending or future government or payor investigation; any litigation, arbitration or other dispute resolution involving Veracyte; and any internal investigation Veracyte may conduct. Veracyte shall reimburse Pathologists for all expenses reasonably incurred by Pathologists in compliance with this Section 12(a), except that Veracyte shall not pay Pathologists for Pathologists’ expenses in any dispute resolution where Pathologists are a co-defendant in an action brought by a third party.</w:t>
      </w:r>
    </w:p>
    <w:p>
      <w:pPr>
        <w:spacing w:after="0" w:line="170" w:lineRule="exact"/>
        <w:rPr>
          <w:rFonts w:ascii="Arial" w:cs="Arial" w:eastAsia="Arial" w:hAnsi="Arial"/>
          <w:sz w:val="16"/>
          <w:szCs w:val="16"/>
          <w:color w:val="auto"/>
        </w:rPr>
      </w:pPr>
    </w:p>
    <w:p>
      <w:pPr>
        <w:ind w:right="20" w:firstLine="1263"/>
        <w:spacing w:after="0" w:line="283" w:lineRule="auto"/>
        <w:tabs>
          <w:tab w:leader="none" w:pos="1960" w:val="left"/>
        </w:tabs>
        <w:numPr>
          <w:ilvl w:val="2"/>
          <w:numId w:val="265"/>
        </w:numPr>
        <w:rPr>
          <w:rFonts w:ascii="Arial" w:cs="Arial" w:eastAsia="Arial" w:hAnsi="Arial"/>
          <w:sz w:val="16"/>
          <w:szCs w:val="16"/>
          <w:color w:val="auto"/>
        </w:rPr>
      </w:pPr>
      <w:r>
        <w:rPr>
          <w:rFonts w:ascii="Arial" w:cs="Arial" w:eastAsia="Arial" w:hAnsi="Arial"/>
          <w:sz w:val="16"/>
          <w:szCs w:val="16"/>
          <w:u w:val="single" w:color="auto"/>
          <w:color w:val="auto"/>
        </w:rPr>
        <w:t>Claim Resolution</w:t>
      </w:r>
      <w:r>
        <w:rPr>
          <w:rFonts w:ascii="Arial" w:cs="Arial" w:eastAsia="Arial" w:hAnsi="Arial"/>
          <w:sz w:val="16"/>
          <w:szCs w:val="16"/>
          <w:color w:val="auto"/>
        </w:rPr>
        <w:t>. The Parties recognize that, during the term of this Agreement and for a period thereafter, certain risk management issues, legal issues, claims or actions may arise that involve or could potentially involve the Parties and their respective employees and agents. The Parties further recognize the importance of cooperating with each other in good faith when such issues, claims or actions arise, to the extent such cooperation does not violate any applicable laws, cause the breach of any duties created by any policies of insurance or programs of self-insurance, or otherwise compromise the confidentiality of communications or information regarding the issues, claims or actions. As such, the Parties hereby agree to cooperate in good faith, using their best efforts, to address such risk management and claims handling issues in a manner that strongly encourages full cooperation between the Parties.</w:t>
      </w:r>
    </w:p>
    <w:p>
      <w:pPr>
        <w:spacing w:after="0" w:line="160" w:lineRule="exact"/>
        <w:rPr>
          <w:rFonts w:ascii="Arial" w:cs="Arial" w:eastAsia="Arial" w:hAnsi="Arial"/>
          <w:sz w:val="16"/>
          <w:szCs w:val="16"/>
          <w:color w:val="auto"/>
        </w:rPr>
      </w:pPr>
    </w:p>
    <w:p>
      <w:pPr>
        <w:ind w:left="1260" w:hanging="626"/>
        <w:spacing w:after="0"/>
        <w:tabs>
          <w:tab w:leader="none" w:pos="1260" w:val="left"/>
        </w:tabs>
        <w:numPr>
          <w:ilvl w:val="1"/>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Noncompetition/Nonsolicitation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firstLine="1263"/>
        <w:spacing w:after="0" w:line="289" w:lineRule="auto"/>
        <w:tabs>
          <w:tab w:leader="none" w:pos="1885" w:val="left"/>
        </w:tabs>
        <w:numPr>
          <w:ilvl w:val="2"/>
          <w:numId w:val="26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During the term of this Agreement, Pathologists shall not, without first obtaining the prior written consent of Veracyte, provide cytopathologic studies of thyroid specimens unless the specimens are sourced from an entity listed on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180" w:firstLine="1263"/>
        <w:spacing w:after="0" w:line="273" w:lineRule="auto"/>
        <w:tabs>
          <w:tab w:leader="none" w:pos="1895" w:val="left"/>
        </w:tabs>
        <w:numPr>
          <w:ilvl w:val="2"/>
          <w:numId w:val="265"/>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Each Party agrees that during the term of the Agreement and for two (2) years after the termination for any reason, it will not solicit the employment of any employee or contractor of the other Party. Furthermore, Veracyte may not directly or indirectly employ, engage or use the services of any physician who Veracyte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required that the Pathologists remove from providing Services hereunder.</w:t>
      </w:r>
    </w:p>
    <w:p>
      <w:pPr>
        <w:spacing w:after="0" w:line="218" w:lineRule="exact"/>
        <w:rPr>
          <w:sz w:val="20"/>
          <w:szCs w:val="20"/>
          <w:color w:val="auto"/>
        </w:rPr>
      </w:pPr>
    </w:p>
    <w:p>
      <w:pPr>
        <w:ind w:left="1260" w:hanging="626"/>
        <w:spacing w:after="0"/>
        <w:tabs>
          <w:tab w:leader="none" w:pos="1260"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60" w:firstLine="1263"/>
        <w:spacing w:after="0" w:line="305" w:lineRule="auto"/>
        <w:tabs>
          <w:tab w:leader="none" w:pos="1885"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Each Party recognizes and acknowledges that, by virtue of entering into this Agreement and performing their respective obligations hereunder, each Party may have access to certain information of the other Party that is confidential and constitutes proprietary, valuable, special and unique property of the other Party. The Parties agree that they shall not at any time, either during or subsequent to the term of this Agreement, disclose to others, use, copy or permit to be copied, without the express prior written consent of the other Party whose confidential information is so disclosed or used, except pursuant to the performance of such Party’s duties thereunder, any confidential or proprietary information of the other Party, including, but not limited to, information which concerns clients and their respective patients, costs, or methods of operation or marketing, and which is not otherwise available to the public.</w:t>
      </w:r>
    </w:p>
    <w:p>
      <w:pPr>
        <w:spacing w:after="0" w:line="153" w:lineRule="exact"/>
        <w:rPr>
          <w:rFonts w:ascii="Arial" w:cs="Arial" w:eastAsia="Arial" w:hAnsi="Arial"/>
          <w:sz w:val="15"/>
          <w:szCs w:val="15"/>
          <w:color w:val="auto"/>
        </w:rPr>
      </w:pPr>
    </w:p>
    <w:p>
      <w:pPr>
        <w:ind w:firstLine="1263"/>
        <w:spacing w:after="0" w:line="273" w:lineRule="auto"/>
        <w:tabs>
          <w:tab w:leader="none" w:pos="1895"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Disclosure of Terms of this Agreement</w:t>
      </w:r>
      <w:r>
        <w:rPr>
          <w:rFonts w:ascii="Arial" w:cs="Arial" w:eastAsia="Arial" w:hAnsi="Arial"/>
          <w:sz w:val="17"/>
          <w:szCs w:val="17"/>
          <w:color w:val="auto"/>
        </w:rPr>
        <w:t>. Except for disclosure to a Party’s legal counsel, accountants or financial advisors, neither Party shall disclose the terms of this Agreement to any person who is not a party or signatory, unless disclosure thereof is required by law or otherwise authorized by this Agreement or consented to in writing by the other Party.</w:t>
      </w:r>
    </w:p>
    <w:p>
      <w:pPr>
        <w:sectPr>
          <w:pgSz w:w="11900" w:h="16838" w:orient="portrait"/>
          <w:cols w:equalWidth="0" w:num="1">
            <w:col w:w="11420"/>
          </w:cols>
          <w:pgMar w:left="240" w:top="127" w:right="239" w:bottom="0" w:gutter="0" w:footer="0" w:header="0"/>
        </w:sectPr>
      </w:pPr>
    </w:p>
    <w:bookmarkStart w:id="265" w:name="page266"/>
    <w:bookmarkEnd w:id="265"/>
    <w:p>
      <w:pPr>
        <w:ind w:right="40" w:firstLine="1263"/>
        <w:spacing w:after="0" w:line="262" w:lineRule="auto"/>
        <w:tabs>
          <w:tab w:leader="none" w:pos="1898"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Patient Information</w:t>
      </w:r>
      <w:r>
        <w:rPr>
          <w:rFonts w:ascii="Arial" w:cs="Arial" w:eastAsia="Arial" w:hAnsi="Arial"/>
          <w:sz w:val="17"/>
          <w:szCs w:val="17"/>
          <w:color w:val="auto"/>
        </w:rPr>
        <w:t xml:space="preserve">. Pathologists shall not disclose to any third party, except where permitted or required by law or where such disclosure is expressly approved by Veracyte in writing, any patient or medical record information regarding patients of Veracyte, and Pathologists shall comply with all federal and state laws and regulations regarding the confidentiality of such information. Pathologists acknowledge and agree that it shall be deemed to constitute a “business associate” of Veracyte as such term is defined in the Health Insurance Portability and Accountability Act of 1996, as amended by the Health Information, Technology for Economic and Clinical Health Act of 2009 (collectively, “HIPAA”). Accordingly, Pathologists shall comply with all applicable provisions of HIPAA and the regulations and rules promulgated thereto, including, without limitation, executing and delivering to Veracyte a business associate agreement in the form as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this Section 14 shall survive expiration or other termination of this Agreement, regardless of the cause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such termination.</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120" w:firstLine="1263"/>
        <w:spacing w:after="0" w:line="268" w:lineRule="auto"/>
        <w:tabs>
          <w:tab w:leader="none" w:pos="1885"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performance of all work, duties and obligations under this Agreement, Pathologists are at all times acting and performing as independent contractors practicing the profession of medicine. Veracyte shall have no control or direction over the methods by which Pathologists perform the work and functions required by this Agreement. Pathologists have sole responsibility for the recruitment, retention and compensation of physicians providing Services under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63"/>
        <w:spacing w:after="0" w:line="273" w:lineRule="auto"/>
        <w:tabs>
          <w:tab w:leader="none" w:pos="1895"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Tradename</w:t>
      </w:r>
      <w:r>
        <w:rPr>
          <w:rFonts w:ascii="Arial" w:cs="Arial" w:eastAsia="Arial" w:hAnsi="Arial"/>
          <w:sz w:val="17"/>
          <w:szCs w:val="17"/>
          <w:color w:val="auto"/>
        </w:rPr>
        <w:t>. To the extent that Pathologists adopt a legal name, tradename and/or servicemark that is derivative of “Veracyte,” use of such derivative shall be subject to Veracyte’s prior written approval and subject to a revocable license granted by Veracyte, which license shall be revoked and terminate upon termination or expiration of this Agreement.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Texas.</w:t>
      </w:r>
    </w:p>
    <w:p>
      <w:pPr>
        <w:spacing w:after="0" w:line="224" w:lineRule="exact"/>
        <w:rPr>
          <w:rFonts w:ascii="Arial" w:cs="Arial" w:eastAsia="Arial" w:hAnsi="Arial"/>
          <w:sz w:val="17"/>
          <w:szCs w:val="17"/>
          <w:color w:val="auto"/>
        </w:rPr>
      </w:pPr>
    </w:p>
    <w:p>
      <w:pPr>
        <w:jc w:val="both"/>
        <w:ind w:firstLine="1263"/>
        <w:spacing w:after="0" w:line="273" w:lineRule="auto"/>
        <w:tabs>
          <w:tab w:leader="none" w:pos="1895"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assignment of this Agreement or the rights and obligation hereunder shall be valid without the specific written consent of both Parties hereto. This is not a third party beneficiary agreement. Notwithstanding the foregoing, the Parties agree that either Party may assign this Agreement to any entity which is controlled by or under common control with that Party.</w:t>
      </w:r>
    </w:p>
    <w:p>
      <w:pPr>
        <w:spacing w:after="0" w:line="171" w:lineRule="exact"/>
        <w:rPr>
          <w:rFonts w:ascii="Arial" w:cs="Arial" w:eastAsia="Arial" w:hAnsi="Arial"/>
          <w:sz w:val="17"/>
          <w:szCs w:val="17"/>
          <w:color w:val="auto"/>
        </w:rPr>
      </w:pPr>
    </w:p>
    <w:p>
      <w:pPr>
        <w:ind w:right="100" w:firstLine="1263"/>
        <w:spacing w:after="0" w:line="289" w:lineRule="auto"/>
        <w:tabs>
          <w:tab w:leader="none" w:pos="1898"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any other communications required or permitted hereunder shall be in writing and shall be deemed to have been duly delivered in person or if sent by registered or certified first class United States mail, postage prepaid to:</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If to Veracyte:</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Bonnie Anderson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Donna Petkanics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If to Pathologists:</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Brazos Valley Pathology, P.A.</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Pathology Resource Consultants, L.P.</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Buda, Texas 78610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Robert Flanakin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Selman, Munson &amp; Lerner, P.C.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Barton Oaks Plaza Four, Suite 200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901 South Mopac Expressway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Austin, Texas 78746</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Kenneth D. Lerner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 undersigned may from time to time change said addresses by written notice to the other Party as provided in this Agreement.</w:t>
      </w:r>
    </w:p>
    <w:p>
      <w:pPr>
        <w:spacing w:after="0" w:line="224" w:lineRule="exact"/>
        <w:rPr>
          <w:sz w:val="20"/>
          <w:szCs w:val="20"/>
          <w:color w:val="auto"/>
        </w:rPr>
      </w:pPr>
    </w:p>
    <w:p>
      <w:pPr>
        <w:ind w:right="280" w:firstLine="1263"/>
        <w:spacing w:after="0" w:line="289" w:lineRule="auto"/>
        <w:tabs>
          <w:tab w:leader="none" w:pos="1892"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complete, full and exclusive understanding of the Parties with respect to the subject matter hereof and supersedes any and all other agreements between the Parties with respect to this subject matter.</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All headings are for convenience only and shall not be construed to modify the substance of this Agreement.</w:t>
      </w:r>
    </w:p>
    <w:p>
      <w:pPr>
        <w:sectPr>
          <w:pgSz w:w="11900" w:h="16838" w:orient="portrait"/>
          <w:cols w:equalWidth="0" w:num="1">
            <w:col w:w="11400"/>
          </w:cols>
          <w:pgMar w:left="240" w:top="337" w:right="259" w:bottom="88" w:gutter="0" w:footer="0" w:header="0"/>
        </w:sectPr>
      </w:pPr>
    </w:p>
    <w:bookmarkStart w:id="266" w:name="page267"/>
    <w:bookmarkEnd w:id="266"/>
    <w:p>
      <w:pPr>
        <w:ind w:right="400" w:firstLine="1263"/>
        <w:spacing w:after="0" w:line="289" w:lineRule="auto"/>
        <w:tabs>
          <w:tab w:leader="none" w:pos="189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Any amendments, additions or supplements to this Agreement shall be effective and binding on the Parties only if in writing and signed by each Party to this Agreement.</w:t>
      </w:r>
    </w:p>
    <w:p>
      <w:pPr>
        <w:spacing w:after="0" w:line="158" w:lineRule="exact"/>
        <w:rPr>
          <w:rFonts w:ascii="Arial" w:cs="Arial" w:eastAsia="Arial" w:hAnsi="Arial"/>
          <w:sz w:val="17"/>
          <w:szCs w:val="17"/>
          <w:color w:val="auto"/>
        </w:rPr>
      </w:pPr>
    </w:p>
    <w:p>
      <w:pPr>
        <w:ind w:right="180" w:firstLine="1263"/>
        <w:spacing w:after="0" w:line="268" w:lineRule="auto"/>
        <w:tabs>
          <w:tab w:leader="none" w:pos="1909"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found to be invalid or unenforceable, such provision shall be deemed stricken from this Agreement and the remainder of this Agreement shall remain in full force and effect. The Parties shall negotiate in good faith to amend the Agreement to replace any provision found to be invalid or unenforceable with a valid and enforceable provision which, as nearly as possible, accomplishes the original objectives of the Parties.</w:t>
      </w:r>
    </w:p>
    <w:p>
      <w:pPr>
        <w:spacing w:after="0" w:line="175"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One or more waivers by either Party of a breach of this Agreement by the other Party shall not be construed as a waiver of further breaches of this Agreement.</w:t>
      </w:r>
    </w:p>
    <w:p>
      <w:pPr>
        <w:spacing w:after="0" w:line="158" w:lineRule="exact"/>
        <w:rPr>
          <w:rFonts w:ascii="Arial" w:cs="Arial" w:eastAsia="Arial" w:hAnsi="Arial"/>
          <w:sz w:val="17"/>
          <w:szCs w:val="17"/>
          <w:color w:val="auto"/>
        </w:rPr>
      </w:pPr>
    </w:p>
    <w:p>
      <w:pPr>
        <w:ind w:right="640" w:firstLine="1263"/>
        <w:spacing w:after="0" w:line="289" w:lineRule="auto"/>
        <w:tabs>
          <w:tab w:leader="none" w:pos="189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Inurement</w:t>
      </w:r>
      <w:r>
        <w:rPr>
          <w:rFonts w:ascii="Arial" w:cs="Arial" w:eastAsia="Arial" w:hAnsi="Arial"/>
          <w:sz w:val="17"/>
          <w:szCs w:val="17"/>
          <w:color w:val="auto"/>
        </w:rPr>
        <w:t>. This Agreement shall be binding upon and shall inure to the benefit of each of the Parties hereto, their heirs, estates, spouses, executors, administrators, partners, successors and assigns.</w:t>
      </w:r>
    </w:p>
    <w:p>
      <w:pPr>
        <w:spacing w:after="0" w:line="158" w:lineRule="exact"/>
        <w:rPr>
          <w:rFonts w:ascii="Arial" w:cs="Arial" w:eastAsia="Arial" w:hAnsi="Arial"/>
          <w:sz w:val="17"/>
          <w:szCs w:val="17"/>
          <w:color w:val="auto"/>
        </w:rPr>
      </w:pPr>
    </w:p>
    <w:p>
      <w:pPr>
        <w:ind w:right="160" w:firstLine="1263"/>
        <w:spacing w:after="0" w:line="289" w:lineRule="auto"/>
        <w:tabs>
          <w:tab w:leader="none" w:pos="1909"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Multiple Counterparts</w:t>
      </w:r>
      <w:r>
        <w:rPr>
          <w:rFonts w:ascii="Arial" w:cs="Arial" w:eastAsia="Arial" w:hAnsi="Arial"/>
          <w:sz w:val="17"/>
          <w:szCs w:val="17"/>
          <w:color w:val="auto"/>
        </w:rPr>
        <w:t>. This Agreement may be executed in multiple counterparts, each of which shall be deemed an original and each alone and all together shall constitute one and the same instrument.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sz w:val="20"/>
          <w:szCs w:val="20"/>
          <w:color w:val="auto"/>
        </w:rPr>
      </w:pPr>
    </w:p>
    <w:p>
      <w:pPr>
        <w:ind w:left="640" w:right="80" w:firstLine="1253"/>
        <w:spacing w:after="0" w:line="273" w:lineRule="auto"/>
        <w:tabs>
          <w:tab w:leader="none" w:pos="254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controversy or claim arising out of or relating to this Agreement shall be settled by binding arbitration in accordance with the applicable rules of the American Arbitration Association or a successor organization (the “Arbitration Company”), or such other rules as may be agreed upon by the Parties, and</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judgment upon the award rendered by the arbitrators may be entered in any court having jurisdiction thereof, subject to the following terms, conditions, and exceptions:</w:t>
      </w:r>
    </w:p>
    <w:p>
      <w:pPr>
        <w:spacing w:after="0" w:line="158" w:lineRule="exact"/>
        <w:rPr>
          <w:sz w:val="20"/>
          <w:szCs w:val="20"/>
          <w:color w:val="auto"/>
        </w:rPr>
      </w:pPr>
    </w:p>
    <w:p>
      <w:pPr>
        <w:ind w:left="640" w:right="220" w:firstLine="1253"/>
        <w:spacing w:after="0" w:line="273" w:lineRule="auto"/>
        <w:tabs>
          <w:tab w:leader="none" w:pos="255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There shall be one (1) arbitrator agreed to by the Parties from the Arbitration Company or, if the Parties cannot agree on one arbitrator, there shall be three (3) arbitrators whose selection shall be made in accordance with the procedures then existing for the selection of such arbitrators by the Arbitration Company.</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venue of any arbitration shall be Travis County, Texas, and the arbitration shall be conducted in accordance with the laws</w:t>
      </w:r>
    </w:p>
    <w:p>
      <w:pPr>
        <w:spacing w:after="0" w:line="49"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of the State of Texas.</w:t>
      </w:r>
    </w:p>
    <w:p>
      <w:pPr>
        <w:spacing w:after="0" w:line="212" w:lineRule="exact"/>
        <w:rPr>
          <w:rFonts w:ascii="Arial" w:cs="Arial" w:eastAsia="Arial" w:hAnsi="Arial"/>
          <w:sz w:val="15"/>
          <w:szCs w:val="15"/>
          <w:color w:val="auto"/>
        </w:rPr>
      </w:pPr>
    </w:p>
    <w:p>
      <w:pPr>
        <w:ind w:left="640" w:right="60" w:firstLine="1253"/>
        <w:spacing w:after="0" w:line="298" w:lineRule="auto"/>
        <w:tabs>
          <w:tab w:leader="none" w:pos="25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Notwithstanding any provision of Texas law or the applicable rules of the Arbitration Company to the contrary, each Party shall have all of the rights of discovery pertaining to civil litigation as provided in Texas law. Unless the Parties otherwise agree in writing, any arbitration hereunder shall be conducted in accordance with the rules of evidence existing in the State of Texas at the time of the arbitration.</w:t>
      </w:r>
    </w:p>
    <w:p>
      <w:pPr>
        <w:spacing w:after="0" w:line="153" w:lineRule="exact"/>
        <w:rPr>
          <w:rFonts w:ascii="Arial" w:cs="Arial" w:eastAsia="Arial" w:hAnsi="Arial"/>
          <w:sz w:val="16"/>
          <w:szCs w:val="16"/>
          <w:color w:val="auto"/>
        </w:rPr>
      </w:pPr>
    </w:p>
    <w:p>
      <w:pPr>
        <w:ind w:left="640" w:right="120" w:firstLine="1253"/>
        <w:spacing w:after="0" w:line="298" w:lineRule="auto"/>
        <w:tabs>
          <w:tab w:leader="none" w:pos="253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Each of the Parties will share equally in the costs and expenses of arbitration unless the arbitrators find that the position of the non-prevailing Party in such arbitration was without substantial justification, in which event the arbitrators may assess all or an unequal portion of such costs and expenses together with reasonable attorneys’ fees against the non-prevailing Party, as the arbitrators deem equitable.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first written above.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PATHOLOGISTS</w:t>
            </w:r>
          </w:p>
        </w:tc>
        <w:tc>
          <w:tcPr>
            <w:tcW w:w="5800" w:type="dxa"/>
            <w:vAlign w:val="bottom"/>
            <w:gridSpan w:val="2"/>
          </w:tcPr>
          <w:p>
            <w:pPr>
              <w:ind w:left="220"/>
              <w:spacing w:after="0"/>
              <w:rPr>
                <w:sz w:val="20"/>
                <w:szCs w:val="20"/>
                <w:color w:val="auto"/>
              </w:rPr>
            </w:pPr>
            <w:r>
              <w:rPr>
                <w:rFonts w:ascii="Arial" w:cs="Arial" w:eastAsia="Arial" w:hAnsi="Arial"/>
                <w:sz w:val="17"/>
                <w:szCs w:val="17"/>
                <w:b w:val="1"/>
                <w:bCs w:val="1"/>
                <w:color w:val="auto"/>
              </w:rPr>
              <w:t>VERACYTE, INC.</w:t>
            </w:r>
          </w:p>
        </w:tc>
        <w:tc>
          <w:tcPr>
            <w:tcW w:w="40" w:type="dxa"/>
            <w:vAlign w:val="bottom"/>
          </w:tcPr>
          <w:p>
            <w:pPr>
              <w:spacing w:after="0"/>
              <w:rPr>
                <w:sz w:val="19"/>
                <w:szCs w:val="19"/>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17"/>
                <w:szCs w:val="17"/>
                <w:color w:val="auto"/>
              </w:rPr>
              <w:t>BRAZOS VALLEY PATHOLOGY, P.A.</w:t>
            </w:r>
          </w:p>
        </w:tc>
        <w:tc>
          <w:tcPr>
            <w:tcW w:w="7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7"/>
                <w:szCs w:val="17"/>
                <w:color w:val="auto"/>
              </w:rPr>
              <w:t>D/B/A REITPATH</w:t>
            </w:r>
          </w:p>
        </w:tc>
        <w:tc>
          <w:tcPr>
            <w:tcW w:w="7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Flanakin</w:t>
            </w:r>
          </w:p>
        </w:tc>
        <w:tc>
          <w:tcPr>
            <w:tcW w:w="720" w:type="dxa"/>
            <w:vAlign w:val="bottom"/>
          </w:tcPr>
          <w:p>
            <w:pPr>
              <w:ind w:left="2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4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7"/>
                <w:szCs w:val="17"/>
                <w:color w:val="auto"/>
              </w:rPr>
              <w:t>Its:</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720" w:type="dxa"/>
            <w:vAlign w:val="bottom"/>
          </w:tcPr>
          <w:p>
            <w:pPr>
              <w:ind w:left="220"/>
              <w:spacing w:after="0"/>
              <w:rPr>
                <w:sz w:val="20"/>
                <w:szCs w:val="20"/>
                <w:color w:val="auto"/>
              </w:rPr>
            </w:pPr>
            <w:r>
              <w:rPr>
                <w:rFonts w:ascii="Arial" w:cs="Arial" w:eastAsia="Arial" w:hAnsi="Arial"/>
                <w:sz w:val="17"/>
                <w:szCs w:val="17"/>
                <w:color w:val="auto"/>
              </w:rPr>
              <w:t>Its:</w:t>
            </w:r>
          </w:p>
        </w:tc>
        <w:tc>
          <w:tcPr>
            <w:tcW w:w="508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24"/>
                <w:szCs w:val="24"/>
                <w:color w:val="auto"/>
              </w:rPr>
            </w:pPr>
          </w:p>
        </w:tc>
      </w:tr>
      <w:tr>
        <w:trPr>
          <w:trHeight w:val="413"/>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jc w:val="right"/>
              <w:ind w:right="453"/>
              <w:spacing w:after="0"/>
              <w:rPr>
                <w:sz w:val="20"/>
                <w:szCs w:val="20"/>
                <w:color w:val="auto"/>
              </w:rPr>
            </w:pPr>
            <w:r>
              <w:rPr>
                <w:rFonts w:ascii="Arial" w:cs="Arial" w:eastAsia="Arial" w:hAnsi="Arial"/>
                <w:sz w:val="17"/>
                <w:szCs w:val="17"/>
                <w:color w:val="auto"/>
                <w:w w:val="84"/>
              </w:rPr>
              <w:t>15</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2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EXCEPTIONS TO EXCLUSIVITY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416" w:gutter="0" w:footer="0" w:header="0"/>
        </w:sectPr>
      </w:pPr>
    </w:p>
    <w:bookmarkStart w:id="267" w:name="page268"/>
    <w:bookmarkEnd w:id="267"/>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APPROVED PHYSICIANS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Dr. Jacki Abrams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Catherine McNeese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Katie O’Reilly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Stephen T. Traweek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Alex Van Amerongen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Carola Zalles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PATHOLOGY SERVICES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COVERED STATES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Colorado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Carolina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Jersey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South Carolina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Arizona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Illinois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Ohio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District of Columbia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January 1,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Georgia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Wisconsin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York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January 1,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Minnesota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Tennessee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28"/>
        </w:trPr>
        <w:tc>
          <w:tcPr>
            <w:tcW w:w="19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ind w:left="1340"/>
              <w:spacing w:after="0"/>
              <w:rPr>
                <w:sz w:val="20"/>
                <w:szCs w:val="20"/>
                <w:color w:val="auto"/>
              </w:rPr>
            </w:pPr>
            <w:r>
              <w:rPr>
                <w:rFonts w:ascii="Arial" w:cs="Arial" w:eastAsia="Arial" w:hAnsi="Arial"/>
                <w:sz w:val="17"/>
                <w:szCs w:val="17"/>
                <w:b w:val="1"/>
                <w:bCs w:val="1"/>
                <w:color w:val="auto"/>
                <w:w w:val="93"/>
              </w:rPr>
              <w:t>* Confidential material redacted and filed separately with the Commission.</w:t>
            </w: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7"/>
                <w:szCs w:val="17"/>
                <w:b w:val="1"/>
                <w:bCs w:val="1"/>
                <w:color w:val="auto"/>
              </w:rPr>
              <w:t>EXHIBIT E</w:t>
            </w: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7"/>
                <w:szCs w:val="17"/>
                <w:b w:val="1"/>
                <w:bCs w:val="1"/>
                <w:color w:val="auto"/>
              </w:rPr>
              <w:t>FEE SCHEDULE</w:t>
            </w:r>
          </w:p>
        </w:tc>
        <w:tc>
          <w:tcPr>
            <w:tcW w:w="0" w:type="dxa"/>
            <w:vAlign w:val="bottom"/>
          </w:tcPr>
          <w:p>
            <w:pPr>
              <w:spacing w:after="0"/>
              <w:rPr>
                <w:sz w:val="1"/>
                <w:szCs w:val="1"/>
                <w:color w:val="auto"/>
              </w:rPr>
            </w:pPr>
          </w:p>
        </w:tc>
      </w:tr>
      <w:tr>
        <w:trPr>
          <w:trHeight w:val="354"/>
        </w:trPr>
        <w:tc>
          <w:tcPr>
            <w:tcW w:w="3840" w:type="dxa"/>
            <w:vAlign w:val="bottom"/>
            <w:gridSpan w:val="3"/>
          </w:tcPr>
          <w:p>
            <w:pPr>
              <w:ind w:left="1900"/>
              <w:spacing w:after="0"/>
              <w:rPr>
                <w:sz w:val="20"/>
                <w:szCs w:val="20"/>
                <w:color w:val="auto"/>
              </w:rPr>
            </w:pPr>
            <w:r>
              <w:rPr>
                <w:rFonts w:ascii="Arial" w:cs="Arial" w:eastAsia="Arial" w:hAnsi="Arial"/>
                <w:sz w:val="14"/>
                <w:szCs w:val="14"/>
                <w:b w:val="1"/>
                <w:bCs w:val="1"/>
                <w:color w:val="auto"/>
              </w:rPr>
              <w:t>CPT Code</w:t>
            </w:r>
          </w:p>
        </w:tc>
        <w:tc>
          <w:tcPr>
            <w:tcW w:w="640" w:type="dxa"/>
            <w:vAlign w:val="bottom"/>
          </w:tcPr>
          <w:p>
            <w:pPr>
              <w:spacing w:after="0"/>
              <w:rPr>
                <w:sz w:val="24"/>
                <w:szCs w:val="24"/>
                <w:color w:val="auto"/>
              </w:rPr>
            </w:pPr>
          </w:p>
        </w:tc>
        <w:tc>
          <w:tcPr>
            <w:tcW w:w="6980" w:type="dxa"/>
            <w:vAlign w:val="bottom"/>
            <w:gridSpan w:val="3"/>
          </w:tcPr>
          <w:p>
            <w:pPr>
              <w:ind w:left="600"/>
              <w:spacing w:after="0"/>
              <w:rPr>
                <w:sz w:val="20"/>
                <w:szCs w:val="20"/>
                <w:color w:val="auto"/>
              </w:rPr>
            </w:pPr>
            <w:r>
              <w:rPr>
                <w:rFonts w:ascii="Arial" w:cs="Arial" w:eastAsia="Arial" w:hAnsi="Arial"/>
                <w:sz w:val="14"/>
                <w:szCs w:val="14"/>
                <w:b w:val="1"/>
                <w:bCs w:val="1"/>
                <w:color w:val="auto"/>
              </w:rPr>
              <w:t>Fee Per Specimen (“Fee”)</w:t>
            </w:r>
          </w:p>
        </w:tc>
        <w:tc>
          <w:tcPr>
            <w:tcW w:w="0" w:type="dxa"/>
            <w:vAlign w:val="bottom"/>
          </w:tcPr>
          <w:p>
            <w:pPr>
              <w:spacing w:after="0"/>
              <w:rPr>
                <w:sz w:val="1"/>
                <w:szCs w:val="1"/>
                <w:color w:val="auto"/>
              </w:rPr>
            </w:pPr>
          </w:p>
        </w:tc>
      </w:tr>
      <w:tr>
        <w:trPr>
          <w:trHeight w:val="203"/>
        </w:trPr>
        <w:tc>
          <w:tcPr>
            <w:tcW w:w="1900" w:type="dxa"/>
            <w:vAlign w:val="bottom"/>
            <w:vMerge w:val="restart"/>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88173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-1391920</wp:posOffset>
            </wp:positionV>
            <wp:extent cx="12700"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-1391920</wp:posOffset>
            </wp:positionV>
            <wp:extent cx="12700"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7"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Veracyte and the Pathologists agree to periodically review the fees and make adjustments, if necessary, in an attempt to keep such fee(s) fair and of value to both parties.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101" w:gutter="0" w:footer="0" w:header="0"/>
        </w:sectPr>
      </w:pPr>
    </w:p>
    <w:bookmarkStart w:id="268" w:name="page269"/>
    <w:bookmarkEnd w:id="268"/>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PERMITTED REFERRAL 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St. Joseph Health System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Seton Healthcare Network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Trinity Mother Frances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College Station Medical Center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Central Texas Digestive Disease Association, P.A.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Lakeside Hospital at Bastrop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Clinical Pathology Laboratories,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Bellville General Hospital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Brenham Clinic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Scott &amp; White Hospital - Brenham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Physician Centre Hospital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BioMat USA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Richards Memorial Hospital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 ASSOCIATE AGREEMENT</w:t>
      </w:r>
    </w:p>
    <w:p>
      <w:pPr>
        <w:spacing w:after="0" w:line="224" w:lineRule="exact"/>
        <w:rPr>
          <w:sz w:val="20"/>
          <w:szCs w:val="20"/>
          <w:color w:val="auto"/>
        </w:rPr>
      </w:pPr>
    </w:p>
    <w:p>
      <w:pPr>
        <w:ind w:right="460" w:firstLine="629"/>
        <w:spacing w:after="0" w:line="277" w:lineRule="auto"/>
        <w:rPr>
          <w:sz w:val="20"/>
          <w:szCs w:val="20"/>
          <w:color w:val="auto"/>
        </w:rPr>
      </w:pPr>
      <w:r>
        <w:rPr>
          <w:rFonts w:ascii="Arial" w:cs="Arial" w:eastAsia="Arial" w:hAnsi="Arial"/>
          <w:sz w:val="17"/>
          <w:szCs w:val="17"/>
          <w:color w:val="auto"/>
        </w:rPr>
        <w:t xml:space="preserve">This Business Associate Agreement (the “Agreement”) is made by and among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California corporation (herein referred to as “Covered Entity”) and </w:t>
      </w:r>
      <w:r>
        <w:rPr>
          <w:rFonts w:ascii="Arial" w:cs="Arial" w:eastAsia="Arial" w:hAnsi="Arial"/>
          <w:sz w:val="17"/>
          <w:szCs w:val="17"/>
          <w:b w:val="1"/>
          <w:bCs w:val="1"/>
          <w:color w:val="auto"/>
        </w:rPr>
        <w:t>BRAZOS VALLEY PATHOLOGY, P.A. D/B/A REITPATH,</w:t>
      </w:r>
      <w:r>
        <w:rPr>
          <w:rFonts w:ascii="Arial" w:cs="Arial" w:eastAsia="Arial" w:hAnsi="Arial"/>
          <w:sz w:val="17"/>
          <w:szCs w:val="17"/>
          <w:color w:val="auto"/>
        </w:rPr>
        <w:t xml:space="preserve"> a Texas professional association (hereinafter referred to as “Business Associate”). Covered Entity and Business Associate shall be collectively referred to herein as the “Parties”.</w:t>
      </w:r>
    </w:p>
    <w:p>
      <w:pPr>
        <w:spacing w:after="0" w:line="168" w:lineRule="exact"/>
        <w:rPr>
          <w:sz w:val="20"/>
          <w:szCs w:val="20"/>
          <w:color w:val="auto"/>
        </w:rPr>
      </w:pPr>
    </w:p>
    <w:p>
      <w:pPr>
        <w:ind w:firstLine="629"/>
        <w:spacing w:after="0" w:line="297" w:lineRule="auto"/>
        <w:rPr>
          <w:sz w:val="20"/>
          <w:szCs w:val="20"/>
          <w:color w:val="auto"/>
        </w:rPr>
      </w:pPr>
      <w:r>
        <w:rPr>
          <w:rFonts w:ascii="Arial" w:cs="Arial" w:eastAsia="Arial" w:hAnsi="Arial"/>
          <w:sz w:val="15"/>
          <w:szCs w:val="15"/>
          <w:color w:val="auto"/>
        </w:rPr>
        <w:t>WHEREAS, Covered Entity is entering into a business relationship with Business Associate that is memorialized in that certain Pathology Services Agreement (the “Underlying Agreement”) entered into as of even date herewith pursuant to which Business Associate may be considered a “business associate” of Covered Entity as defined in the Health Insurance Portability and Accountability Act of 1996 (“HIPAA”) including all pertinent regulations (45 CFR Parts 160 and</w:t>
      </w:r>
    </w:p>
    <w:p>
      <w:pPr>
        <w:spacing w:after="0" w:line="1" w:lineRule="exact"/>
        <w:rPr>
          <w:sz w:val="20"/>
          <w:szCs w:val="20"/>
          <w:color w:val="auto"/>
        </w:rPr>
      </w:pPr>
    </w:p>
    <w:p>
      <w:pPr>
        <w:ind w:right="80" w:firstLine="5"/>
        <w:spacing w:after="0" w:line="266" w:lineRule="auto"/>
        <w:tabs>
          <w:tab w:leader="none" w:pos="27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issued by the U.S. Department of Health and Human Services as either have been amended by Subtitle D of the Health Information Technology for Economic and Clinical Health Act (the “HITECH Act”), as Title XIII of Division A and Title IV of Division B of the American Recovery and Reinvestment Act of 2009 (Pub. L. 111-5); and</w:t>
      </w:r>
    </w:p>
    <w:p>
      <w:pPr>
        <w:spacing w:after="0" w:line="177"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WHEREAS, the nature of the prospective contractual relationship between Covered Entity and Business Associate may involve the exchange of Protected Health Information (“PHI”) as that term is defined under HIPAA; and</w:t>
      </w:r>
    </w:p>
    <w:p>
      <w:pPr>
        <w:spacing w:after="0" w:line="158" w:lineRule="exact"/>
        <w:rPr>
          <w:sz w:val="20"/>
          <w:szCs w:val="20"/>
          <w:color w:val="auto"/>
        </w:rPr>
      </w:pPr>
    </w:p>
    <w:p>
      <w:pPr>
        <w:ind w:right="360" w:firstLine="629"/>
        <w:spacing w:after="0" w:line="322" w:lineRule="auto"/>
        <w:rPr>
          <w:sz w:val="20"/>
          <w:szCs w:val="20"/>
          <w:color w:val="auto"/>
        </w:rPr>
      </w:pPr>
      <w:r>
        <w:rPr>
          <w:rFonts w:ascii="Arial" w:cs="Arial" w:eastAsia="Arial" w:hAnsi="Arial"/>
          <w:sz w:val="16"/>
          <w:szCs w:val="16"/>
          <w:color w:val="auto"/>
        </w:rPr>
        <w:t>For good and lawful consideration as set forth in the Underlying Agreement, Covered Entity and Business Associate enter into this agreement for the purpose of ensuring compliance with the requirements of HIPAA, its implementing regulations, the HITECH Act and relevant State law;</w:t>
      </w:r>
    </w:p>
    <w:p>
      <w:pPr>
        <w:spacing w:after="0" w:line="136" w:lineRule="exact"/>
        <w:rPr>
          <w:sz w:val="20"/>
          <w:szCs w:val="20"/>
          <w:color w:val="auto"/>
        </w:rPr>
      </w:pPr>
    </w:p>
    <w:p>
      <w:pPr>
        <w:ind w:right="900" w:firstLine="629"/>
        <w:spacing w:after="0" w:line="289" w:lineRule="auto"/>
        <w:rPr>
          <w:sz w:val="20"/>
          <w:szCs w:val="20"/>
          <w:color w:val="auto"/>
        </w:rPr>
      </w:pPr>
      <w:r>
        <w:rPr>
          <w:rFonts w:ascii="Arial" w:cs="Arial" w:eastAsia="Arial" w:hAnsi="Arial"/>
          <w:sz w:val="17"/>
          <w:szCs w:val="17"/>
          <w:color w:val="auto"/>
        </w:rPr>
        <w:t>NOW THEREFORE, the premises having been considered and with acknowledgment of the mutual promises and of other good and valuable consideration herein contained, the Parties, intending to be legally bound, hereby agree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u w:val="single" w:color="auto"/>
          <w:color w:val="auto"/>
        </w:rPr>
        <w:t>Individual</w:t>
      </w:r>
      <w:r>
        <w:rPr>
          <w:rFonts w:ascii="Arial" w:cs="Arial" w:eastAsia="Arial" w:hAnsi="Arial"/>
          <w:sz w:val="17"/>
          <w:szCs w:val="17"/>
          <w:color w:val="auto"/>
        </w:rPr>
        <w:t>. “Individual” shall have the same meaning as the term “individual” in 45 CFR §164.501 and shall include a person who qualifies as a personal representative in accordance with 45 CFR §164.502(g).</w:t>
      </w:r>
    </w:p>
    <w:p>
      <w:pPr>
        <w:spacing w:after="0" w:line="158"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“Breach” shall have the same meaning as the term “breach” in § 13400 of the HITECH Act and shall include the unauthorized acquisition, access, use, or disclosure of PHI that compromises the security or privacy of such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Designated Record Set</w:t>
      </w:r>
      <w:r>
        <w:rPr>
          <w:rFonts w:ascii="Arial" w:cs="Arial" w:eastAsia="Arial" w:hAnsi="Arial"/>
          <w:sz w:val="17"/>
          <w:szCs w:val="17"/>
          <w:color w:val="auto"/>
        </w:rPr>
        <w:t>. “Designated Record Set” shall have the same meaning as the term “designated record set” in 45 CFR §164.501.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u w:val="single" w:color="auto"/>
          <w:color w:val="auto"/>
        </w:rPr>
        <w:t>Privacy Rule</w:t>
      </w:r>
      <w:r>
        <w:rPr>
          <w:rFonts w:ascii="Arial" w:cs="Arial" w:eastAsia="Arial" w:hAnsi="Arial"/>
          <w:sz w:val="17"/>
          <w:szCs w:val="17"/>
          <w:color w:val="auto"/>
        </w:rPr>
        <w:t>. “Privacy Rule” shall mean the Standards for Privacy of Individually Identifiable Health Information at 45 CFR Part 160 and Part 164, Subparts A and E, as amended by the HITECH Act and as may otherwise be amended from time to time.</w:t>
      </w:r>
    </w:p>
    <w:p>
      <w:pPr>
        <w:spacing w:after="0" w:line="158"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u w:val="single" w:color="auto"/>
          <w:color w:val="auto"/>
        </w:rPr>
        <w:t>Protected Health Information</w:t>
      </w:r>
      <w:r>
        <w:rPr>
          <w:rFonts w:ascii="Arial" w:cs="Arial" w:eastAsia="Arial" w:hAnsi="Arial"/>
          <w:sz w:val="17"/>
          <w:szCs w:val="17"/>
          <w:color w:val="auto"/>
        </w:rPr>
        <w:t>. “Protected Health Information” or “PHI” shall have the same meaning as the term “protected health information” in 45 CFR §164.501, limited to the information created or received by Business Associate from or on behalf of Covered Entity.</w:t>
      </w:r>
    </w:p>
    <w:p>
      <w:pPr>
        <w:sectPr>
          <w:pgSz w:w="11900" w:h="16871" w:orient="portrait"/>
          <w:cols w:equalWidth="0" w:num="1">
            <w:col w:w="11420"/>
          </w:cols>
          <w:pgMar w:left="240" w:top="331" w:right="239" w:bottom="0" w:gutter="0" w:footer="0" w:header="0"/>
        </w:sectPr>
      </w:pPr>
    </w:p>
    <w:bookmarkStart w:id="269" w:name="page270"/>
    <w:bookmarkEnd w:id="269"/>
    <w:p>
      <w:pPr>
        <w:ind w:left="640"/>
        <w:spacing w:after="0"/>
        <w:rPr>
          <w:sz w:val="20"/>
          <w:szCs w:val="20"/>
          <w:color w:val="auto"/>
        </w:rPr>
      </w:pPr>
      <w:r>
        <w:rPr>
          <w:rFonts w:ascii="Arial" w:cs="Arial" w:eastAsia="Arial" w:hAnsi="Arial"/>
          <w:sz w:val="17"/>
          <w:szCs w:val="17"/>
          <w:u w:val="single" w:color="auto"/>
          <w:color w:val="auto"/>
        </w:rPr>
        <w:t>Required by Law</w:t>
      </w:r>
      <w:r>
        <w:rPr>
          <w:rFonts w:ascii="Arial" w:cs="Arial" w:eastAsia="Arial" w:hAnsi="Arial"/>
          <w:sz w:val="17"/>
          <w:szCs w:val="17"/>
          <w:color w:val="auto"/>
        </w:rPr>
        <w:t>. “Required by Law” shall have the same meaning as the term “required by law” in 45 CFR §164.501.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“Secretary” shall mean the Secretary of the U.S. Department of Health and Human Services or his or her designee.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Security Rule</w:t>
      </w:r>
      <w:r>
        <w:rPr>
          <w:rFonts w:ascii="Arial" w:cs="Arial" w:eastAsia="Arial" w:hAnsi="Arial"/>
          <w:sz w:val="16"/>
          <w:szCs w:val="16"/>
          <w:color w:val="auto"/>
        </w:rPr>
        <w:t>. The “Security Rule” shall mean the regulations found at 45 CFR Parts 160 and 164, Subpart C, as may be amended from time to time.</w:t>
      </w:r>
    </w:p>
    <w:p>
      <w:pPr>
        <w:spacing w:after="0" w:line="236"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u w:val="single" w:color="auto"/>
          <w:color w:val="auto"/>
        </w:rPr>
        <w:t>Unsecured Protected Health Information</w:t>
      </w:r>
      <w:r>
        <w:rPr>
          <w:rFonts w:ascii="Arial" w:cs="Arial" w:eastAsia="Arial" w:hAnsi="Arial"/>
          <w:sz w:val="17"/>
          <w:szCs w:val="17"/>
          <w:color w:val="auto"/>
        </w:rPr>
        <w:t>. “Unsecured Protected Health Information” or “Unsecured PHI” shall mean PHI that is not secured through the use of a technology or methodology specified by the Secretary in guidance or as otherwise defined in the §13402(h) of the HITECH Act.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OR DISCLOSURE OF PHI BY BUSINESS ASSOCIATE.</w:t>
      </w:r>
    </w:p>
    <w:p>
      <w:pPr>
        <w:spacing w:after="0" w:line="230" w:lineRule="exact"/>
        <w:rPr>
          <w:sz w:val="20"/>
          <w:szCs w:val="20"/>
          <w:color w:val="auto"/>
        </w:rPr>
      </w:pPr>
    </w:p>
    <w:p>
      <w:pPr>
        <w:ind w:right="180" w:firstLine="629"/>
        <w:spacing w:after="0" w:line="360" w:lineRule="auto"/>
        <w:rPr>
          <w:sz w:val="20"/>
          <w:szCs w:val="20"/>
          <w:color w:val="auto"/>
        </w:rPr>
      </w:pPr>
      <w:r>
        <w:rPr>
          <w:rFonts w:ascii="Arial" w:cs="Arial" w:eastAsia="Arial" w:hAnsi="Arial"/>
          <w:sz w:val="15"/>
          <w:szCs w:val="15"/>
          <w:color w:val="auto"/>
        </w:rPr>
        <w:t>Except as otherwise limited in this Agreement, Business Associate may use or disclose Protected Health Information to perform functions, activities, or services for, or on behalf of, Covered Entity as specified in the Underlying Agreement, provided that such use or disclosure would not violate the Privacy Rule.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Associate shall only use and disclose PHI if such use or disclosure complies with each applicable requirement of 45 CFR §164.504(e).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DUTIES OF BUSINESS ASSOCIATE RELATIVE TO PHI.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Business Associate shall not use or disclose PHI other than as permitted or required by this Agreement or as Required by Law.</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Associate shall be directly responsible for full compliance with the relevant requirements of the Privacy Rule to the same extent as Covered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Entity.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29"/>
        <w:spacing w:after="0" w:line="273" w:lineRule="auto"/>
        <w:rPr>
          <w:sz w:val="20"/>
          <w:szCs w:val="20"/>
          <w:color w:val="auto"/>
        </w:rPr>
      </w:pPr>
      <w:r>
        <w:rPr>
          <w:rFonts w:ascii="Arial" w:cs="Arial" w:eastAsia="Arial" w:hAnsi="Arial"/>
          <w:sz w:val="17"/>
          <w:szCs w:val="17"/>
          <w:color w:val="auto"/>
        </w:rPr>
        <w:t>Business Associate shall comply with the provisions of the Security Rule directing the implementation of administrative, physical and technical safeguards for electronic-PHI (“e-PHI”) and the development and enforcement of related policies, procedures, and documentation standards (including but not limited to designation of a security official).</w:t>
      </w:r>
    </w:p>
    <w:p>
      <w:pPr>
        <w:spacing w:after="0" w:line="172"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In the event of an unauthorized use or disclosure of PHI or a Breach of Unsecured PHI, Business Associate shall mitigate, to the extent practicable, any harmful effects of said disclosure that are known to it.</w:t>
      </w:r>
    </w:p>
    <w:p>
      <w:pPr>
        <w:spacing w:after="0" w:line="15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Business Associate agrees to ensure that any agent, including a subcontractor, to whom it provides Protected Health Information received from, or created or received by Business Associate on behalf of Covered Entity, agrees to the same restrictions and conditions that apply through this Agreement to Business Associate with respect to such information.</w:t>
      </w:r>
    </w:p>
    <w:p>
      <w:pPr>
        <w:spacing w:after="0" w:line="17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To the extent applicable, Business Associate shall provide access to Protected Health Information in a Designated Record Set at reasonable times, at the request of Covered Entity or, as directed by Covered Entity, to an Individual in order to meet the requirements under 45 CFR §164.524.</w:t>
      </w:r>
    </w:p>
    <w:p>
      <w:pPr>
        <w:spacing w:after="0" w:line="158"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Business Associate will, upon receipt of written notice from Covered Entity, promptly amend or permit Covered Entity access to amend any portion of Covered Entity’s PHI so that Covered Entity may meet its amendment obligations under 45 CFR §164.526.</w:t>
      </w:r>
    </w:p>
    <w:p>
      <w:pPr>
        <w:spacing w:after="0" w:line="158"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Business Associate shall, upon request with reasonable notice, provide Covered Entity access to its premises for a review and demonstration of its internal practices and procedures for safeguarding PHI.</w:t>
      </w:r>
    </w:p>
    <w:p>
      <w:pPr>
        <w:spacing w:after="0" w:line="158"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Business Associate agrees to document such disclosures of PHI and information related to such disclosures as would be required for a Covered Entity to respond to a request by an Individual for an accounting of disclosures of PHI in accordance with 45 C.F.R. §164.528. Should an Individual make a request to Covered Entity for an accounting of disclosures of his or her PHI pursuant to 45 C.F.R. §164.528, Business Associate agrees to promptly provide Covered Entity with information in a format and manner sufficient to respond to the Individual’s request.</w:t>
      </w:r>
    </w:p>
    <w:p>
      <w:pPr>
        <w:spacing w:after="0" w:line="17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Business Associate shall, upon request with reasonable notice, provide Covered Entity with an accounting of uses and disclosures of PHI provided to it by Covered Entity.</w:t>
      </w:r>
    </w:p>
    <w:p>
      <w:pPr>
        <w:spacing w:after="0" w:line="158"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Business Associate shall make its internal practices, books, records, and any other material requested by the Secretary relating to the use, disclosure, and safeguarding of PHI received from Covered Entity available to the Secretary for the purpose of determining compliance with the Privacy Rule. The aforementioned information shall be made available to the Secretary in the manner and place as designated by the Secretary or the Secretary’s duly appointed delegate. Under this Agreement, Business Associate shall comply and cooperate 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any request for documents or other information from the Secretary directed to Covered Entity that seeks documents or other information held by Business Associate.</w:t>
      </w:r>
    </w:p>
    <w:p>
      <w:pPr>
        <w:spacing w:after="0" w:line="158"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Business Associate may use Protected Health Information to report violations of law to appropriate Federal and State authorities, consistent with 42 C.F.R. §164.502(j)(1).</w:t>
      </w:r>
    </w:p>
    <w:p>
      <w:pPr>
        <w:spacing w:after="0" w:line="158" w:lineRule="exact"/>
        <w:rPr>
          <w:sz w:val="20"/>
          <w:szCs w:val="20"/>
          <w:color w:val="auto"/>
        </w:rPr>
      </w:pPr>
    </w:p>
    <w:p>
      <w:pPr>
        <w:ind w:right="40" w:firstLine="629"/>
        <w:spacing w:after="0" w:line="290" w:lineRule="auto"/>
        <w:rPr>
          <w:sz w:val="20"/>
          <w:szCs w:val="20"/>
          <w:color w:val="auto"/>
        </w:rPr>
      </w:pPr>
      <w:r>
        <w:rPr>
          <w:rFonts w:ascii="Arial" w:cs="Arial" w:eastAsia="Arial" w:hAnsi="Arial"/>
          <w:sz w:val="16"/>
          <w:szCs w:val="16"/>
          <w:color w:val="auto"/>
        </w:rPr>
        <w:t>Except as otherwise limited in this Agreement, Business Associate may disclose PHI for the proper management and administration of Business Associate, provided that disclosures are Required by Law, or Business Associate obtains reasonable assurances from the person to whom the information is disclosed that it will remain confidential and used or further disclosed only as Required by Law or for the purpose for which it was disclosed to the person, and the person notifies Business Associate of any instances of which it is aware in which the confidentiality of the information has been breached.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w:t>
      </w:r>
    </w:p>
    <w:p>
      <w:pPr>
        <w:sectPr>
          <w:pgSz w:w="11900" w:h="16838" w:orient="portrait"/>
          <w:cols w:equalWidth="0" w:num="1">
            <w:col w:w="11420"/>
          </w:cols>
          <w:pgMar w:left="240" w:top="337" w:right="239" w:bottom="0" w:gutter="0" w:footer="0" w:header="0"/>
        </w:sectPr>
      </w:pPr>
    </w:p>
    <w:bookmarkStart w:id="270" w:name="page271"/>
    <w:bookmarkEnd w:id="270"/>
    <w:p>
      <w:pPr>
        <w:ind w:right="20" w:firstLine="634"/>
        <w:spacing w:after="0" w:line="280" w:lineRule="auto"/>
        <w:tabs>
          <w:tab w:leader="none" w:pos="1271"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Privacy Breach</w:t>
      </w:r>
      <w:r>
        <w:rPr>
          <w:rFonts w:ascii="Arial" w:cs="Arial" w:eastAsia="Arial" w:hAnsi="Arial"/>
          <w:sz w:val="16"/>
          <w:szCs w:val="16"/>
          <w:color w:val="auto"/>
        </w:rPr>
        <w:t xml:space="preserve">. Business Associate will report to Covered Entity any use or disclosure of Covered Entity’s PHI that is not permitted by this Agreement or the Underlying Agreement. In addition, Business Associate will report to Covered Entity, following discovery and without reasonable delay, but in no event later than ten (10) days following discovery, any suspected or actual “Breach” of “Unsecured Protected Health Information” as these terms are defined by the HITECH Act and any implementing regulations. Business Associate shall cooperate with Covered Entity in investigating the potential or actual breach and in meeting Covered Entity’s obligations under the HITECH Act and any other state or federal privacy or security breach notification laws. Any such report shall contain at a minimum the information set forth on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attached hereto and incorporated by reference. Since time is of the essence under the HITECH Act, in addition to providing the report in accordance with the notice provisions contained in Section XI below, a copy of the report shall be faxed to the Privacy Officer at (615)695-8426 or to such other person as Covered Entity shall request in writing of Business Associate.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AND TERMINATION.</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be effective as of the date the Underlying Agreement is effective, and shall terminate when all of the Protected Health Information provided by Covered Entity to Business Associate, or created or received by Business Associate on behalf of Covered Entity, is destroyed or returned to Covered Entity, or, if it is infeasible to return or destroy Protected Health Information, protections are extended to such information, in accordance with the termination provisions in this Section V.</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Upon Covered Entity’s knowledge of a material breach by Business Associate, Covered Entity shall:</w:t>
      </w:r>
    </w:p>
    <w:p>
      <w:pPr>
        <w:spacing w:after="0" w:line="218"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b w:val="1"/>
          <w:bCs w:val="1"/>
          <w:color w:val="auto"/>
        </w:rPr>
        <w:t>Provide a reasonable opportunity for Business Associate to cure the breach or end the violation and, if Business Associate does not cure the breach or end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violation within the reasonable time specified by Covered Entity, terminate this Agreement;</w:t>
      </w:r>
    </w:p>
    <w:p>
      <w:pPr>
        <w:spacing w:after="0" w:line="224"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Immediately terminate this Agreement if Business Associate has breached a material term of this Agreement and cure is not possible; or</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If neither termination nor cure is feasible, report the violation to the Secretary.</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Effect of Termination</w:t>
      </w:r>
      <w:r>
        <w:rPr>
          <w:rFonts w:ascii="Arial" w:cs="Arial" w:eastAsia="Arial" w:hAnsi="Arial"/>
          <w:sz w:val="17"/>
          <w:szCs w:val="17"/>
          <w:color w:val="auto"/>
        </w:rPr>
        <w:t>.</w:t>
      </w:r>
    </w:p>
    <w:p>
      <w:pPr>
        <w:spacing w:after="0" w:line="218"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b w:val="1"/>
          <w:bCs w:val="1"/>
          <w:color w:val="auto"/>
        </w:rPr>
        <w:t>Except as provided in paragraph C(2) of this section, upon termination of this Agreement, for any reason, Business Associate shall return or destroy (at Covered Entity’s sole discretion) all Protected Health Information received from Covered Entity, or created or received by Business Associate on behalf of Covered Entity. This provision shall apply to Protected Health Information that is in the possession of subcontractors or agents of Business Associate. Business Associate shall not retain any copies of the Protected Health Information. Any information that is in electronic format shall be provided to Covered Entity at no additional charge. The format to be provided should be one that is commonly used for export (i.e. comma delimited, text file, Word, Excel or Access database) that is agreeable to Covered Entity.</w:t>
      </w:r>
    </w:p>
    <w:p>
      <w:pPr>
        <w:spacing w:after="0" w:line="157" w:lineRule="exact"/>
        <w:rPr>
          <w:sz w:val="20"/>
          <w:szCs w:val="20"/>
          <w:color w:val="auto"/>
        </w:rPr>
      </w:pPr>
    </w:p>
    <w:p>
      <w:pPr>
        <w:ind w:right="80" w:firstLine="1259"/>
        <w:spacing w:after="0" w:line="287" w:lineRule="auto"/>
        <w:rPr>
          <w:sz w:val="20"/>
          <w:szCs w:val="20"/>
          <w:color w:val="auto"/>
        </w:rPr>
      </w:pPr>
      <w:r>
        <w:rPr>
          <w:rFonts w:ascii="Arial" w:cs="Arial" w:eastAsia="Arial" w:hAnsi="Arial"/>
          <w:sz w:val="16"/>
          <w:szCs w:val="16"/>
          <w:b w:val="1"/>
          <w:bCs w:val="1"/>
          <w:color w:val="auto"/>
        </w:rPr>
        <w:t>In the event that Business Associate determines that returning or destroying the Protected Health Information is infeasible, Business Associate shall provide to Covered Entity written notification of the conditions that make return or destruction infeasible. After written notification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w:t>
      </w:r>
    </w:p>
    <w:p>
      <w:pPr>
        <w:spacing w:after="0" w:line="158"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b w:val="1"/>
          <w:bCs w:val="1"/>
          <w:color w:val="auto"/>
        </w:rPr>
        <w:t>Should Business Associate make a disclosure of PHI in violation of this Agreement, Covered Entity shall have the right to immediately terminate any contract, other than this Agreement, then in force between the Parties, including the Underlying Agreement.</w:t>
      </w:r>
    </w:p>
    <w:p>
      <w:pPr>
        <w:spacing w:after="0" w:line="14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 xml:space="preserve">REMEDIES IN EVENT OF BREACH AND INDEMNIFICATION. </w:t>
      </w:r>
      <w:r>
        <w:rPr>
          <w:rFonts w:ascii="Arial" w:cs="Arial" w:eastAsia="Arial" w:hAnsi="Arial"/>
          <w:sz w:val="16"/>
          <w:szCs w:val="16"/>
          <w:color w:val="auto"/>
        </w:rPr>
        <w:t>Business Associate hereby recognizes that irreparable harm may result to Covered Entity,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business of Covered Entity, in the event of breach by Business Associate of any of the covenants and assurances contained in this Agreement. As such, in the event of breach of any of the covenants and assurances contained in Sections II, III or IV above, Covered Entity shall be entitled to enjoin and restrain Business Associate from any continued violation of Sections II, III or IV. Furthermore, Business Associate will indemnify, defend and hold harmless Covered Entity, its officers, directors, employees, agents, and assigns, from and against any and all losses, liabilities, damages, costs, and expenses (including reasonable attorneys’ fees) arising out of or related to the Business Associate’s breach of its obligations under this Agreement.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This Agreement may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only</w:t>
      </w:r>
      <w:r>
        <w:rPr>
          <w:rFonts w:ascii="Arial" w:cs="Arial" w:eastAsia="Arial" w:hAnsi="Arial"/>
          <w:sz w:val="17"/>
          <w:szCs w:val="17"/>
          <w:b w:val="1"/>
          <w:bCs w:val="1"/>
          <w:color w:val="auto"/>
        </w:rPr>
        <w:t xml:space="preserve"> </w:t>
      </w:r>
      <w:r>
        <w:rPr>
          <w:rFonts w:ascii="Arial" w:cs="Arial" w:eastAsia="Arial" w:hAnsi="Arial"/>
          <w:sz w:val="17"/>
          <w:szCs w:val="17"/>
          <w:color w:val="auto"/>
        </w:rPr>
        <w:t>be modified through a writing signed by the Parties. The Parties agree to take such action as is necessary to amend</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from time to time as is necessary for Covered Entity to comply with the requirements of the Privacy Rule and HIPAA.</w:t>
      </w:r>
    </w:p>
    <w:p>
      <w:pPr>
        <w:spacing w:after="0" w:line="1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INTERPRETATION OF THIS CONTRACT IN RELATION TO OTHER CONTRACTS BETWEEN THE PARTIES. </w:t>
      </w:r>
      <w:r>
        <w:rPr>
          <w:rFonts w:ascii="Arial" w:cs="Arial" w:eastAsia="Arial" w:hAnsi="Arial"/>
          <w:sz w:val="17"/>
          <w:szCs w:val="17"/>
          <w:color w:val="auto"/>
        </w:rPr>
        <w:t>Should there be any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language of this contract and any other contract entered into between the Parties (either previous or subsequent to the date of this Agreement), the language and provisions of this Agreement shall control and prevail unless the Parties specifically refer in a subsequent written agreement to this Agreement by its title and date and specifically state that the provisions of the later written agreement shall control over this Agreement.</w:t>
      </w:r>
    </w:p>
    <w:p>
      <w:pPr>
        <w:spacing w:after="0" w:line="169"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b w:val="1"/>
          <w:bCs w:val="1"/>
          <w:color w:val="auto"/>
        </w:rPr>
        <w:t xml:space="preserve">COMPLIANCE WITH STATE LAW. </w:t>
      </w:r>
      <w:r>
        <w:rPr>
          <w:rFonts w:ascii="Arial" w:cs="Arial" w:eastAsia="Arial" w:hAnsi="Arial"/>
          <w:sz w:val="16"/>
          <w:szCs w:val="16"/>
          <w:color w:val="auto"/>
        </w:rPr>
        <w:t>If the HIPAA Privacy or Security Rules and the law of the State in which Covered Entity is located conflict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degree of protection provided for protected health information, Business Associate shall comply with the more restrictive protection requirement.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Ambiguity</w:t>
      </w:r>
      <w:r>
        <w:rPr>
          <w:rFonts w:ascii="Arial" w:cs="Arial" w:eastAsia="Arial" w:hAnsi="Arial"/>
          <w:sz w:val="17"/>
          <w:szCs w:val="17"/>
          <w:color w:val="auto"/>
        </w:rPr>
        <w:t>. Any ambiguity in this Agreement shall be resolved to permit Covered Entity to comply with the Privacy Rule.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Notice to Covered Entity</w:t>
      </w:r>
      <w:r>
        <w:rPr>
          <w:rFonts w:ascii="Arial" w:cs="Arial" w:eastAsia="Arial" w:hAnsi="Arial"/>
          <w:sz w:val="17"/>
          <w:szCs w:val="17"/>
          <w:color w:val="auto"/>
        </w:rPr>
        <w:t>. Any notice required under this Agreement to be given Covered Entity shall be made in writing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Veracyte, Inc.</w:t>
      </w:r>
    </w:p>
    <w:p>
      <w:pPr>
        <w:sectPr>
          <w:pgSz w:w="11900" w:h="16838" w:orient="portrait"/>
          <w:cols w:equalWidth="0" w:num="1">
            <w:col w:w="11400"/>
          </w:cols>
          <w:pgMar w:left="240" w:top="127" w:right="259" w:bottom="0" w:gutter="0" w:footer="0" w:header="0"/>
        </w:sectPr>
      </w:pPr>
    </w:p>
    <w:bookmarkStart w:id="271" w:name="page272"/>
    <w:bookmarkEnd w:id="271"/>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7000 Shoreline Court, Suite 250</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Bonnie Anderson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Donna Petkanics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Notice to Business Associate</w:t>
      </w:r>
      <w:r>
        <w:rPr>
          <w:rFonts w:ascii="Arial" w:cs="Arial" w:eastAsia="Arial" w:hAnsi="Arial"/>
          <w:sz w:val="17"/>
          <w:szCs w:val="17"/>
          <w:color w:val="auto"/>
        </w:rPr>
        <w:t>. Any notice required under this Agreement to be given Business Associate shall be made in writing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Brazos Valley Pathology, P.A.</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Pathology Resource Consultants, L.P.</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Buda, Texas 78610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Robert Flanakin</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Selman, Munson &amp; Lerner, P.C.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Barton Oaks Plaza Four, Suite 200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901 South Mopac Expressway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Austin, Texas 78746</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Kenneth D. Lerner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and acknowledging acceptance and agreement of the foregoing, the Parties affix their signatures hereto.</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gridSpan w:val="2"/>
          </w:tcPr>
          <w:p>
            <w:pPr>
              <w:spacing w:after="0"/>
              <w:rPr>
                <w:sz w:val="20"/>
                <w:szCs w:val="20"/>
                <w:color w:val="auto"/>
              </w:rPr>
            </w:pPr>
            <w:r>
              <w:rPr>
                <w:rFonts w:ascii="Arial" w:cs="Arial" w:eastAsia="Arial" w:hAnsi="Arial"/>
                <w:sz w:val="17"/>
                <w:szCs w:val="17"/>
                <w:color w:val="auto"/>
              </w:rPr>
              <w:t>COVERED ENTITY:</w:t>
            </w:r>
          </w:p>
        </w:tc>
        <w:tc>
          <w:tcPr>
            <w:tcW w:w="1840" w:type="dxa"/>
            <w:vAlign w:val="bottom"/>
          </w:tcPr>
          <w:p>
            <w:pPr>
              <w:spacing w:after="0"/>
              <w:rPr>
                <w:sz w:val="19"/>
                <w:szCs w:val="19"/>
                <w:color w:val="auto"/>
              </w:rPr>
            </w:pPr>
          </w:p>
        </w:tc>
        <w:tc>
          <w:tcPr>
            <w:tcW w:w="5680" w:type="dxa"/>
            <w:vAlign w:val="bottom"/>
            <w:gridSpan w:val="2"/>
          </w:tcPr>
          <w:p>
            <w:pPr>
              <w:ind w:left="300"/>
              <w:spacing w:after="0"/>
              <w:rPr>
                <w:sz w:val="20"/>
                <w:szCs w:val="20"/>
                <w:color w:val="auto"/>
              </w:rPr>
            </w:pPr>
            <w:r>
              <w:rPr>
                <w:rFonts w:ascii="Arial" w:cs="Arial" w:eastAsia="Arial" w:hAnsi="Arial"/>
                <w:sz w:val="17"/>
                <w:szCs w:val="17"/>
                <w:color w:val="auto"/>
              </w:rPr>
              <w:t>BUSINESS ASSOCIATE:</w:t>
            </w:r>
          </w:p>
        </w:tc>
        <w:tc>
          <w:tcPr>
            <w:tcW w:w="40" w:type="dxa"/>
            <w:vAlign w:val="bottom"/>
          </w:tcPr>
          <w:p>
            <w:pPr>
              <w:spacing w:after="0"/>
              <w:rPr>
                <w:sz w:val="19"/>
                <w:szCs w:val="19"/>
                <w:color w:val="auto"/>
              </w:rPr>
            </w:pPr>
          </w:p>
        </w:tc>
      </w:tr>
      <w:tr>
        <w:trPr>
          <w:trHeight w:val="420"/>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Cohen MD</w:t>
            </w:r>
          </w:p>
        </w:tc>
        <w:tc>
          <w:tcPr>
            <w:tcW w:w="40" w:type="dxa"/>
            <w:vAlign w:val="bottom"/>
          </w:tcPr>
          <w:p>
            <w:pPr>
              <w:spacing w:after="0"/>
              <w:rPr>
                <w:sz w:val="24"/>
                <w:szCs w:val="24"/>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Bonnie Anderson</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Michael Cohen MD</w:t>
            </w:r>
          </w:p>
        </w:tc>
        <w:tc>
          <w:tcPr>
            <w:tcW w:w="40" w:type="dxa"/>
            <w:vAlign w:val="bottom"/>
          </w:tcPr>
          <w:p>
            <w:pPr>
              <w:spacing w:after="0"/>
              <w:rPr>
                <w:sz w:val="24"/>
                <w:szCs w:val="24"/>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4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80" w:type="dxa"/>
            <w:vAlign w:val="bottom"/>
            <w:gridSpan w:val="2"/>
          </w:tcPr>
          <w:p>
            <w:pPr>
              <w:ind w:left="1680"/>
              <w:spacing w:after="0"/>
              <w:rPr>
                <w:sz w:val="20"/>
                <w:szCs w:val="20"/>
                <w:color w:val="auto"/>
              </w:rPr>
            </w:pPr>
            <w:r>
              <w:rPr>
                <w:rFonts w:ascii="Arial" w:cs="Arial" w:eastAsia="Arial" w:hAnsi="Arial"/>
                <w:sz w:val="17"/>
                <w:szCs w:val="17"/>
                <w:color w:val="auto"/>
              </w:rPr>
              <w:t>G-7</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8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ATTACHMENT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 NOTIFICATION TO COVERED ENTITY 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BREACH OF UNSECURED PHI</w:t>
      </w:r>
    </w:p>
    <w:p>
      <w:pPr>
        <w:spacing w:after="0" w:line="224"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 xml:space="preserve">This notification is made pursuant to the Business Associate Agreement between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California corporation (“Covered Entity”), and </w:t>
      </w:r>
      <w:r>
        <w:rPr>
          <w:rFonts w:ascii="Arial" w:cs="Arial" w:eastAsia="Arial" w:hAnsi="Arial"/>
          <w:sz w:val="17"/>
          <w:szCs w:val="17"/>
          <w:b w:val="1"/>
          <w:bCs w:val="1"/>
          <w:color w:val="auto"/>
        </w:rPr>
        <w:t>BRAZOS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VALLEY PATHOLOGY, P.A. D/B/A REITPATH, </w:t>
      </w:r>
      <w:r>
        <w:rPr>
          <w:rFonts w:ascii="Arial" w:cs="Arial" w:eastAsia="Arial" w:hAnsi="Arial"/>
          <w:sz w:val="17"/>
          <w:szCs w:val="17"/>
          <w:color w:val="auto"/>
        </w:rPr>
        <w:t>a Texas professional association (“Business Associate”).</w:t>
      </w:r>
    </w:p>
    <w:p>
      <w:pPr>
        <w:spacing w:after="0" w:line="15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Business Associate hereby notifies Covered Entity that there has been an actual or potential breach of unsecured (unencrypted) protected health information (PHI) that Business Associate has used or has had access to under the terms of the Business Associate Agreement.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Description of the breach:</w:t>
      </w:r>
    </w:p>
    <w:p>
      <w:pPr>
        <w:sectPr>
          <w:pgSz w:w="11900" w:h="16857"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of the breach:</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 of individuals affected by the breach: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Date breach discovered:</w:t>
      </w:r>
    </w:p>
    <w:p>
      <w:pPr>
        <w:spacing w:after="0" w:line="433" w:lineRule="exact"/>
        <w:rPr>
          <w:sz w:val="20"/>
          <w:szCs w:val="20"/>
          <w:color w:val="auto"/>
        </w:rPr>
      </w:pPr>
    </w:p>
    <w:p>
      <w:pPr>
        <w:sectPr>
          <w:pgSz w:w="11900" w:h="16857" w:orient="portrait"/>
          <w:cols w:equalWidth="0" w:num="2">
            <w:col w:w="6240" w:space="720"/>
            <w:col w:w="4500"/>
          </w:cols>
          <w:pgMar w:left="240" w:top="127" w:right="19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Indicate type of breach:</w:t>
      </w:r>
    </w:p>
    <w:p>
      <w:pPr>
        <w:spacing w:after="0" w:line="26" w:lineRule="exact"/>
        <w:rPr>
          <w:sz w:val="20"/>
          <w:szCs w:val="20"/>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Theft</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Loss</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Improper Disposal</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Unauthorized Access</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Hacking/IT Incident</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Other:</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Unknown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Location of Breached Information:</w:t>
      </w:r>
    </w:p>
    <w:p>
      <w:pPr>
        <w:spacing w:after="0" w:line="38" w:lineRule="exact"/>
        <w:rPr>
          <w:sz w:val="20"/>
          <w:szCs w:val="20"/>
          <w:color w:val="auto"/>
        </w:rPr>
      </w:pPr>
    </w:p>
    <w:p>
      <w:pPr>
        <w:ind w:left="160" w:hanging="124"/>
        <w:spacing w:after="0"/>
        <w:tabs>
          <w:tab w:leader="none" w:pos="1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Laptop</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Desktop Computer</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Email</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Portable Media/Device</w:t>
      </w:r>
    </w:p>
    <w:p>
      <w:pPr>
        <w:sectPr>
          <w:pgSz w:w="11900" w:h="16857" w:orient="portrait"/>
          <w:cols w:equalWidth="0" w:num="1">
            <w:col w:w="11460"/>
          </w:cols>
          <w:pgMar w:left="240" w:top="127" w:right="199" w:bottom="0" w:gutter="0" w:footer="0" w:header="0"/>
          <w:type w:val="continuous"/>
        </w:sectPr>
      </w:pPr>
    </w:p>
    <w:bookmarkStart w:id="272" w:name="page273"/>
    <w:bookmarkEnd w:id="272"/>
    <w:p>
      <w:pPr>
        <w:ind w:left="160" w:hanging="124"/>
        <w:spacing w:after="0"/>
        <w:tabs>
          <w:tab w:leader="none" w:pos="1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EMR</w:t>
      </w:r>
    </w:p>
    <w:p>
      <w:pPr>
        <w:spacing w:after="0" w:line="26" w:lineRule="exact"/>
        <w:rPr>
          <w:rFonts w:ascii="Arial" w:cs="Arial" w:eastAsia="Arial" w:hAnsi="Arial"/>
          <w:sz w:val="17"/>
          <w:szCs w:val="17"/>
          <w:color w:val="auto"/>
        </w:rPr>
      </w:pPr>
    </w:p>
    <w:p>
      <w:pPr>
        <w:ind w:left="160" w:hanging="124"/>
        <w:spacing w:after="0"/>
        <w:tabs>
          <w:tab w:leader="none" w:pos="1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Paper</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Other:</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description of the types of unsecured PHI that were involved in the breach (Demographic - full or partial name, Social Security number, date of birth, home address, account number, or disability code; Financial –– billing information, credit card # or check/bank account number; Clinical –– any mention of diagnosis, procedure, treatment provided, or ICD-9-CM or CPT-codes;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What safeguards were in place prior to the breach: (Circle all that apply) Firewalls, packet filtering, secure browser, strong authentication, encrypted wireless, physical security (explain), logic access control, anti-virus software (list product name), intrusion detection, biometrics, etc.:</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what Business Associate is doing to investigate the breach, to mitigate losses, and to protect against any further breaches: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Contact information to ask questions or learn additional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Email Address: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20"/>
          </w:cols>
          <w:pgMar w:left="240" w:top="127" w:right="4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7"/>
          <w:szCs w:val="17"/>
          <w:b w:val="1"/>
          <w:bCs w:val="1"/>
          <w:color w:val="auto"/>
        </w:rPr>
        <w:t>Exhibit 10.20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APPROVAL OF VERACYTE, INC.</w:t>
      </w:r>
    </w:p>
    <w:p>
      <w:pPr>
        <w:spacing w:after="0" w:line="23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Reference is made to that certain Pathology Services Agreement (the “Contract”) dated November 12, 2010 by and among Veracyte, Inc. (“Veracyte”) and Brazos Valley Pathology, P.A. (“BVPPA”). As of May 18, 2011, Veracyte hereby consents to the assignment of the Contract from BVPPA to Thyroid Cytopathology Partners, P.A. (“TCP”) as provided in that certain Assignment of Contract dated Dec 2, 2010.</w:t>
      </w:r>
    </w:p>
    <w:p>
      <w:pPr>
        <w:spacing w:after="0" w:line="3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Bonnie Anderson</w:t>
      </w:r>
    </w:p>
    <w:p>
      <w:pPr>
        <w:spacing w:after="0" w:line="22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74" w:name="page275"/>
    <w:bookmarkEnd w:id="274"/>
    <w:p>
      <w:pPr>
        <w:ind w:left="10440"/>
        <w:spacing w:after="0"/>
        <w:rPr>
          <w:sz w:val="20"/>
          <w:szCs w:val="20"/>
          <w:color w:val="auto"/>
        </w:rPr>
      </w:pPr>
      <w:r>
        <w:rPr>
          <w:rFonts w:ascii="Arial" w:cs="Arial" w:eastAsia="Arial" w:hAnsi="Arial"/>
          <w:sz w:val="16"/>
          <w:szCs w:val="16"/>
          <w:b w:val="1"/>
          <w:bCs w:val="1"/>
          <w:color w:val="auto"/>
        </w:rPr>
        <w:t>Exhibit 10.21</w:t>
      </w:r>
    </w:p>
    <w:p>
      <w:pPr>
        <w:spacing w:after="0" w:line="236" w:lineRule="exact"/>
        <w:rPr>
          <w:sz w:val="20"/>
          <w:szCs w:val="20"/>
          <w:color w:val="auto"/>
        </w:rPr>
      </w:pPr>
    </w:p>
    <w:p>
      <w:pPr>
        <w:ind w:left="7440"/>
        <w:spacing w:after="0"/>
        <w:rPr>
          <w:sz w:val="20"/>
          <w:szCs w:val="20"/>
          <w:color w:val="auto"/>
        </w:rPr>
      </w:pPr>
      <w:r>
        <w:rPr>
          <w:rFonts w:ascii="Arial" w:cs="Arial" w:eastAsia="Arial" w:hAnsi="Arial"/>
          <w:sz w:val="17"/>
          <w:szCs w:val="17"/>
          <w:b w:val="1"/>
          <w:bCs w:val="1"/>
          <w:color w:val="auto"/>
        </w:rPr>
        <w:t>*** CONFIDENTIAL TREATMENT REQUESTED.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Confidential portions of this document have been redacted and have been separately filed with the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FIRST AMENDMENT TO PATHOLOGY SERVICES AGREEMENT</w:t>
      </w:r>
    </w:p>
    <w:p>
      <w:pPr>
        <w:spacing w:after="0" w:line="224" w:lineRule="exact"/>
        <w:rPr>
          <w:sz w:val="20"/>
          <w:szCs w:val="20"/>
          <w:color w:val="auto"/>
        </w:rPr>
      </w:pPr>
    </w:p>
    <w:p>
      <w:pPr>
        <w:ind w:right="660" w:firstLine="1447"/>
        <w:spacing w:after="0" w:line="277" w:lineRule="auto"/>
        <w:rPr>
          <w:sz w:val="20"/>
          <w:szCs w:val="20"/>
          <w:color w:val="auto"/>
        </w:rPr>
      </w:pPr>
      <w:r>
        <w:rPr>
          <w:rFonts w:ascii="Arial" w:cs="Arial" w:eastAsia="Arial" w:hAnsi="Arial"/>
          <w:sz w:val="17"/>
          <w:szCs w:val="17"/>
          <w:color w:val="auto"/>
        </w:rPr>
        <w:t xml:space="preserve">THIS FIRST AMENDMENT TO PATHOLOGY SERVICES AGREEMENT (the </w:t>
      </w:r>
      <w:r>
        <w:rPr>
          <w:rFonts w:ascii="Arial" w:cs="Arial" w:eastAsia="Arial" w:hAnsi="Arial"/>
          <w:sz w:val="17"/>
          <w:szCs w:val="17"/>
          <w:b w:val="1"/>
          <w:bCs w:val="1"/>
          <w:color w:val="auto"/>
        </w:rPr>
        <w:t>“Amendment”</w:t>
      </w:r>
      <w:r>
        <w:rPr>
          <w:rFonts w:ascii="Arial" w:cs="Arial" w:eastAsia="Arial" w:hAnsi="Arial"/>
          <w:sz w:val="17"/>
          <w:szCs w:val="17"/>
          <w:color w:val="auto"/>
        </w:rPr>
        <w:t>) is made and entered into as of December 19, 2012, by and between VERACYTE, INC., a California corporation (</w:t>
      </w:r>
      <w:r>
        <w:rPr>
          <w:rFonts w:ascii="Arial" w:cs="Arial" w:eastAsia="Arial" w:hAnsi="Arial"/>
          <w:sz w:val="17"/>
          <w:szCs w:val="17"/>
          <w:b w:val="1"/>
          <w:bCs w:val="1"/>
          <w:color w:val="auto"/>
        </w:rPr>
        <w:t>“Veracyte”</w:t>
      </w:r>
      <w:r>
        <w:rPr>
          <w:rFonts w:ascii="Arial" w:cs="Arial" w:eastAsia="Arial" w:hAnsi="Arial"/>
          <w:sz w:val="17"/>
          <w:szCs w:val="17"/>
          <w:color w:val="auto"/>
        </w:rPr>
        <w:t>) and THYROID CYTOLOGY PARTNERS, P.A., a Texas professional association (</w:t>
      </w:r>
      <w:r>
        <w:rPr>
          <w:rFonts w:ascii="Arial" w:cs="Arial" w:eastAsia="Arial" w:hAnsi="Arial"/>
          <w:sz w:val="17"/>
          <w:szCs w:val="17"/>
          <w:b w:val="1"/>
          <w:bCs w:val="1"/>
          <w:color w:val="auto"/>
        </w:rPr>
        <w:t>“Pathologists”</w:t>
      </w:r>
      <w:r>
        <w:rPr>
          <w:rFonts w:ascii="Arial" w:cs="Arial" w:eastAsia="Arial" w:hAnsi="Arial"/>
          <w:sz w:val="17"/>
          <w:szCs w:val="17"/>
          <w:color w:val="auto"/>
        </w:rPr>
        <w:t>) with respect to the following: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420" w:firstLine="760"/>
        <w:spacing w:after="0" w:line="289" w:lineRule="auto"/>
        <w:tabs>
          <w:tab w:leader="none" w:pos="144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Veracyte is engaged in the business of developing and marketing diagnostic testing utilizing Veracyte’s proprietary molecular assays and procuring the related anatomic and cytologic pathology through contracted pathologists.</w:t>
      </w:r>
    </w:p>
    <w:p>
      <w:pPr>
        <w:spacing w:after="0" w:line="158" w:lineRule="exact"/>
        <w:rPr>
          <w:rFonts w:ascii="Arial" w:cs="Arial" w:eastAsia="Arial" w:hAnsi="Arial"/>
          <w:sz w:val="17"/>
          <w:szCs w:val="17"/>
          <w:color w:val="auto"/>
        </w:rPr>
      </w:pPr>
    </w:p>
    <w:p>
      <w:pPr>
        <w:ind w:right="20" w:firstLine="760"/>
        <w:spacing w:after="0" w:line="273" w:lineRule="auto"/>
        <w:tabs>
          <w:tab w:leader="none" w:pos="14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Brazos Valley Pathology, P.A., doing business as Reitpath, a Texas professional association, and Veracyte have entered into that certain Pathology Services Agreement dated November 10, 2010, as assigned to Pathologists on May 18, 2011 (the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Pathologists provide certain professional pathology services to Veracyte.</w:t>
      </w:r>
    </w:p>
    <w:p>
      <w:pPr>
        <w:spacing w:after="0" w:line="171" w:lineRule="exact"/>
        <w:rPr>
          <w:rFonts w:ascii="Arial" w:cs="Arial" w:eastAsia="Arial" w:hAnsi="Arial"/>
          <w:sz w:val="17"/>
          <w:szCs w:val="17"/>
          <w:color w:val="auto"/>
        </w:rPr>
      </w:pPr>
    </w:p>
    <w:p>
      <w:pPr>
        <w:ind w:left="1440" w:hanging="680"/>
        <w:spacing w:after="0"/>
        <w:tabs>
          <w:tab w:leader="none" w:pos="14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Veracyte and Pathologists desire to amend the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IN CONSIDERATION of the foregoing recitals and the mutual promises and covenants contained herein, Veracyte and Pathologists agree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06" w:lineRule="exact"/>
        <w:rPr>
          <w:sz w:val="20"/>
          <w:szCs w:val="20"/>
          <w:color w:val="auto"/>
        </w:rPr>
      </w:pPr>
    </w:p>
    <w:p>
      <w:pPr>
        <w:ind w:left="1440" w:hanging="680"/>
        <w:spacing w:after="0"/>
        <w:tabs>
          <w:tab w:leader="none" w:pos="1440"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terms not otherwise defined herein shall have the meaning ascribed to them in the Agreement.</w:t>
      </w:r>
    </w:p>
    <w:p>
      <w:pPr>
        <w:spacing w:after="0" w:line="224" w:lineRule="exact"/>
        <w:rPr>
          <w:rFonts w:ascii="Arial" w:cs="Arial" w:eastAsia="Arial" w:hAnsi="Arial"/>
          <w:sz w:val="17"/>
          <w:szCs w:val="17"/>
          <w:color w:val="auto"/>
        </w:rPr>
      </w:pPr>
    </w:p>
    <w:p>
      <w:pPr>
        <w:ind w:left="1440" w:hanging="680"/>
        <w:spacing w:after="0"/>
        <w:tabs>
          <w:tab w:leader="none" w:pos="1440"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1(b)</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1(b) to the Agreement is hereby amended and restated to read in its entirety as follows:</w:t>
      </w:r>
    </w:p>
    <w:p>
      <w:pPr>
        <w:spacing w:after="0" w:line="224" w:lineRule="exact"/>
        <w:rPr>
          <w:sz w:val="20"/>
          <w:szCs w:val="20"/>
          <w:color w:val="auto"/>
        </w:rPr>
      </w:pPr>
    </w:p>
    <w:p>
      <w:pPr>
        <w:ind w:left="760" w:right="40"/>
        <w:spacing w:after="0" w:line="28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Approved Physicians</w:t>
      </w:r>
      <w:r>
        <w:rPr>
          <w:rFonts w:ascii="Arial" w:cs="Arial" w:eastAsia="Arial" w:hAnsi="Arial"/>
          <w:sz w:val="16"/>
          <w:szCs w:val="16"/>
          <w:color w:val="auto"/>
        </w:rPr>
        <w:t xml:space="preserve">. Pathologists will provide the services through individual physicians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b w:val="1"/>
          <w:bCs w:val="1"/>
          <w:color w:val="auto"/>
        </w:rPr>
        <w:t>Approved Physicians</w:t>
      </w:r>
      <w:r>
        <w:rPr>
          <w:rFonts w:ascii="Arial" w:cs="Arial" w:eastAsia="Arial" w:hAnsi="Arial"/>
          <w:sz w:val="16"/>
          <w:szCs w:val="16"/>
          <w:color w:val="auto"/>
        </w:rPr>
        <w:t xml:space="preserve">”). From time to time additional physicians may be engaged by Pathologists to furnish services under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each additional physician must satisfy the professional standards and qualifications set forth in this Agreement. Veracyte shall have the sole discretion to approve any such physician in writing prior to furnishing services. Pathologists shall also undertake commercially reasonable efforts to hire a nationally recognized thyroid expert, on at least a part-time basis, to assist Pathologists in providing the Services (as defined below) pursuant to this Agreement.”</w:t>
      </w:r>
    </w:p>
    <w:p>
      <w:pPr>
        <w:spacing w:after="0" w:line="158" w:lineRule="exact"/>
        <w:rPr>
          <w:sz w:val="20"/>
          <w:szCs w:val="20"/>
          <w:color w:val="auto"/>
        </w:rPr>
      </w:pPr>
    </w:p>
    <w:p>
      <w:pPr>
        <w:ind w:left="5680" w:right="2320" w:hanging="4920"/>
        <w:spacing w:after="0" w:line="554" w:lineRule="auto"/>
        <w:tabs>
          <w:tab w:leader="none" w:pos="1451"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1(d)</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1(d) to the Agreement is hereby amended and restated to read in its entirety as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60" w:right="480"/>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International Arrangements</w:t>
      </w:r>
      <w:r>
        <w:rPr>
          <w:rFonts w:ascii="Arial" w:cs="Arial" w:eastAsia="Arial" w:hAnsi="Arial"/>
          <w:sz w:val="17"/>
          <w:szCs w:val="17"/>
          <w:color w:val="auto"/>
        </w:rPr>
        <w:t>. The Parties shall meet and confer in good faith to negotiate the terms and conditions pursuant to which the Services may be provided by Pathologists for samples obtained outside of the United States by Veracyte. Veracyte may engage multiple service providers to provide the Services for patients located outside of the United States.”</w:t>
      </w:r>
    </w:p>
    <w:p>
      <w:pPr>
        <w:spacing w:after="0" w:line="166" w:lineRule="exact"/>
        <w:rPr>
          <w:sz w:val="20"/>
          <w:szCs w:val="20"/>
          <w:color w:val="auto"/>
        </w:rPr>
      </w:pPr>
    </w:p>
    <w:p>
      <w:pPr>
        <w:ind w:left="1440" w:hanging="680"/>
        <w:spacing w:after="0"/>
        <w:tabs>
          <w:tab w:leader="none" w:pos="1440" w:val="left"/>
        </w:tabs>
        <w:numPr>
          <w:ilvl w:val="0"/>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3(b)</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3(b) to the Agreement is hereby amended and restated to read in its entirety as follows:</w:t>
      </w:r>
    </w:p>
    <w:p>
      <w:pPr>
        <w:spacing w:after="0" w:line="230" w:lineRule="exact"/>
        <w:rPr>
          <w:sz w:val="20"/>
          <w:szCs w:val="20"/>
          <w:color w:val="auto"/>
        </w:rPr>
      </w:pPr>
    </w:p>
    <w:p>
      <w:pPr>
        <w:ind w:left="760"/>
        <w:spacing w:after="0"/>
        <w:tabs>
          <w:tab w:leader="none" w:pos="142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u w:val="single" w:color="auto"/>
          <w:color w:val="auto"/>
        </w:rPr>
        <w:t>Covered States</w:t>
      </w:r>
      <w:r>
        <w:rPr>
          <w:rFonts w:ascii="Arial" w:cs="Arial" w:eastAsia="Arial" w:hAnsi="Arial"/>
          <w:sz w:val="17"/>
          <w:szCs w:val="17"/>
          <w:color w:val="auto"/>
        </w:rPr>
        <w:t>. Veracyte may provide specimens from the fifty United States (the “Covered States”).”</w:t>
      </w:r>
    </w:p>
    <w:p>
      <w:pPr>
        <w:spacing w:after="0" w:line="218" w:lineRule="exact"/>
        <w:rPr>
          <w:sz w:val="20"/>
          <w:szCs w:val="20"/>
          <w:color w:val="auto"/>
        </w:rPr>
      </w:pPr>
    </w:p>
    <w:p>
      <w:pPr>
        <w:ind w:left="1440" w:hanging="680"/>
        <w:spacing w:after="0"/>
        <w:tabs>
          <w:tab w:leader="none" w:pos="1440" w:val="left"/>
        </w:tabs>
        <w:numPr>
          <w:ilvl w:val="0"/>
          <w:numId w:val="283"/>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 to the Agreement is hereby amended and restated to read in its entirety as follows:</w:t>
      </w:r>
    </w:p>
    <w:p>
      <w:pPr>
        <w:spacing w:after="0" w:line="224" w:lineRule="exact"/>
        <w:rPr>
          <w:sz w:val="20"/>
          <w:szCs w:val="20"/>
          <w:color w:val="auto"/>
        </w:rPr>
      </w:pPr>
    </w:p>
    <w:p>
      <w:pPr>
        <w:ind w:left="760" w:right="200"/>
        <w:spacing w:after="0" w:line="302"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become effective on the Effective Date, and shall continue until December 31, 2015 (the </w:t>
      </w:r>
      <w:r>
        <w:rPr>
          <w:rFonts w:ascii="Arial" w:cs="Arial" w:eastAsia="Arial" w:hAnsi="Arial"/>
          <w:sz w:val="16"/>
          <w:szCs w:val="16"/>
          <w:b w:val="1"/>
          <w:bCs w:val="1"/>
          <w:color w:val="auto"/>
        </w:rPr>
        <w:t>“Expiration Date”)</w:t>
      </w:r>
      <w:r>
        <w:rPr>
          <w:rFonts w:ascii="Arial" w:cs="Arial" w:eastAsia="Arial" w:hAnsi="Arial"/>
          <w:sz w:val="16"/>
          <w:szCs w:val="16"/>
          <w:color w:val="auto"/>
        </w:rPr>
        <w:t>, unless terminated earlier as provided herein. The Agreement shall automatically renew for successive one (1) year terms unless either Party gives written notice of its intention not to renew this Agreement at least twelve (12) months prior to the end of the then current term.”</w:t>
      </w:r>
    </w:p>
    <w:p>
      <w:pPr>
        <w:spacing w:after="0" w:line="144" w:lineRule="exact"/>
        <w:rPr>
          <w:sz w:val="20"/>
          <w:szCs w:val="20"/>
          <w:color w:val="auto"/>
        </w:rPr>
      </w:pPr>
    </w:p>
    <w:p>
      <w:pPr>
        <w:ind w:left="1440" w:hanging="680"/>
        <w:spacing w:after="0"/>
        <w:tabs>
          <w:tab w:leader="none" w:pos="1440" w:val="left"/>
        </w:tabs>
        <w:numPr>
          <w:ilvl w:val="0"/>
          <w:numId w:val="284"/>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8(d)(iii)</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8(d)(iii) to the Agreement is hereby amended and restated to read in its entirety as follows:</w:t>
      </w:r>
    </w:p>
    <w:p>
      <w:pPr>
        <w:spacing w:after="0" w:line="230" w:lineRule="exact"/>
        <w:rPr>
          <w:sz w:val="20"/>
          <w:szCs w:val="20"/>
          <w:color w:val="auto"/>
        </w:rPr>
      </w:pPr>
    </w:p>
    <w:p>
      <w:pPr>
        <w:ind w:left="760" w:right="140"/>
        <w:spacing w:after="0" w:line="283" w:lineRule="auto"/>
        <w:rPr>
          <w:sz w:val="20"/>
          <w:szCs w:val="20"/>
          <w:color w:val="auto"/>
        </w:rPr>
      </w:pPr>
      <w:r>
        <w:rPr>
          <w:rFonts w:ascii="Arial" w:cs="Arial" w:eastAsia="Arial" w:hAnsi="Arial"/>
          <w:sz w:val="16"/>
          <w:szCs w:val="16"/>
          <w:color w:val="auto"/>
        </w:rPr>
        <w:t>“(iii) Veracyte shall reimburse Pathologists for the annual cost incurred prior to January 1, 2013 for renewing state licenses (other than Texas) for Approved Physicians. Veracyte shall also reimburse Pathologists for the costs incurred prior to January 1, 2013 for acquiring licenses for Approved Physicians in states other than Texas in order to provide the Services hereunder; this will include, without, limitation, reimbursement of the costs incurred prior to the Effective Date of this Agreement for licenses acquired specifically in anticipation of the execution of the Agreement. Pathologists shall assume all financial responsibility for the costs incurred on or after January 1, 2013 for licensing all Approved Physicians, including, without limitation, any patient compensation fund contribution requirements required by any applicable state law.”</w:t>
      </w:r>
    </w:p>
    <w:p>
      <w:pPr>
        <w:spacing w:after="0" w:line="161" w:lineRule="exact"/>
        <w:rPr>
          <w:sz w:val="20"/>
          <w:szCs w:val="20"/>
          <w:color w:val="auto"/>
        </w:rPr>
      </w:pPr>
    </w:p>
    <w:p>
      <w:pPr>
        <w:ind w:left="1440" w:hanging="680"/>
        <w:spacing w:after="0"/>
        <w:tabs>
          <w:tab w:leader="none" w:pos="1440"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t>New Section 8(d)(iv)</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8(d)(iv) is hereby added to the Agreement to read in its entirety as follows:</w:t>
      </w:r>
    </w:p>
    <w:p>
      <w:pPr>
        <w:spacing w:after="0" w:line="230" w:lineRule="exact"/>
        <w:rPr>
          <w:sz w:val="20"/>
          <w:szCs w:val="20"/>
          <w:color w:val="auto"/>
        </w:rPr>
      </w:pPr>
    </w:p>
    <w:p>
      <w:pPr>
        <w:ind w:left="760" w:right="40"/>
        <w:spacing w:after="0" w:line="268" w:lineRule="auto"/>
        <w:rPr>
          <w:sz w:val="20"/>
          <w:szCs w:val="20"/>
          <w:color w:val="auto"/>
        </w:rPr>
      </w:pPr>
      <w:r>
        <w:rPr>
          <w:rFonts w:ascii="Arial" w:cs="Arial" w:eastAsia="Arial" w:hAnsi="Arial"/>
          <w:sz w:val="17"/>
          <w:szCs w:val="17"/>
          <w:color w:val="auto"/>
        </w:rPr>
        <w:t>“(iv) Pathologists shall be entitled to use one or more offices as mutually agreed from time to time in office space leased by Veracyte at 12357 A Riata Trace Parkway, Building 5, Austin, Texas 78727. Commencing on January 1, 2013, Pathologists shall reimburse Veracyte the proportionate share, including common areas,(based on the ratio of office space used by Pathologists relative to the total space leased by Veracyte) of Veracyte’s actual out-of-pocket rental costs for such space including base rent and operating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337" w:gutter="0" w:footer="0" w:header="0"/>
        </w:sectPr>
      </w:pPr>
    </w:p>
    <w:bookmarkStart w:id="275" w:name="page276"/>
    <w:bookmarkEnd w:id="275"/>
    <w:p>
      <w:pPr>
        <w:ind w:left="1440" w:hanging="680"/>
        <w:spacing w:after="0"/>
        <w:tabs>
          <w:tab w:leader="none" w:pos="1440"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color w:val="auto"/>
        </w:rPr>
        <w:t>is hereby amended and restated to read in its entirety as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January 1, 2013.</w:t>
      </w:r>
    </w:p>
    <w:p>
      <w:pPr>
        <w:spacing w:after="0" w:line="224" w:lineRule="exact"/>
        <w:rPr>
          <w:rFonts w:ascii="Arial" w:cs="Arial" w:eastAsia="Arial" w:hAnsi="Arial"/>
          <w:sz w:val="17"/>
          <w:szCs w:val="17"/>
          <w:color w:val="auto"/>
        </w:rPr>
      </w:pPr>
    </w:p>
    <w:p>
      <w:pPr>
        <w:ind w:right="340" w:firstLine="760"/>
        <w:spacing w:after="0" w:line="297" w:lineRule="auto"/>
        <w:tabs>
          <w:tab w:leader="none" w:pos="1437"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may be executed in one or more counterparts, each of which shall be deemed to be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w:t>
      </w:r>
    </w:p>
    <w:p>
      <w:pPr>
        <w:spacing w:after="0" w:line="145" w:lineRule="exact"/>
        <w:rPr>
          <w:rFonts w:ascii="Arial" w:cs="Arial" w:eastAsia="Arial" w:hAnsi="Arial"/>
          <w:sz w:val="17"/>
          <w:szCs w:val="17"/>
          <w:color w:val="auto"/>
        </w:rPr>
      </w:pPr>
    </w:p>
    <w:p>
      <w:pPr>
        <w:ind w:right="80" w:firstLine="760"/>
        <w:spacing w:after="0" w:line="297" w:lineRule="auto"/>
        <w:tabs>
          <w:tab w:leader="none" w:pos="1432"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Continuing 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herein provided, all of the terms and conditions of the Agreement remain in full force and effect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Effective Date of the Agreement.</w:t>
      </w:r>
    </w:p>
    <w:p>
      <w:pPr>
        <w:spacing w:after="0" w:line="145" w:lineRule="exact"/>
        <w:rPr>
          <w:rFonts w:ascii="Arial" w:cs="Arial" w:eastAsia="Arial" w:hAnsi="Arial"/>
          <w:sz w:val="17"/>
          <w:szCs w:val="17"/>
          <w:color w:val="auto"/>
        </w:rPr>
      </w:pPr>
    </w:p>
    <w:p>
      <w:pPr>
        <w:ind w:left="1460" w:right="320" w:hanging="700"/>
        <w:spacing w:after="0" w:line="660" w:lineRule="auto"/>
        <w:tabs>
          <w:tab w:leader="none" w:pos="1439" w:val="left"/>
        </w:tabs>
        <w:numPr>
          <w:ilvl w:val="0"/>
          <w:numId w:val="286"/>
        </w:numPr>
        <w:rPr>
          <w:rFonts w:ascii="Arial" w:cs="Arial" w:eastAsia="Arial" w:hAnsi="Arial"/>
          <w:sz w:val="15"/>
          <w:szCs w:val="15"/>
          <w:color w:val="auto"/>
        </w:rPr>
      </w:pPr>
      <w:r>
        <w:rPr>
          <w:rFonts w:ascii="Arial" w:cs="Arial" w:eastAsia="Arial" w:hAnsi="Arial"/>
          <w:sz w:val="15"/>
          <w:szCs w:val="15"/>
          <w:b w:val="1"/>
          <w:bCs w:val="1"/>
          <w:u w:val="single" w:color="auto"/>
          <w:color w:val="auto"/>
        </w:rPr>
        <w:t>Reference</w:t>
      </w:r>
      <w:r>
        <w:rPr>
          <w:rFonts w:ascii="Arial" w:cs="Arial" w:eastAsia="Arial" w:hAnsi="Arial"/>
          <w:sz w:val="15"/>
          <w:szCs w:val="15"/>
          <w:b w:val="1"/>
          <w:bCs w:val="1"/>
          <w:color w:val="auto"/>
        </w:rPr>
        <w:t xml:space="preserve">. </w:t>
      </w:r>
      <w:r>
        <w:rPr>
          <w:rFonts w:ascii="Arial" w:cs="Arial" w:eastAsia="Arial" w:hAnsi="Arial"/>
          <w:sz w:val="15"/>
          <w:szCs w:val="15"/>
          <w:color w:val="auto"/>
        </w:rPr>
        <w:t>After the date of this Amendment, any reference to the Agreement shall mean the Agreement as amended by this 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IN WITNESS WHEREOF, Veracyte and Pathologists have executed this Amendment as of the day and year first written above.</w:t>
      </w:r>
    </w:p>
    <w:p>
      <w:pPr>
        <w:spacing w:after="0" w:line="10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 a California corporation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/s/ Mark E. Spring</w:t>
            </w: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52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7"/>
                <w:szCs w:val="17"/>
                <w:color w:val="auto"/>
              </w:rPr>
              <w:t>Mark E. Spring</w:t>
            </w: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7"/>
                <w:szCs w:val="17"/>
                <w:color w:val="auto"/>
              </w:rPr>
              <w:t>Its</w:t>
            </w:r>
          </w:p>
        </w:tc>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CFO</w:t>
            </w:r>
          </w:p>
        </w:tc>
        <w:tc>
          <w:tcPr>
            <w:tcW w:w="40" w:type="dxa"/>
            <w:vAlign w:val="bottom"/>
          </w:tcPr>
          <w:p>
            <w:pPr>
              <w:spacing w:after="0"/>
              <w:rPr>
                <w:sz w:val="17"/>
                <w:szCs w:val="17"/>
                <w:color w:val="auto"/>
              </w:rPr>
            </w:pPr>
          </w:p>
        </w:tc>
      </w:tr>
      <w:tr>
        <w:trPr>
          <w:trHeight w:val="60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THYROID CYTOLOGY PARTNERS, P.A., a Texas professional association</w:t>
            </w:r>
          </w:p>
        </w:tc>
      </w:tr>
      <w:tr>
        <w:trPr>
          <w:trHeight w:val="62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/s/ [ILLEGIBLE]</w:t>
            </w: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9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7"/>
                <w:szCs w:val="17"/>
                <w:color w:val="auto"/>
              </w:rPr>
              <w:t>Its</w:t>
            </w:r>
          </w:p>
        </w:tc>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President</w:t>
            </w:r>
          </w:p>
        </w:tc>
        <w:tc>
          <w:tcPr>
            <w:tcW w:w="40" w:type="dxa"/>
            <w:vAlign w:val="bottom"/>
          </w:tcPr>
          <w:p>
            <w:pPr>
              <w:spacing w:after="0"/>
              <w:rPr>
                <w:sz w:val="17"/>
                <w:szCs w:val="17"/>
                <w:color w:val="auto"/>
              </w:rPr>
            </w:pPr>
          </w:p>
        </w:tc>
      </w:tr>
      <w:tr>
        <w:trPr>
          <w:trHeight w:val="412"/>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gridSpan w:val="2"/>
          </w:tcPr>
          <w:p>
            <w:pPr>
              <w:jc w:val="center"/>
              <w:ind w:left="1193"/>
              <w:spacing w:after="0"/>
              <w:rPr>
                <w:sz w:val="20"/>
                <w:szCs w:val="20"/>
                <w:color w:val="auto"/>
              </w:rPr>
            </w:pPr>
            <w:r>
              <w:rPr>
                <w:rFonts w:ascii="Arial" w:cs="Arial" w:eastAsia="Arial" w:hAnsi="Arial"/>
                <w:sz w:val="17"/>
                <w:szCs w:val="17"/>
                <w:color w:val="auto"/>
                <w:w w:val="84"/>
              </w:rPr>
              <w:t>3</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3"/>
          </w:tcPr>
          <w:p>
            <w:pPr>
              <w:jc w:val="center"/>
              <w:ind w:left="993"/>
              <w:spacing w:after="0"/>
              <w:rPr>
                <w:sz w:val="20"/>
                <w:szCs w:val="20"/>
                <w:color w:val="auto"/>
              </w:rPr>
            </w:pPr>
            <w:r>
              <w:rPr>
                <w:rFonts w:ascii="Arial" w:cs="Arial" w:eastAsia="Arial" w:hAnsi="Arial"/>
                <w:sz w:val="17"/>
                <w:szCs w:val="17"/>
                <w:b w:val="1"/>
                <w:bCs w:val="1"/>
                <w:color w:val="auto"/>
              </w:rPr>
              <w:t>EXHIBIT B</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jc w:val="center"/>
              <w:ind w:right="4200"/>
              <w:spacing w:after="0"/>
              <w:rPr>
                <w:sz w:val="20"/>
                <w:szCs w:val="20"/>
                <w:color w:val="auto"/>
              </w:rPr>
            </w:pPr>
            <w:r>
              <w:rPr>
                <w:rFonts w:ascii="Arial" w:cs="Arial" w:eastAsia="Arial" w:hAnsi="Arial"/>
                <w:sz w:val="17"/>
                <w:szCs w:val="17"/>
                <w:b w:val="1"/>
                <w:bCs w:val="1"/>
                <w:color w:val="auto"/>
              </w:rPr>
              <w:t>APPROVED PHYSICIANS</w:t>
            </w:r>
          </w:p>
        </w:tc>
      </w:tr>
      <w:tr>
        <w:trPr>
          <w:trHeight w:val="408"/>
        </w:trPr>
        <w:tc>
          <w:tcPr>
            <w:tcW w:w="4160" w:type="dxa"/>
            <w:vAlign w:val="bottom"/>
            <w:gridSpan w:val="6"/>
          </w:tcPr>
          <w:p>
            <w:pPr>
              <w:spacing w:after="0"/>
              <w:rPr>
                <w:sz w:val="20"/>
                <w:szCs w:val="20"/>
                <w:color w:val="auto"/>
              </w:rPr>
            </w:pPr>
            <w:r>
              <w:rPr>
                <w:rFonts w:ascii="Arial" w:cs="Arial" w:eastAsia="Arial" w:hAnsi="Arial"/>
                <w:sz w:val="17"/>
                <w:szCs w:val="17"/>
                <w:color w:val="auto"/>
              </w:rPr>
              <w:t>Dr. Katherine O’Reilly</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Torn Traweek</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Cherry Starling</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Rose Matte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Kevin Stancoven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Alex Van Amerongen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Mike Cohen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Kelly Gilliland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Laura Been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Eric Harp</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160" w:type="dxa"/>
            <w:vAlign w:val="bottom"/>
            <w:gridSpan w:val="6"/>
          </w:tcPr>
          <w:p>
            <w:pPr>
              <w:spacing w:after="0"/>
              <w:rPr>
                <w:sz w:val="20"/>
                <w:szCs w:val="20"/>
                <w:color w:val="auto"/>
              </w:rPr>
            </w:pPr>
            <w:r>
              <w:rPr>
                <w:rFonts w:ascii="Arial" w:cs="Arial" w:eastAsia="Arial" w:hAnsi="Arial"/>
                <w:sz w:val="17"/>
                <w:szCs w:val="17"/>
                <w:color w:val="auto"/>
              </w:rPr>
              <w:t>Dr. Nancy Ciau</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gridSpan w:val="2"/>
          </w:tcPr>
          <w:p>
            <w:pPr>
              <w:jc w:val="center"/>
              <w:ind w:left="1193"/>
              <w:spacing w:after="0"/>
              <w:rPr>
                <w:sz w:val="20"/>
                <w:szCs w:val="20"/>
                <w:color w:val="auto"/>
              </w:rPr>
            </w:pPr>
            <w:r>
              <w:rPr>
                <w:rFonts w:ascii="Arial" w:cs="Arial" w:eastAsia="Arial" w:hAnsi="Arial"/>
                <w:sz w:val="17"/>
                <w:szCs w:val="17"/>
                <w:color w:val="auto"/>
                <w:w w:val="84"/>
              </w:rPr>
              <w:t>4</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gridSpan w:val="2"/>
          </w:tcPr>
          <w:p>
            <w:pPr>
              <w:spacing w:after="0"/>
              <w:rPr>
                <w:sz w:val="11"/>
                <w:szCs w:val="11"/>
                <w:color w:val="auto"/>
              </w:rPr>
            </w:pPr>
          </w:p>
        </w:tc>
        <w:tc>
          <w:tcPr>
            <w:tcW w:w="13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gridSpan w:val="2"/>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ind w:left="1500"/>
              <w:spacing w:after="0"/>
              <w:rPr>
                <w:sz w:val="20"/>
                <w:szCs w:val="20"/>
                <w:color w:val="auto"/>
              </w:rPr>
            </w:pPr>
            <w:r>
              <w:rPr>
                <w:rFonts w:ascii="Arial" w:cs="Arial" w:eastAsia="Arial" w:hAnsi="Arial"/>
                <w:sz w:val="17"/>
                <w:szCs w:val="17"/>
                <w:b w:val="1"/>
                <w:bCs w:val="1"/>
                <w:color w:val="auto"/>
                <w:w w:val="94"/>
              </w:rPr>
              <w:t>*** Confidential material redacted and filed separately with the Commission.</w:t>
            </w: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3"/>
          </w:tcPr>
          <w:p>
            <w:pPr>
              <w:jc w:val="center"/>
              <w:ind w:left="993"/>
              <w:spacing w:after="0"/>
              <w:rPr>
                <w:sz w:val="20"/>
                <w:szCs w:val="20"/>
                <w:color w:val="auto"/>
              </w:rPr>
            </w:pPr>
            <w:r>
              <w:rPr>
                <w:rFonts w:ascii="Arial" w:cs="Arial" w:eastAsia="Arial" w:hAnsi="Arial"/>
                <w:sz w:val="17"/>
                <w:szCs w:val="17"/>
                <w:b w:val="1"/>
                <w:bCs w:val="1"/>
                <w:color w:val="auto"/>
              </w:rPr>
              <w:t>EXHIBIT 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jc w:val="center"/>
              <w:ind w:right="4200"/>
              <w:spacing w:after="0"/>
              <w:rPr>
                <w:sz w:val="20"/>
                <w:szCs w:val="20"/>
                <w:color w:val="auto"/>
              </w:rPr>
            </w:pPr>
            <w:r>
              <w:rPr>
                <w:rFonts w:ascii="Arial" w:cs="Arial" w:eastAsia="Arial" w:hAnsi="Arial"/>
                <w:sz w:val="17"/>
                <w:szCs w:val="17"/>
                <w:b w:val="1"/>
                <w:bCs w:val="1"/>
                <w:color w:val="auto"/>
              </w:rPr>
              <w:t>FEE SCHEDULE</w:t>
            </w:r>
          </w:p>
        </w:tc>
      </w:tr>
      <w:tr>
        <w:trPr>
          <w:trHeight w:val="354"/>
        </w:trPr>
        <w:tc>
          <w:tcPr>
            <w:tcW w:w="640" w:type="dxa"/>
            <w:vAlign w:val="bottom"/>
          </w:tcPr>
          <w:p>
            <w:pPr>
              <w:spacing w:after="0"/>
              <w:rPr>
                <w:sz w:val="24"/>
                <w:szCs w:val="24"/>
                <w:color w:val="auto"/>
              </w:rPr>
            </w:pPr>
          </w:p>
        </w:tc>
        <w:tc>
          <w:tcPr>
            <w:tcW w:w="3520" w:type="dxa"/>
            <w:vAlign w:val="bottom"/>
            <w:gridSpan w:val="5"/>
          </w:tcPr>
          <w:p>
            <w:pPr>
              <w:spacing w:after="0"/>
              <w:rPr>
                <w:sz w:val="20"/>
                <w:szCs w:val="20"/>
                <w:color w:val="auto"/>
              </w:rPr>
            </w:pPr>
            <w:r>
              <w:rPr>
                <w:rFonts w:ascii="Arial" w:cs="Arial" w:eastAsia="Arial" w:hAnsi="Arial"/>
                <w:sz w:val="14"/>
                <w:szCs w:val="14"/>
                <w:b w:val="1"/>
                <w:bCs w:val="1"/>
                <w:color w:val="auto"/>
              </w:rPr>
              <w:t>Monthly Billable Nodules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Price per Nodule</w:t>
            </w:r>
          </w:p>
        </w:tc>
      </w:tr>
      <w:tr>
        <w:trPr>
          <w:trHeight w:val="203"/>
        </w:trPr>
        <w:tc>
          <w:tcPr>
            <w:tcW w:w="640" w:type="dxa"/>
            <w:vAlign w:val="bottom"/>
          </w:tcPr>
          <w:p>
            <w:pPr>
              <w:spacing w:after="0"/>
              <w:rPr>
                <w:sz w:val="17"/>
                <w:szCs w:val="17"/>
                <w:color w:val="auto"/>
              </w:rPr>
            </w:pPr>
          </w:p>
        </w:tc>
        <w:tc>
          <w:tcPr>
            <w:tcW w:w="3520" w:type="dxa"/>
            <w:vAlign w:val="bottom"/>
            <w:tcBorders>
              <w:top w:val="single" w:sz="8" w:color="auto"/>
            </w:tcBorders>
            <w:gridSpan w:val="5"/>
            <w:shd w:val="clear" w:color="auto" w:fill="CCEEFF"/>
          </w:tcPr>
          <w:p>
            <w:pPr>
              <w:jc w:val="center"/>
              <w:ind w:left="1481"/>
              <w:spacing w:after="0"/>
              <w:rPr>
                <w:sz w:val="20"/>
                <w:szCs w:val="20"/>
                <w:color w:val="auto"/>
              </w:rPr>
            </w:pPr>
            <w:r>
              <w:rPr>
                <w:rFonts w:ascii="Arial" w:cs="Arial" w:eastAsia="Arial" w:hAnsi="Arial"/>
                <w:sz w:val="17"/>
                <w:szCs w:val="17"/>
                <w:color w:val="auto"/>
              </w:rPr>
              <w:t>&lt; ***</w:t>
            </w: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center"/>
              <w:ind w:right="520"/>
              <w:spacing w:after="0" w:line="189" w:lineRule="exact"/>
              <w:rPr>
                <w:sz w:val="20"/>
                <w:szCs w:val="20"/>
                <w:color w:val="auto"/>
              </w:rPr>
            </w:pPr>
            <w:r>
              <w:rPr>
                <w:rFonts w:ascii="Arial" w:cs="Arial" w:eastAsia="Arial" w:hAnsi="Arial"/>
                <w:sz w:val="17"/>
                <w:szCs w:val="17"/>
                <w:color w:val="auto"/>
              </w:rPr>
              <w:t>&gt;*** - &lt;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center"/>
              <w:ind w:right="520"/>
              <w:spacing w:after="0" w:line="189" w:lineRule="exact"/>
              <w:rPr>
                <w:sz w:val="20"/>
                <w:szCs w:val="20"/>
                <w:color w:val="auto"/>
              </w:rPr>
            </w:pPr>
            <w:r>
              <w:rPr>
                <w:rFonts w:ascii="Arial" w:cs="Arial" w:eastAsia="Arial" w:hAnsi="Arial"/>
                <w:sz w:val="17"/>
                <w:szCs w:val="17"/>
                <w:color w:val="auto"/>
              </w:rPr>
              <w:t>&gt;*** - &lt;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gridSpan w:val="3"/>
            <w:shd w:val="clear" w:color="auto" w:fill="CCEEFF"/>
          </w:tcPr>
          <w:p>
            <w:pPr>
              <w:jc w:val="center"/>
              <w:ind w:right="620"/>
              <w:spacing w:after="0" w:line="189" w:lineRule="exact"/>
              <w:rPr>
                <w:sz w:val="20"/>
                <w:szCs w:val="20"/>
                <w:color w:val="auto"/>
              </w:rPr>
            </w:pPr>
            <w:r>
              <w:rPr>
                <w:rFonts w:ascii="Arial" w:cs="Arial" w:eastAsia="Arial" w:hAnsi="Arial"/>
                <w:sz w:val="17"/>
                <w:szCs w:val="17"/>
                <w:color w:val="auto"/>
              </w:rPr>
              <w:t>&gt;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-4912995</wp:posOffset>
            </wp:positionV>
            <wp:extent cx="12700"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-4912995</wp:posOffset>
            </wp:positionV>
            <wp:extent cx="12700"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-2207260</wp:posOffset>
            </wp:positionV>
            <wp:extent cx="12700"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-2207260</wp:posOffset>
            </wp:positionV>
            <wp:extent cx="12700"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60"/>
      </w:cols>
      <w:pgMar w:left="240" w:top="12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1)"/>
      <w:numFmt w:val="decimal"/>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
      <w:numFmt w:val="bullet"/>
      <w:start w:val="1"/>
    </w:lvl>
  </w:abstractNum>
  <w:abstractNum w:abstractNumId="6">
    <w:nsid w:val="312167AD"/>
    <w:multiLevelType w:val="hybridMultilevel"/>
    <w:lvl w:ilvl="0">
      <w:lvlJc w:val="left"/>
      <w:lvlText w:val="•"/>
      <w:numFmt w:val="bullet"/>
      <w:start w:val="1"/>
    </w:lvl>
  </w:abstractNum>
  <w:abstractNum w:abstractNumId="7">
    <w:nsid w:val="631B64D4"/>
    <w:multiLevelType w:val="hybridMultilevel"/>
    <w:lvl w:ilvl="0">
      <w:lvlJc w:val="left"/>
      <w:lvlText w:val="•"/>
      <w:numFmt w:val="bullet"/>
      <w:start w:val="1"/>
    </w:lvl>
  </w:abstractNum>
  <w:abstractNum w:abstractNumId="8">
    <w:nsid w:val="78B5E776"/>
    <w:multiLevelType w:val="hybridMultilevel"/>
    <w:lvl w:ilvl="0">
      <w:lvlJc w:val="left"/>
      <w:lvlText w:val="•"/>
      <w:numFmt w:val="bullet"/>
      <w:start w:val="1"/>
    </w:lvl>
  </w:abstractNum>
  <w:abstractNum w:abstractNumId="9">
    <w:nsid w:val="75486E47"/>
    <w:multiLevelType w:val="hybridMultilevel"/>
    <w:lvl w:ilvl="0">
      <w:lvlJc w:val="left"/>
      <w:lvlText w:val="•"/>
      <w:numFmt w:val="bullet"/>
      <w:start w:val="1"/>
    </w:lvl>
  </w:abstractNum>
  <w:abstractNum w:abstractNumId="10">
    <w:nsid w:val="6E534CDE"/>
    <w:multiLevelType w:val="hybridMultilevel"/>
    <w:lvl w:ilvl="0">
      <w:lvlJc w:val="left"/>
      <w:lvlText w:val="(%1)"/>
      <w:numFmt w:val="decimal"/>
      <w:start w:val="1"/>
    </w:lvl>
  </w:abstractNum>
  <w:abstractNum w:abstractNumId="11">
    <w:nsid w:val="1A0DDE32"/>
    <w:multiLevelType w:val="hybridMultilevel"/>
    <w:lvl w:ilvl="0">
      <w:lvlJc w:val="left"/>
      <w:lvlText w:val="•"/>
      <w:numFmt w:val="bullet"/>
      <w:start w:val="1"/>
    </w:lvl>
  </w:abstractNum>
  <w:abstractNum w:abstractNumId="12">
    <w:nsid w:val="65968C1C"/>
    <w:multiLevelType w:val="hybridMultilevel"/>
    <w:lvl w:ilvl="0">
      <w:lvlJc w:val="left"/>
      <w:lvlText w:val="•"/>
      <w:numFmt w:val="bullet"/>
      <w:start w:val="1"/>
    </w:lvl>
  </w:abstractNum>
  <w:abstractNum w:abstractNumId="13">
    <w:nsid w:val="46263DEC"/>
    <w:multiLevelType w:val="hybridMultilevel"/>
    <w:lvl w:ilvl="0">
      <w:lvlJc w:val="left"/>
      <w:lvlText w:val="•"/>
      <w:numFmt w:val="bullet"/>
      <w:start w:val="1"/>
    </w:lvl>
  </w:abstractNum>
  <w:abstractNum w:abstractNumId="14">
    <w:nsid w:val="260D8C4A"/>
    <w:multiLevelType w:val="hybridMultilevel"/>
    <w:lvl w:ilvl="0">
      <w:lvlJc w:val="left"/>
      <w:lvlText w:val="•"/>
      <w:numFmt w:val="bullet"/>
      <w:start w:val="1"/>
    </w:lvl>
  </w:abstractNum>
  <w:abstractNum w:abstractNumId="15">
    <w:nsid w:val="73D4D3C4"/>
    <w:multiLevelType w:val="hybridMultilevel"/>
    <w:lvl w:ilvl="0">
      <w:lvlJc w:val="left"/>
      <w:lvlText w:val="•"/>
      <w:numFmt w:val="bullet"/>
      <w:start w:val="1"/>
    </w:lvl>
  </w:abstractNum>
  <w:abstractNum w:abstractNumId="16">
    <w:nsid w:val="746F2E30"/>
    <w:multiLevelType w:val="hybridMultilevel"/>
    <w:lvl w:ilvl="0">
      <w:lvlJc w:val="left"/>
      <w:lvlText w:val="•"/>
      <w:numFmt w:val="bullet"/>
      <w:start w:val="1"/>
    </w:lvl>
  </w:abstractNum>
  <w:abstractNum w:abstractNumId="17">
    <w:nsid w:val="6FDE8AF6"/>
    <w:multiLevelType w:val="hybridMultilevel"/>
    <w:lvl w:ilvl="0">
      <w:lvlJc w:val="left"/>
      <w:lvlText w:val="•"/>
      <w:numFmt w:val="bullet"/>
      <w:start w:val="1"/>
    </w:lvl>
  </w:abstractNum>
  <w:abstractNum w:abstractNumId="18">
    <w:nsid w:val="3FC32E20"/>
    <w:multiLevelType w:val="hybridMultilevel"/>
    <w:lvl w:ilvl="0">
      <w:lvlJc w:val="left"/>
      <w:lvlText w:val="•"/>
      <w:numFmt w:val="bullet"/>
      <w:start w:val="1"/>
    </w:lvl>
  </w:abstractNum>
  <w:abstractNum w:abstractNumId="19">
    <w:nsid w:val="49C0E823"/>
    <w:multiLevelType w:val="hybridMultilevel"/>
    <w:lvl w:ilvl="0">
      <w:lvlJc w:val="left"/>
      <w:lvlText w:val="•"/>
      <w:numFmt w:val="bullet"/>
      <w:start w:val="1"/>
    </w:lvl>
  </w:abstractNum>
  <w:abstractNum w:abstractNumId="20">
    <w:nsid w:val="14D53685"/>
    <w:multiLevelType w:val="hybridMultilevel"/>
    <w:lvl w:ilvl="0">
      <w:lvlJc w:val="left"/>
      <w:lvlText w:val="•"/>
      <w:numFmt w:val="bullet"/>
      <w:start w:val="1"/>
    </w:lvl>
  </w:abstractNum>
  <w:abstractNum w:abstractNumId="21">
    <w:nsid w:val="230F856C"/>
    <w:multiLevelType w:val="hybridMultilevel"/>
    <w:lvl w:ilvl="0">
      <w:lvlJc w:val="left"/>
      <w:lvlText w:val="•"/>
      <w:numFmt w:val="bullet"/>
      <w:start w:val="1"/>
    </w:lvl>
  </w:abstractNum>
  <w:abstractNum w:abstractNumId="22">
    <w:nsid w:val="6EAA85FB"/>
    <w:multiLevelType w:val="hybridMultilevel"/>
    <w:lvl w:ilvl="0">
      <w:lvlJc w:val="left"/>
      <w:lvlText w:val="•"/>
      <w:numFmt w:val="bullet"/>
      <w:start w:val="1"/>
    </w:lvl>
  </w:abstractNum>
  <w:abstractNum w:abstractNumId="23">
    <w:nsid w:val="3F06ECB2"/>
    <w:multiLevelType w:val="hybridMultilevel"/>
    <w:lvl w:ilvl="0">
      <w:lvlJc w:val="left"/>
      <w:lvlText w:val="•"/>
      <w:numFmt w:val="bullet"/>
      <w:start w:val="1"/>
    </w:lvl>
  </w:abstractNum>
  <w:abstractNum w:abstractNumId="24">
    <w:nsid w:val="3B594807"/>
    <w:multiLevelType w:val="hybridMultilevel"/>
    <w:lvl w:ilvl="0">
      <w:lvlJc w:val="left"/>
      <w:lvlText w:val="$"/>
      <w:numFmt w:val="bullet"/>
      <w:start w:val="1"/>
    </w:lvl>
  </w:abstractNum>
  <w:abstractNum w:abstractNumId="25">
    <w:nsid w:val="6CAA2304"/>
    <w:multiLevelType w:val="hybridMultilevel"/>
    <w:lvl w:ilvl="0">
      <w:lvlJc w:val="left"/>
      <w:lvlText w:val="•"/>
      <w:numFmt w:val="bullet"/>
      <w:start w:val="1"/>
    </w:lvl>
  </w:abstractNum>
  <w:abstractNum w:abstractNumId="26">
    <w:nsid w:val="3F7C2FF4"/>
    <w:multiLevelType w:val="hybridMultilevel"/>
    <w:lvl w:ilvl="0">
      <w:lvlJc w:val="left"/>
      <w:lvlText w:val="•"/>
      <w:numFmt w:val="bullet"/>
      <w:start w:val="1"/>
    </w:lvl>
  </w:abstractNum>
  <w:abstractNum w:abstractNumId="27">
    <w:nsid w:val="25413BEC"/>
    <w:multiLevelType w:val="hybridMultilevel"/>
    <w:lvl w:ilvl="0">
      <w:lvlJc w:val="left"/>
      <w:lvlText w:val="$"/>
      <w:numFmt w:val="bullet"/>
      <w:start w:val="1"/>
    </w:lvl>
  </w:abstractNum>
  <w:abstractNum w:abstractNumId="28">
    <w:nsid w:val="17180B0B"/>
    <w:multiLevelType w:val="hybridMultilevel"/>
    <w:lvl w:ilvl="0">
      <w:lvlJc w:val="left"/>
      <w:lvlText w:val="$"/>
      <w:numFmt w:val="bullet"/>
      <w:start w:val="1"/>
    </w:lvl>
  </w:abstractNum>
  <w:abstractNum w:abstractNumId="29">
    <w:nsid w:val="579328B9"/>
    <w:multiLevelType w:val="hybridMultilevel"/>
    <w:lvl w:ilvl="0">
      <w:lvlJc w:val="left"/>
      <w:lvlText w:val="•"/>
      <w:numFmt w:val="bullet"/>
      <w:start w:val="1"/>
    </w:lvl>
  </w:abstractNum>
  <w:abstractNum w:abstractNumId="30">
    <w:nsid w:val="5D205E20"/>
    <w:multiLevelType w:val="hybridMultilevel"/>
    <w:lvl w:ilvl="0">
      <w:lvlJc w:val="left"/>
      <w:lvlText w:val="(%1)"/>
      <w:numFmt w:val="decimal"/>
      <w:start w:val="1"/>
    </w:lvl>
  </w:abstractNum>
  <w:abstractNum w:abstractNumId="31">
    <w:nsid w:val="11CCA8BA"/>
    <w:multiLevelType w:val="hybridMultilevel"/>
    <w:lvl w:ilvl="0">
      <w:lvlJc w:val="left"/>
      <w:lvlText w:val="•"/>
      <w:numFmt w:val="bullet"/>
      <w:start w:val="1"/>
    </w:lvl>
  </w:abstractNum>
  <w:abstractNum w:abstractNumId="32">
    <w:nsid w:val="4D32AB86"/>
    <w:multiLevelType w:val="hybridMultilevel"/>
    <w:lvl w:ilvl="0">
      <w:lvlJc w:val="left"/>
      <w:lvlText w:val="•"/>
      <w:numFmt w:val="bullet"/>
      <w:start w:val="1"/>
    </w:lvl>
  </w:abstractNum>
  <w:abstractNum w:abstractNumId="33">
    <w:nsid w:val="3F07ACC3"/>
    <w:multiLevelType w:val="hybridMultilevel"/>
    <w:lvl w:ilvl="0">
      <w:lvlJc w:val="left"/>
      <w:lvlText w:val="•"/>
      <w:numFmt w:val="bullet"/>
      <w:start w:val="1"/>
    </w:lvl>
  </w:abstractNum>
  <w:abstractNum w:abstractNumId="34">
    <w:nsid w:val="6B47F63E"/>
    <w:multiLevelType w:val="hybridMultilevel"/>
    <w:lvl w:ilvl="0">
      <w:lvlJc w:val="left"/>
      <w:lvlText w:val="•"/>
      <w:numFmt w:val="bullet"/>
      <w:start w:val="1"/>
    </w:lvl>
  </w:abstractNum>
  <w:abstractNum w:abstractNumId="35">
    <w:nsid w:val="5CB44A05"/>
    <w:multiLevelType w:val="hybridMultilevel"/>
    <w:lvl w:ilvl="0">
      <w:lvlJc w:val="left"/>
      <w:lvlText w:val="•"/>
      <w:numFmt w:val="bullet"/>
      <w:start w:val="1"/>
    </w:lvl>
  </w:abstractNum>
  <w:abstractNum w:abstractNumId="36">
    <w:nsid w:val="16CF80F1"/>
    <w:multiLevelType w:val="hybridMultilevel"/>
    <w:lvl w:ilvl="0">
      <w:lvlJc w:val="left"/>
      <w:lvlText w:val="*"/>
      <w:numFmt w:val="bullet"/>
      <w:start w:val="1"/>
    </w:lvl>
  </w:abstractNum>
  <w:abstractNum w:abstractNumId="37">
    <w:nsid w:val="1C695DEC"/>
    <w:multiLevelType w:val="hybridMultilevel"/>
    <w:lvl w:ilvl="0">
      <w:lvlJc w:val="left"/>
      <w:lvlText w:val="•"/>
      <w:numFmt w:val="bullet"/>
      <w:start w:val="1"/>
    </w:lvl>
  </w:abstractNum>
  <w:abstractNum w:abstractNumId="38">
    <w:nsid w:val="3FCFAED9"/>
    <w:multiLevelType w:val="hybridMultilevel"/>
    <w:lvl w:ilvl="0">
      <w:lvlJc w:val="left"/>
      <w:lvlText w:val="(%1)"/>
      <w:numFmt w:val="decimal"/>
      <w:start w:val="1"/>
    </w:lvl>
  </w:abstractNum>
  <w:abstractNum w:abstractNumId="39">
    <w:nsid w:val="F856867"/>
    <w:multiLevelType w:val="hybridMultilevel"/>
    <w:lvl w:ilvl="0">
      <w:lvlJc w:val="left"/>
      <w:lvlText w:val="•"/>
      <w:numFmt w:val="bullet"/>
      <w:start w:val="1"/>
    </w:lvl>
  </w:abstractNum>
  <w:abstractNum w:abstractNumId="40">
    <w:nsid w:val="11B1CC33"/>
    <w:multiLevelType w:val="hybridMultilevel"/>
    <w:lvl w:ilvl="0">
      <w:lvlJc w:val="left"/>
      <w:lvlText w:val="(%1)"/>
      <w:numFmt w:val="decimal"/>
      <w:start w:val="1"/>
    </w:lvl>
  </w:abstractNum>
  <w:abstractNum w:abstractNumId="41">
    <w:nsid w:val="2E22FBB7"/>
    <w:multiLevelType w:val="hybridMultilevel"/>
    <w:lvl w:ilvl="0">
      <w:lvlJc w:val="left"/>
      <w:lvlText w:val="•"/>
      <w:numFmt w:val="bullet"/>
      <w:start w:val="1"/>
    </w:lvl>
  </w:abstractNum>
  <w:abstractNum w:abstractNumId="42">
    <w:nsid w:val="29934699"/>
    <w:multiLevelType w:val="hybridMultilevel"/>
    <w:lvl w:ilvl="0">
      <w:lvlJc w:val="left"/>
      <w:lvlText w:val="•"/>
      <w:numFmt w:val="bullet"/>
      <w:start w:val="1"/>
    </w:lvl>
  </w:abstractNum>
  <w:abstractNum w:abstractNumId="43">
    <w:nsid w:val="77485850"/>
    <w:multiLevelType w:val="hybridMultilevel"/>
    <w:lvl w:ilvl="0">
      <w:lvlJc w:val="left"/>
      <w:lvlText w:val="•"/>
      <w:numFmt w:val="bullet"/>
      <w:start w:val="1"/>
    </w:lvl>
  </w:abstractNum>
  <w:abstractNum w:abstractNumId="44">
    <w:nsid w:val="744939A3"/>
    <w:multiLevelType w:val="hybridMultilevel"/>
    <w:lvl w:ilvl="0">
      <w:lvlJc w:val="left"/>
      <w:lvlText w:val="•"/>
      <w:numFmt w:val="bullet"/>
      <w:start w:val="1"/>
    </w:lvl>
  </w:abstractNum>
  <w:abstractNum w:abstractNumId="45">
    <w:nsid w:val="4FA0D2E3"/>
    <w:multiLevelType w:val="hybridMultilevel"/>
    <w:lvl w:ilvl="0">
      <w:lvlJc w:val="left"/>
      <w:lvlText w:val="•"/>
      <w:numFmt w:val="bullet"/>
      <w:start w:val="1"/>
    </w:lvl>
  </w:abstractNum>
  <w:abstractNum w:abstractNumId="46">
    <w:nsid w:val="6B1D2C14"/>
    <w:multiLevelType w:val="hybridMultilevel"/>
    <w:lvl w:ilvl="0">
      <w:lvlJc w:val="left"/>
      <w:lvlText w:val="•"/>
      <w:numFmt w:val="bullet"/>
      <w:start w:val="1"/>
    </w:lvl>
  </w:abstractNum>
  <w:abstractNum w:abstractNumId="47">
    <w:nsid w:val="68B867D3"/>
    <w:multiLevelType w:val="hybridMultilevel"/>
    <w:lvl w:ilvl="0">
      <w:lvlJc w:val="left"/>
      <w:lvlText w:val="(%1)"/>
      <w:numFmt w:val="decimal"/>
      <w:start w:val="1"/>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1)"/>
      <w:numFmt w:val="decimal"/>
      <w:start w:val="1"/>
    </w:lvl>
  </w:abstractNum>
  <w:abstractNum w:abstractNumId="50">
    <w:nsid w:val="32794FF7"/>
    <w:multiLevelType w:val="hybridMultilevel"/>
    <w:lvl w:ilvl="0">
      <w:lvlJc w:val="left"/>
      <w:lvlText w:val="%1"/>
      <w:numFmt w:val="decimal"/>
      <w:start w:val="1"/>
    </w:lvl>
    <w:lvl w:ilvl="1">
      <w:lvlJc w:val="left"/>
      <w:lvlText w:val="(%2)"/>
      <w:numFmt w:val="decimal"/>
      <w:start w:val="1"/>
    </w:lvl>
  </w:abstractNum>
  <w:abstractNum w:abstractNumId="51">
    <w:nsid w:val="5454945E"/>
    <w:multiLevelType w:val="hybridMultilevel"/>
    <w:lvl w:ilvl="0">
      <w:lvlJc w:val="left"/>
      <w:lvlText w:val="(%1)"/>
      <w:numFmt w:val="decimal"/>
      <w:start w:val="3"/>
    </w:lvl>
    <w:lvl w:ilvl="1">
      <w:lvlJc w:val="left"/>
      <w:lvlText w:val="%2"/>
      <w:numFmt w:val="decimal"/>
      <w:start w:val="1"/>
    </w:lvl>
  </w:abstractNum>
  <w:abstractNum w:abstractNumId="52">
    <w:nsid w:val="4DEFDFA0"/>
    <w:multiLevelType w:val="hybridMultilevel"/>
    <w:lvl w:ilvl="0">
      <w:lvlJc w:val="left"/>
      <w:lvlText w:val="(%1)"/>
      <w:numFmt w:val="decimal"/>
      <w:start w:val="1"/>
    </w:lvl>
  </w:abstractNum>
  <w:abstractNum w:abstractNumId="53">
    <w:nsid w:val="2123D5F2"/>
    <w:multiLevelType w:val="hybridMultilevel"/>
    <w:lvl w:ilvl="0">
      <w:lvlJc w:val="left"/>
      <w:lvlText w:val="(%1)"/>
      <w:numFmt w:val="decimal"/>
      <w:start w:val="1"/>
    </w:lvl>
  </w:abstractNum>
  <w:abstractNum w:abstractNumId="54">
    <w:nsid w:val="135B8110"/>
    <w:multiLevelType w:val="hybridMultilevel"/>
    <w:lvl w:ilvl="0">
      <w:lvlJc w:val="left"/>
      <w:lvlText w:val="(%1)"/>
      <w:numFmt w:val="upperLetter"/>
      <w:start w:val="3"/>
    </w:lvl>
  </w:abstractNum>
  <w:abstractNum w:abstractNumId="55">
    <w:nsid w:val="94927A8"/>
    <w:multiLevelType w:val="hybridMultilevel"/>
    <w:lvl w:ilvl="0">
      <w:lvlJc w:val="left"/>
      <w:lvlText w:val="(%1)"/>
      <w:numFmt w:val="upperLetter"/>
      <w:start w:val="1"/>
    </w:lvl>
  </w:abstractNum>
  <w:abstractNum w:abstractNumId="56">
    <w:nsid w:val="DCDF8F6"/>
    <w:multiLevelType w:val="hybridMultilevel"/>
    <w:lvl w:ilvl="0">
      <w:lvlJc w:val="left"/>
      <w:lvlText w:val="•"/>
      <w:numFmt w:val="bullet"/>
      <w:start w:val="1"/>
    </w:lvl>
  </w:abstractNum>
  <w:abstractNum w:abstractNumId="57">
    <w:nsid w:val="52D7B105"/>
    <w:multiLevelType w:val="hybridMultilevel"/>
    <w:lvl w:ilvl="0">
      <w:lvlJc w:val="left"/>
      <w:lvlText w:val="•"/>
      <w:numFmt w:val="bullet"/>
      <w:start w:val="1"/>
    </w:lvl>
  </w:abstractNum>
  <w:abstractNum w:abstractNumId="58">
    <w:nsid w:val="2E8A6394"/>
    <w:multiLevelType w:val="hybridMultilevel"/>
    <w:lvl w:ilvl="0">
      <w:lvlJc w:val="left"/>
      <w:lvlText w:val="•"/>
      <w:numFmt w:val="bullet"/>
      <w:start w:val="1"/>
    </w:lvl>
  </w:abstractNum>
  <w:abstractNum w:abstractNumId="59">
    <w:nsid w:val="24E60401"/>
    <w:multiLevelType w:val="hybridMultilevel"/>
    <w:lvl w:ilvl="0">
      <w:lvlJc w:val="left"/>
      <w:lvlText w:val="•"/>
      <w:numFmt w:val="bullet"/>
      <w:start w:val="1"/>
    </w:lvl>
  </w:abstractNum>
  <w:abstractNum w:abstractNumId="60">
    <w:nsid w:val="2A6AD9BE"/>
    <w:multiLevelType w:val="hybridMultilevel"/>
    <w:lvl w:ilvl="0">
      <w:lvlJc w:val="left"/>
      <w:lvlText w:val="(%1)"/>
      <w:numFmt w:val="decimal"/>
      <w:start w:val="1"/>
    </w:lvl>
  </w:abstractNum>
  <w:abstractNum w:abstractNumId="61">
    <w:nsid w:val="BAAC1B4"/>
    <w:multiLevelType w:val="hybridMultilevel"/>
    <w:lvl w:ilvl="0">
      <w:lvlJc w:val="left"/>
      <w:lvlText w:val="•"/>
      <w:numFmt w:val="bullet"/>
      <w:start w:val="1"/>
    </w:lvl>
  </w:abstractNum>
  <w:abstractNum w:abstractNumId="62">
    <w:nsid w:val="36B2ACBC"/>
    <w:multiLevelType w:val="hybridMultilevel"/>
    <w:lvl w:ilvl="0">
      <w:lvlJc w:val="left"/>
      <w:lvlText w:val="(%1)"/>
      <w:numFmt w:val="decimal"/>
      <w:start w:val="1"/>
    </w:lvl>
  </w:abstractNum>
  <w:abstractNum w:abstractNumId="63">
    <w:nsid w:val="779D8544"/>
    <w:multiLevelType w:val="hybridMultilevel"/>
    <w:lvl w:ilvl="0">
      <w:lvlJc w:val="left"/>
      <w:lvlText w:val="(%1)"/>
      <w:numFmt w:val="decimal"/>
      <w:start w:val="6"/>
    </w:lvl>
  </w:abstractNum>
  <w:abstractNum w:abstractNumId="64">
    <w:nsid w:val="4AB26E78"/>
    <w:multiLevelType w:val="hybridMultilevel"/>
    <w:lvl w:ilvl="0">
      <w:lvlJc w:val="left"/>
      <w:lvlText w:val="•"/>
      <w:numFmt w:val="bullet"/>
      <w:start w:val="1"/>
    </w:lvl>
  </w:abstractNum>
  <w:abstractNum w:abstractNumId="65">
    <w:nsid w:val="21FAA2FA"/>
    <w:multiLevelType w:val="hybridMultilevel"/>
    <w:lvl w:ilvl="0">
      <w:lvlJc w:val="left"/>
      <w:lvlText w:val="•"/>
      <w:numFmt w:val="bullet"/>
      <w:start w:val="1"/>
    </w:lvl>
  </w:abstractNum>
  <w:abstractNum w:abstractNumId="66">
    <w:nsid w:val="5451CF49"/>
    <w:multiLevelType w:val="hybridMultilevel"/>
    <w:lvl w:ilvl="0">
      <w:lvlJc w:val="left"/>
      <w:lvlText w:val="•"/>
      <w:numFmt w:val="bullet"/>
      <w:start w:val="1"/>
    </w:lvl>
  </w:abstractNum>
  <w:abstractNum w:abstractNumId="67">
    <w:nsid w:val="6181EF69"/>
    <w:multiLevelType w:val="hybridMultilevel"/>
    <w:lvl w:ilvl="0">
      <w:lvlJc w:val="left"/>
      <w:lvlText w:val="•"/>
      <w:numFmt w:val="bullet"/>
      <w:start w:val="1"/>
    </w:lvl>
  </w:abstractNum>
  <w:abstractNum w:abstractNumId="68">
    <w:nsid w:val="3E6400E6"/>
    <w:multiLevelType w:val="hybridMultilevel"/>
    <w:lvl w:ilvl="0">
      <w:lvlJc w:val="left"/>
      <w:lvlText w:val="•"/>
      <w:numFmt w:val="bullet"/>
      <w:start w:val="1"/>
    </w:lvl>
  </w:abstractNum>
  <w:abstractNum w:abstractNumId="69">
    <w:nsid w:val="14217E23"/>
    <w:multiLevelType w:val="hybridMultilevel"/>
    <w:lvl w:ilvl="0">
      <w:lvlJc w:val="left"/>
      <w:lvlText w:val="•"/>
      <w:numFmt w:val="bullet"/>
      <w:start w:val="1"/>
    </w:lvl>
  </w:abstractNum>
  <w:abstractNum w:abstractNumId="70">
    <w:nsid w:val="710757D0"/>
    <w:multiLevelType w:val="hybridMultilevel"/>
    <w:lvl w:ilvl="0">
      <w:lvlJc w:val="left"/>
      <w:lvlText w:val="•"/>
      <w:numFmt w:val="bullet"/>
      <w:start w:val="1"/>
    </w:lvl>
  </w:abstractNum>
  <w:abstractNum w:abstractNumId="71">
    <w:nsid w:val="5015CD1A"/>
    <w:multiLevelType w:val="hybridMultilevel"/>
    <w:lvl w:ilvl="0">
      <w:lvlJc w:val="left"/>
      <w:lvlText w:val="•"/>
      <w:numFmt w:val="bullet"/>
      <w:start w:val="1"/>
    </w:lvl>
  </w:abstractNum>
  <w:abstractNum w:abstractNumId="72">
    <w:nsid w:val="424479DA"/>
    <w:multiLevelType w:val="hybridMultilevel"/>
    <w:lvl w:ilvl="0">
      <w:lvlJc w:val="left"/>
      <w:lvlText w:val="•"/>
      <w:numFmt w:val="bullet"/>
      <w:start w:val="1"/>
    </w:lvl>
  </w:abstractNum>
  <w:abstractNum w:abstractNumId="73">
    <w:nsid w:val="1A9A9E69"/>
    <w:multiLevelType w:val="hybridMultilevel"/>
    <w:lvl w:ilvl="0">
      <w:lvlJc w:val="left"/>
      <w:lvlText w:val="•"/>
      <w:numFmt w:val="bullet"/>
      <w:start w:val="1"/>
    </w:lvl>
  </w:abstractNum>
  <w:abstractNum w:abstractNumId="74">
    <w:nsid w:val="475E256A"/>
    <w:multiLevelType w:val="hybridMultilevel"/>
    <w:lvl w:ilvl="0">
      <w:lvlJc w:val="left"/>
      <w:lvlText w:val="•"/>
      <w:numFmt w:val="bullet"/>
      <w:start w:val="1"/>
    </w:lvl>
  </w:abstractNum>
  <w:abstractNum w:abstractNumId="75">
    <w:nsid w:val="368DB37E"/>
    <w:multiLevelType w:val="hybridMultilevel"/>
    <w:lvl w:ilvl="0">
      <w:lvlJc w:val="left"/>
      <w:lvlText w:val="•"/>
      <w:numFmt w:val="bullet"/>
      <w:start w:val="1"/>
    </w:lvl>
  </w:abstractNum>
  <w:abstractNum w:abstractNumId="76">
    <w:nsid w:val="6A3B714C"/>
    <w:multiLevelType w:val="hybridMultilevel"/>
    <w:lvl w:ilvl="0">
      <w:lvlJc w:val="left"/>
      <w:lvlText w:val="%1."/>
      <w:numFmt w:val="decimal"/>
      <w:start w:val="2"/>
    </w:lvl>
  </w:abstractNum>
  <w:abstractNum w:abstractNumId="77">
    <w:nsid w:val="327B517E"/>
    <w:multiLevelType w:val="hybridMultilevel"/>
    <w:lvl w:ilvl="0">
      <w:lvlJc w:val="left"/>
      <w:lvlText w:val="•"/>
      <w:numFmt w:val="bullet"/>
      <w:start w:val="1"/>
    </w:lvl>
  </w:abstractNum>
  <w:abstractNum w:abstractNumId="78">
    <w:nsid w:val="1F461B51"/>
    <w:multiLevelType w:val="hybridMultilevel"/>
    <w:lvl w:ilvl="0">
      <w:lvlJc w:val="left"/>
      <w:lvlText w:val="%1."/>
      <w:numFmt w:val="decimal"/>
      <w:start w:val="8"/>
    </w:lvl>
  </w:abstractNum>
  <w:abstractNum w:abstractNumId="79">
    <w:nsid w:val="29BACF25"/>
    <w:multiLevelType w:val="hybridMultilevel"/>
    <w:lvl w:ilvl="0">
      <w:lvlJc w:val="left"/>
      <w:lvlText w:val="•"/>
      <w:numFmt w:val="bullet"/>
      <w:start w:val="1"/>
    </w:lvl>
  </w:abstractNum>
  <w:abstractNum w:abstractNumId="80">
    <w:nsid w:val="5D5BABB3"/>
    <w:multiLevelType w:val="hybridMultilevel"/>
    <w:lvl w:ilvl="0">
      <w:lvlJc w:val="left"/>
      <w:lvlText w:val="•"/>
      <w:numFmt w:val="bullet"/>
      <w:start w:val="1"/>
    </w:lvl>
  </w:abstractNum>
  <w:abstractNum w:abstractNumId="81">
    <w:nsid w:val="51BF6B48"/>
    <w:multiLevelType w:val="hybridMultilevel"/>
    <w:lvl w:ilvl="0">
      <w:lvlJc w:val="left"/>
      <w:lvlText w:val="*"/>
      <w:numFmt w:val="bullet"/>
      <w:start w:val="1"/>
    </w:lvl>
  </w:abstractNum>
  <w:abstractNum w:abstractNumId="82">
    <w:nsid w:val="7E0F6384"/>
    <w:multiLevelType w:val="hybridMultilevel"/>
    <w:lvl w:ilvl="0">
      <w:lvlJc w:val="left"/>
      <w:lvlText w:val="$"/>
      <w:numFmt w:val="bullet"/>
      <w:start w:val="1"/>
    </w:lvl>
  </w:abstractNum>
  <w:abstractNum w:abstractNumId="83">
    <w:nsid w:val="2B4B8B53"/>
    <w:multiLevelType w:val="hybridMultilevel"/>
    <w:lvl w:ilvl="0">
      <w:lvlJc w:val="left"/>
      <w:lvlText w:val="(%1)"/>
      <w:numFmt w:val="decimal"/>
      <w:start w:val="1"/>
    </w:lvl>
  </w:abstractNum>
  <w:abstractNum w:abstractNumId="84">
    <w:nsid w:val="72E3413A"/>
    <w:multiLevelType w:val="hybridMultilevel"/>
    <w:lvl w:ilvl="0">
      <w:lvlJc w:val="left"/>
      <w:lvlText w:val="(%1)"/>
      <w:numFmt w:val="lowerLetter"/>
      <w:start w:val="1"/>
    </w:lvl>
  </w:abstractNum>
  <w:abstractNum w:abstractNumId="85">
    <w:nsid w:val="116AE494"/>
    <w:multiLevelType w:val="hybridMultilevel"/>
    <w:lvl w:ilvl="0">
      <w:lvlJc w:val="left"/>
      <w:lvlText w:val="*"/>
      <w:numFmt w:val="bullet"/>
      <w:start w:val="1"/>
    </w:lvl>
  </w:abstractNum>
  <w:abstractNum w:abstractNumId="86">
    <w:nsid w:val="3494B2FB"/>
    <w:multiLevelType w:val="hybridMultilevel"/>
    <w:lvl w:ilvl="0">
      <w:lvlJc w:val="left"/>
      <w:lvlText w:val="†"/>
      <w:numFmt w:val="bullet"/>
      <w:start w:val="1"/>
    </w:lvl>
  </w:abstractNum>
  <w:abstractNum w:abstractNumId="87">
    <w:nsid w:val="B13A31"/>
    <w:multiLevelType w:val="hybridMultilevel"/>
    <w:lvl w:ilvl="0">
      <w:lvlJc w:val="left"/>
      <w:lvlText w:val="#"/>
      <w:numFmt w:val="bullet"/>
      <w:start w:val="1"/>
    </w:lvl>
  </w:abstractNum>
  <w:abstractNum w:abstractNumId="88">
    <w:nsid w:val="64429599"/>
    <w:multiLevelType w:val="hybridMultilevel"/>
    <w:lvl w:ilvl="0">
      <w:lvlJc w:val="left"/>
      <w:lvlText w:val="(%1)"/>
      <w:numFmt w:val="decimal"/>
      <w:start w:val="1"/>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
      <w:numFmt w:val="bullet"/>
      <w:start w:val="1"/>
    </w:lvl>
  </w:abstractNum>
  <w:abstractNum w:abstractNumId="92">
    <w:nsid w:val="6EC9D844"/>
    <w:multiLevelType w:val="hybridMultilevel"/>
    <w:lvl w:ilvl="0">
      <w:lvlJc w:val="left"/>
      <w:lvlText w:val="%1."/>
      <w:numFmt w:val="upperLetter"/>
      <w:start w:val="1"/>
    </w:lvl>
  </w:abstractNum>
  <w:abstractNum w:abstractNumId="93">
    <w:nsid w:val="5C49EAEE"/>
    <w:multiLevelType w:val="hybridMultilevel"/>
    <w:lvl w:ilvl="0">
      <w:lvlJc w:val="left"/>
      <w:lvlText w:val="%1."/>
      <w:numFmt w:val="upperLetter"/>
      <w:start w:val="3"/>
    </w:lvl>
  </w:abstractNum>
  <w:abstractNum w:abstractNumId="94">
    <w:nsid w:val="64AF49B"/>
    <w:multiLevelType w:val="hybridMultilevel"/>
    <w:lvl w:ilvl="0">
      <w:lvlJc w:val="left"/>
      <w:lvlText w:val="%1."/>
      <w:numFmt w:val="upperLetter"/>
      <w:start w:val="7"/>
    </w:lvl>
  </w:abstractNum>
  <w:abstractNum w:abstractNumId="95">
    <w:nsid w:val="397C46BC"/>
    <w:multiLevelType w:val="hybridMultilevel"/>
    <w:lvl w:ilvl="0">
      <w:lvlJc w:val="left"/>
      <w:lvlText w:val="x"/>
      <w:numFmt w:val="bullet"/>
      <w:start w:val="1"/>
    </w:lvl>
  </w:abstractNum>
  <w:abstractNum w:abstractNumId="96">
    <w:nsid w:val="7E448DE9"/>
    <w:multiLevelType w:val="hybridMultilevel"/>
    <w:lvl w:ilvl="0">
      <w:lvlJc w:val="left"/>
      <w:lvlText w:val="x"/>
      <w:numFmt w:val="bullet"/>
      <w:start w:val="1"/>
    </w:lvl>
    <w:lvl w:ilvl="1">
      <w:lvlJc w:val="left"/>
      <w:lvlText w:val="%2."/>
      <w:numFmt w:val="decimal"/>
      <w:start w:val="1"/>
    </w:lvl>
  </w:abstractNum>
  <w:abstractNum w:abstractNumId="97">
    <w:nsid w:val="5A9CC3E5"/>
    <w:multiLevelType w:val="hybridMultilevel"/>
    <w:lvl w:ilvl="0">
      <w:lvlJc w:val="left"/>
      <w:lvlText w:val="%1."/>
      <w:numFmt w:val="decimal"/>
      <w:start w:val="2"/>
    </w:lvl>
  </w:abstractNum>
  <w:abstractNum w:abstractNumId="98">
    <w:nsid w:val="1AFE3625"/>
    <w:multiLevelType w:val="hybridMultilevel"/>
    <w:lvl w:ilvl="0">
      <w:lvlJc w:val="left"/>
      <w:lvlText w:val="(%1)"/>
      <w:numFmt w:val="lowerLetter"/>
      <w:start w:val="1"/>
    </w:lvl>
    <w:lvl w:ilvl="1">
      <w:lvlJc w:val="left"/>
      <w:lvlText w:val="(%2)"/>
      <w:numFmt w:val="lowerRoman"/>
      <w:start w:val="1"/>
    </w:lvl>
  </w:abstractNum>
  <w:abstractNum w:abstractNumId="99">
    <w:nsid w:val="3CA88ECF"/>
    <w:multiLevelType w:val="hybridMultilevel"/>
    <w:lvl w:ilvl="0">
      <w:lvlJc w:val="left"/>
      <w:lvlText w:val="(%1)"/>
      <w:numFmt w:val="lowerLetter"/>
      <w:start w:val="2"/>
    </w:lvl>
  </w:abstractNum>
  <w:abstractNum w:abstractNumId="100">
    <w:nsid w:val="6EBE4208"/>
    <w:multiLevelType w:val="hybridMultilevel"/>
    <w:lvl w:ilvl="0">
      <w:lvlJc w:val="left"/>
      <w:lvlText w:val="(%1)"/>
      <w:numFmt w:val="lowerRoman"/>
      <w:start w:val="1"/>
    </w:lvl>
  </w:abstractNum>
  <w:abstractNum w:abstractNumId="101">
    <w:nsid w:val="C058DF5"/>
    <w:multiLevelType w:val="hybridMultilevel"/>
    <w:lvl w:ilvl="0">
      <w:lvlJc w:val="left"/>
      <w:lvlText w:val="(%1)"/>
      <w:numFmt w:val="lowerRoman"/>
      <w:start w:val="2"/>
    </w:lvl>
  </w:abstractNum>
  <w:abstractNum w:abstractNumId="102">
    <w:nsid w:val="CBE5BE9"/>
    <w:multiLevelType w:val="hybridMultilevel"/>
    <w:lvl w:ilvl="0">
      <w:lvlJc w:val="left"/>
      <w:lvlText w:val="%1."/>
      <w:numFmt w:val="decimal"/>
      <w:start w:val="3"/>
    </w:lvl>
  </w:abstractNum>
  <w:abstractNum w:abstractNumId="103">
    <w:nsid w:val="3102BBE2"/>
    <w:multiLevelType w:val="hybridMultilevel"/>
    <w:lvl w:ilvl="0">
      <w:lvlJc w:val="left"/>
      <w:lvlText w:val="(%1)"/>
      <w:numFmt w:val="lowerLetter"/>
      <w:start w:val="1"/>
    </w:lvl>
  </w:abstractNum>
  <w:abstractNum w:abstractNumId="104">
    <w:nsid w:val="26A02C5E"/>
    <w:multiLevelType w:val="hybridMultilevel"/>
    <w:lvl w:ilvl="0">
      <w:lvlJc w:val="left"/>
      <w:lvlText w:val="(%1)"/>
      <w:numFmt w:val="lowerLetter"/>
      <w:start w:val="2"/>
    </w:lvl>
  </w:abstractNum>
  <w:abstractNum w:abstractNumId="105">
    <w:nsid w:val="541C8153"/>
    <w:multiLevelType w:val="hybridMultilevel"/>
    <w:lvl w:ilvl="0">
      <w:lvlJc w:val="left"/>
      <w:lvlText w:val="%1."/>
      <w:numFmt w:val="decimal"/>
      <w:start w:val="4"/>
    </w:lvl>
  </w:abstractNum>
  <w:abstractNum w:abstractNumId="106">
    <w:nsid w:val="67906F60"/>
    <w:multiLevelType w:val="hybridMultilevel"/>
    <w:lvl w:ilvl="0">
      <w:lvlJc w:val="left"/>
      <w:lvlText w:val="(%1)"/>
      <w:numFmt w:val="lowerLetter"/>
      <w:start w:val="1"/>
    </w:lvl>
  </w:abstractNum>
  <w:abstractNum w:abstractNumId="107">
    <w:nsid w:val="10DB9DAA"/>
    <w:multiLevelType w:val="hybridMultilevel"/>
    <w:lvl w:ilvl="0">
      <w:lvlJc w:val="left"/>
      <w:lvlText w:val="(%1)"/>
      <w:numFmt w:val="lowerLetter"/>
      <w:start w:val="4"/>
    </w:lvl>
  </w:abstractNum>
  <w:abstractNum w:abstractNumId="108">
    <w:nsid w:val="697D2D2"/>
    <w:multiLevelType w:val="hybridMultilevel"/>
    <w:lvl w:ilvl="0">
      <w:lvlJc w:val="left"/>
      <w:lvlText w:val="(%1)"/>
      <w:numFmt w:val="lowerLetter"/>
      <w:start w:val="15"/>
    </w:lvl>
  </w:abstractNum>
  <w:abstractNum w:abstractNumId="109">
    <w:nsid w:val="6D68AB2"/>
    <w:multiLevelType w:val="hybridMultilevel"/>
    <w:lvl w:ilvl="0">
      <w:lvlJc w:val="left"/>
      <w:lvlText w:val="(%1)"/>
      <w:numFmt w:val="lowerLetter"/>
      <w:start w:val="18"/>
    </w:lvl>
  </w:abstractNum>
  <w:abstractNum w:abstractNumId="110">
    <w:nsid w:val="3A966CD0"/>
    <w:multiLevelType w:val="hybridMultilevel"/>
    <w:lvl w:ilvl="0">
      <w:lvlJc w:val="left"/>
      <w:lvlText w:val="%1."/>
      <w:numFmt w:val="decimal"/>
      <w:start w:val="6"/>
    </w:lvl>
  </w:abstractNum>
  <w:abstractNum w:abstractNumId="111">
    <w:nsid w:val="63F37E85"/>
    <w:multiLevelType w:val="hybridMultilevel"/>
    <w:lvl w:ilvl="0">
      <w:lvlJc w:val="left"/>
      <w:lvlText w:val="%1."/>
      <w:numFmt w:val="decimal"/>
      <w:start w:val="7"/>
    </w:lvl>
  </w:abstractNum>
  <w:abstractNum w:abstractNumId="112">
    <w:nsid w:val="5895F5FA"/>
    <w:multiLevelType w:val="hybridMultilevel"/>
    <w:lvl w:ilvl="0">
      <w:lvlJc w:val="left"/>
      <w:lvlText w:val="%1."/>
      <w:numFmt w:val="decimal"/>
      <w:start w:val="8"/>
    </w:lvl>
  </w:abstractNum>
  <w:abstractNum w:abstractNumId="113">
    <w:nsid w:val="38A5D054"/>
    <w:multiLevelType w:val="hybridMultilevel"/>
    <w:lvl w:ilvl="0">
      <w:lvlJc w:val="left"/>
      <w:lvlText w:val="%1."/>
      <w:numFmt w:val="decimal"/>
      <w:start w:val="10"/>
    </w:lvl>
  </w:abstractNum>
  <w:abstractNum w:abstractNumId="114">
    <w:nsid w:val="F3F09D8"/>
    <w:multiLevelType w:val="hybridMultilevel"/>
    <w:lvl w:ilvl="0">
      <w:lvlJc w:val="left"/>
      <w:lvlText w:val="%1."/>
      <w:numFmt w:val="decimal"/>
      <w:start w:val="13"/>
    </w:lvl>
  </w:abstractNum>
  <w:abstractNum w:abstractNumId="115">
    <w:nsid w:val="4B793735"/>
    <w:multiLevelType w:val="hybridMultilevel"/>
    <w:lvl w:ilvl="0">
      <w:lvlJc w:val="left"/>
      <w:lvlText w:val="%1."/>
      <w:numFmt w:val="decimal"/>
      <w:start w:val="15"/>
    </w:lvl>
  </w:abstractNum>
  <w:abstractNum w:abstractNumId="116">
    <w:nsid w:val="4A10B4E8"/>
    <w:multiLevelType w:val="hybridMultilevel"/>
    <w:lvl w:ilvl="0">
      <w:lvlJc w:val="left"/>
      <w:lvlText w:val="%1."/>
      <w:numFmt w:val="decimal"/>
      <w:start w:val="18"/>
    </w:lvl>
  </w:abstractNum>
  <w:abstractNum w:abstractNumId="117">
    <w:nsid w:val="43D3BCD4"/>
    <w:multiLevelType w:val="hybridMultilevel"/>
    <w:lvl w:ilvl="0">
      <w:lvlJc w:val="left"/>
      <w:lvlText w:val="%1."/>
      <w:numFmt w:val="decimal"/>
      <w:start w:val="19"/>
    </w:lvl>
  </w:abstractNum>
  <w:abstractNum w:abstractNumId="118">
    <w:nsid w:val="4C2A7166"/>
    <w:multiLevelType w:val="hybridMultilevel"/>
    <w:lvl w:ilvl="0">
      <w:lvlJc w:val="left"/>
      <w:lvlText w:val="%1."/>
      <w:numFmt w:val="decimal"/>
      <w:start w:val="20"/>
    </w:lvl>
  </w:abstractNum>
  <w:abstractNum w:abstractNumId="119">
    <w:nsid w:val="2E534A82"/>
    <w:multiLevelType w:val="hybridMultilevel"/>
    <w:lvl w:ilvl="0">
      <w:lvlJc w:val="left"/>
      <w:lvlText w:val="(%1)"/>
      <w:numFmt w:val="lowerLetter"/>
      <w:start w:val="1"/>
    </w:lvl>
  </w:abstractNum>
  <w:abstractNum w:abstractNumId="120">
    <w:nsid w:val="26F2D364"/>
    <w:multiLevelType w:val="hybridMultilevel"/>
    <w:lvl w:ilvl="0">
      <w:lvlJc w:val="left"/>
      <w:lvlText w:val="(%1)"/>
      <w:numFmt w:val="lowerLetter"/>
      <w:start w:val="7"/>
    </w:lvl>
  </w:abstractNum>
  <w:abstractNum w:abstractNumId="121">
    <w:nsid w:val="71C1AF98"/>
    <w:multiLevelType w:val="hybridMultilevel"/>
    <w:lvl w:ilvl="0">
      <w:lvlJc w:val="left"/>
      <w:lvlText w:val="(%1)"/>
      <w:numFmt w:val="lowerLetter"/>
      <w:start w:val="9"/>
    </w:lvl>
  </w:abstractNum>
  <w:abstractNum w:abstractNumId="122">
    <w:nsid w:val="3D00B9D9"/>
    <w:multiLevelType w:val="hybridMultilevel"/>
    <w:lvl w:ilvl="0">
      <w:lvlJc w:val="left"/>
      <w:lvlText w:val="%1."/>
      <w:numFmt w:val="decimal"/>
      <w:start w:val="21"/>
    </w:lvl>
  </w:abstractNum>
  <w:abstractNum w:abstractNumId="123">
    <w:nsid w:val="15BCABA8"/>
    <w:multiLevelType w:val="hybridMultilevel"/>
    <w:lvl w:ilvl="0">
      <w:lvlJc w:val="left"/>
      <w:lvlText w:val="(%1)"/>
      <w:numFmt w:val="lowerLetter"/>
      <w:start w:val="1"/>
    </w:lvl>
    <w:lvl w:ilvl="1">
      <w:lvlJc w:val="left"/>
      <w:lvlText w:val="(%2)"/>
      <w:numFmt w:val="lowerRoman"/>
      <w:start w:val="1"/>
    </w:lvl>
  </w:abstractNum>
  <w:abstractNum w:abstractNumId="124">
    <w:nsid w:val="4E0B9A87"/>
    <w:multiLevelType w:val="hybridMultilevel"/>
    <w:lvl w:ilvl="0">
      <w:lvlJc w:val="left"/>
      <w:lvlText w:val="(%1)"/>
      <w:numFmt w:val="upperLetter"/>
      <w:start w:val="1"/>
    </w:lvl>
  </w:abstractNum>
  <w:abstractNum w:abstractNumId="125">
    <w:nsid w:val="434BAE75"/>
    <w:multiLevelType w:val="hybridMultilevel"/>
    <w:lvl w:ilvl="0">
      <w:lvlJc w:val="left"/>
      <w:lvlText w:val="%1"/>
      <w:numFmt w:val="lowerLetter"/>
      <w:start w:val="1"/>
    </w:lvl>
    <w:lvl w:ilvl="1">
      <w:lvlJc w:val="left"/>
      <w:lvlText w:val="(%2)"/>
      <w:numFmt w:val="lowerRoman"/>
      <w:start w:val="3"/>
    </w:lvl>
  </w:abstractNum>
  <w:abstractNum w:abstractNumId="126">
    <w:nsid w:val="4F38F265"/>
    <w:multiLevelType w:val="hybridMultilevel"/>
    <w:lvl w:ilvl="0">
      <w:lvlJc w:val="left"/>
      <w:lvlText w:val="(%1)"/>
      <w:numFmt w:val="lowerLetter"/>
      <w:start w:val="4"/>
    </w:lvl>
    <w:lvl w:ilvl="1">
      <w:lvlJc w:val="left"/>
      <w:lvlText w:val="%2"/>
      <w:numFmt w:val="lowerRoman"/>
      <w:start w:val="1"/>
    </w:lvl>
  </w:abstractNum>
  <w:abstractNum w:abstractNumId="127">
    <w:nsid w:val="4C502870"/>
    <w:multiLevelType w:val="hybridMultilevel"/>
    <w:lvl w:ilvl="0">
      <w:lvlJc w:val="left"/>
      <w:lvlText w:val="%1."/>
      <w:numFmt w:val="decimal"/>
      <w:start w:val="22"/>
    </w:lvl>
  </w:abstractNum>
  <w:abstractNum w:abstractNumId="128">
    <w:nsid w:val="1DE8725A"/>
    <w:multiLevelType w:val="hybridMultilevel"/>
    <w:lvl w:ilvl="0">
      <w:lvlJc w:val="left"/>
      <w:lvlText w:val="(%1)"/>
      <w:numFmt w:val="lowerLetter"/>
      <w:start w:val="1"/>
    </w:lvl>
  </w:abstractNum>
  <w:abstractNum w:abstractNumId="129">
    <w:nsid w:val="6A37288A"/>
    <w:multiLevelType w:val="hybridMultilevel"/>
    <w:lvl w:ilvl="0">
      <w:lvlJc w:val="left"/>
      <w:lvlText w:val="(%1)"/>
      <w:numFmt w:val="decimal"/>
      <w:start w:val="8"/>
    </w:lvl>
  </w:abstractNum>
  <w:abstractNum w:abstractNumId="130">
    <w:nsid w:val="8F8B73F"/>
    <w:multiLevelType w:val="hybridMultilevel"/>
    <w:lvl w:ilvl="0">
      <w:lvlJc w:val="left"/>
      <w:lvlText w:val="(%1)"/>
      <w:numFmt w:val="lowerLetter"/>
      <w:start w:val="3"/>
    </w:lvl>
  </w:abstractNum>
  <w:abstractNum w:abstractNumId="131">
    <w:nsid w:val="CA6B462"/>
    <w:multiLevelType w:val="hybridMultilevel"/>
    <w:lvl w:ilvl="0">
      <w:lvlJc w:val="left"/>
      <w:lvlText w:val="(%1)"/>
      <w:numFmt w:val="lowerRoman"/>
      <w:start w:val="1"/>
    </w:lvl>
  </w:abstractNum>
  <w:abstractNum w:abstractNumId="132">
    <w:nsid w:val="763CB680"/>
    <w:multiLevelType w:val="hybridMultilevel"/>
    <w:lvl w:ilvl="0">
      <w:lvlJc w:val="left"/>
      <w:lvlText w:val="(%1)"/>
      <w:numFmt w:val="lowerLetter"/>
      <w:start w:val="4"/>
    </w:lvl>
  </w:abstractNum>
  <w:abstractNum w:abstractNumId="133">
    <w:nsid w:val="15B71329"/>
    <w:multiLevelType w:val="hybridMultilevel"/>
    <w:lvl w:ilvl="0">
      <w:lvlJc w:val="left"/>
      <w:lvlText w:val="%1."/>
      <w:numFmt w:val="decimal"/>
      <w:start w:val="23"/>
    </w:lvl>
  </w:abstractNum>
  <w:abstractNum w:abstractNumId="134">
    <w:nsid w:val="3DA97044"/>
    <w:multiLevelType w:val="hybridMultilevel"/>
    <w:lvl w:ilvl="0">
      <w:lvlJc w:val="left"/>
      <w:lvlText w:val="%1."/>
      <w:numFmt w:val="decimal"/>
      <w:start w:val="24"/>
    </w:lvl>
  </w:abstractNum>
  <w:abstractNum w:abstractNumId="135">
    <w:nsid w:val="1CDCE2DE"/>
    <w:multiLevelType w:val="hybridMultilevel"/>
    <w:lvl w:ilvl="0">
      <w:lvlJc w:val="left"/>
      <w:lvlText w:val="%1."/>
      <w:numFmt w:val="decimal"/>
      <w:start w:val="29"/>
    </w:lvl>
  </w:abstractNum>
  <w:abstractNum w:abstractNumId="136">
    <w:nsid w:val="69D3947C"/>
    <w:multiLevelType w:val="hybridMultilevel"/>
    <w:lvl w:ilvl="0">
      <w:lvlJc w:val="left"/>
      <w:lvlText w:val="%1."/>
      <w:numFmt w:val="decimal"/>
      <w:start w:val="30"/>
    </w:lvl>
  </w:abstractNum>
  <w:abstractNum w:abstractNumId="137">
    <w:nsid w:val="2539DFA5"/>
    <w:multiLevelType w:val="hybridMultilevel"/>
    <w:lvl w:ilvl="0">
      <w:lvlJc w:val="left"/>
      <w:lvlText w:val="(%1)"/>
      <w:numFmt w:val="lowerLetter"/>
      <w:start w:val="1"/>
    </w:lvl>
  </w:abstractNum>
  <w:abstractNum w:abstractNumId="138">
    <w:nsid w:val="2DB88089"/>
    <w:multiLevelType w:val="hybridMultilevel"/>
    <w:lvl w:ilvl="0">
      <w:lvlJc w:val="left"/>
      <w:lvlText w:val="(%1)"/>
      <w:numFmt w:val="lowerLetter"/>
      <w:start w:val="3"/>
    </w:lvl>
  </w:abstractNum>
  <w:abstractNum w:abstractNumId="139">
    <w:nsid w:val="706B674E"/>
    <w:multiLevelType w:val="hybridMultilevel"/>
    <w:lvl w:ilvl="0">
      <w:lvlJc w:val="left"/>
      <w:lvlText w:val="(%1)"/>
      <w:numFmt w:val="lowerLetter"/>
      <w:start w:val="5"/>
    </w:lvl>
  </w:abstractNum>
  <w:abstractNum w:abstractNumId="140">
    <w:nsid w:val="2C106A57"/>
    <w:multiLevelType w:val="hybridMultilevel"/>
    <w:lvl w:ilvl="0">
      <w:lvlJc w:val="left"/>
      <w:lvlText w:val="(%1)"/>
      <w:numFmt w:val="lowerLetter"/>
      <w:start w:val="6"/>
    </w:lvl>
  </w:abstractNum>
  <w:abstractNum w:abstractNumId="141">
    <w:nsid w:val="684EED59"/>
    <w:multiLevelType w:val="hybridMultilevel"/>
    <w:lvl w:ilvl="0">
      <w:lvlJc w:val="left"/>
      <w:lvlText w:val="%1."/>
      <w:numFmt w:val="decimal"/>
      <w:start w:val="31"/>
    </w:lvl>
  </w:abstractNum>
  <w:abstractNum w:abstractNumId="142">
    <w:nsid w:val="545EE5D3"/>
    <w:multiLevelType w:val="hybridMultilevel"/>
    <w:lvl w:ilvl="0">
      <w:lvlJc w:val="left"/>
      <w:lvlText w:val="%1."/>
      <w:numFmt w:val="decimal"/>
      <w:start w:val="32"/>
    </w:lvl>
  </w:abstractNum>
  <w:abstractNum w:abstractNumId="143">
    <w:nsid w:val="4A66051"/>
    <w:multiLevelType w:val="hybridMultilevel"/>
    <w:lvl w:ilvl="0">
      <w:lvlJc w:val="left"/>
      <w:lvlText w:val="%1."/>
      <w:numFmt w:val="decimal"/>
      <w:start w:val="33"/>
    </w:lvl>
  </w:abstractNum>
  <w:abstractNum w:abstractNumId="144">
    <w:nsid w:val="20F4BDAD"/>
    <w:multiLevelType w:val="hybridMultilevel"/>
    <w:lvl w:ilvl="0">
      <w:lvlJc w:val="left"/>
      <w:lvlText w:val="%1."/>
      <w:numFmt w:val="decimal"/>
      <w:start w:val="34"/>
    </w:lvl>
  </w:abstractNum>
  <w:abstractNum w:abstractNumId="145">
    <w:nsid w:val="639DEFAC"/>
    <w:multiLevelType w:val="hybridMultilevel"/>
    <w:lvl w:ilvl="0">
      <w:lvlJc w:val="left"/>
      <w:lvlText w:val="%1."/>
      <w:numFmt w:val="decimal"/>
      <w:start w:val="37"/>
    </w:lvl>
  </w:abstractNum>
  <w:abstractNum w:abstractNumId="146">
    <w:nsid w:val="501F9786"/>
    <w:multiLevelType w:val="hybridMultilevel"/>
    <w:lvl w:ilvl="0">
      <w:lvlJc w:val="left"/>
      <w:lvlText w:val="(%1)"/>
      <w:numFmt w:val="lowerLetter"/>
      <w:start w:val="1"/>
    </w:lvl>
  </w:abstractNum>
  <w:abstractNum w:abstractNumId="147">
    <w:nsid w:val="6B057295"/>
    <w:multiLevelType w:val="hybridMultilevel"/>
    <w:lvl w:ilvl="0">
      <w:lvlJc w:val="left"/>
      <w:lvlText w:val="(%1)"/>
      <w:numFmt w:val="lowerLetter"/>
      <w:start w:val="2"/>
    </w:lvl>
    <w:lvl w:ilvl="1">
      <w:lvlJc w:val="left"/>
      <w:lvlText w:val="(%2)"/>
      <w:numFmt w:val="lowerRoman"/>
      <w:start w:val="1"/>
    </w:lvl>
  </w:abstractNum>
  <w:abstractNum w:abstractNumId="148">
    <w:nsid w:val="2771AC80"/>
    <w:multiLevelType w:val="hybridMultilevel"/>
    <w:lvl w:ilvl="0">
      <w:lvlJc w:val="left"/>
      <w:lvlText w:val="(%1)"/>
      <w:numFmt w:val="lowerRoman"/>
      <w:start w:val="1"/>
    </w:lvl>
  </w:abstractNum>
  <w:abstractNum w:abstractNumId="149">
    <w:nsid w:val="1C4A08EC"/>
    <w:multiLevelType w:val="hybridMultilevel"/>
    <w:lvl w:ilvl="0">
      <w:lvlJc w:val="left"/>
      <w:lvlText w:val="(%1)"/>
      <w:numFmt w:val="lowerLetter"/>
      <w:start w:val="3"/>
    </w:lvl>
  </w:abstractNum>
  <w:abstractNum w:abstractNumId="150">
    <w:nsid w:val="1958BD17"/>
    <w:multiLevelType w:val="hybridMultilevel"/>
    <w:lvl w:ilvl="0">
      <w:lvlJc w:val="left"/>
      <w:lvlText w:val="%1"/>
      <w:numFmt w:val="lowerLetter"/>
      <w:start w:val="1"/>
    </w:lvl>
    <w:lvl w:ilvl="1">
      <w:lvlJc w:val="left"/>
      <w:lvlText w:val="(%2)"/>
      <w:numFmt w:val="lowerRoman"/>
      <w:start w:val="1"/>
    </w:lvl>
  </w:abstractNum>
  <w:abstractNum w:abstractNumId="151">
    <w:nsid w:val="4E647FE4"/>
    <w:multiLevelType w:val="hybridMultilevel"/>
    <w:lvl w:ilvl="0">
      <w:lvlJc w:val="left"/>
      <w:lvlText w:val="(%1)"/>
      <w:numFmt w:val="lowerLetter"/>
      <w:start w:val="5"/>
    </w:lvl>
    <w:lvl w:ilvl="1">
      <w:lvlJc w:val="left"/>
      <w:lvlText w:val="%2"/>
      <w:numFmt w:val="lowerRoman"/>
      <w:start w:val="1"/>
    </w:lvl>
  </w:abstractNum>
  <w:abstractNum w:abstractNumId="152">
    <w:nsid w:val="E0BB885"/>
    <w:multiLevelType w:val="hybridMultilevel"/>
    <w:lvl w:ilvl="0">
      <w:lvlJc w:val="left"/>
      <w:lvlText w:val="%1."/>
      <w:numFmt w:val="decimal"/>
      <w:start w:val="40"/>
    </w:lvl>
  </w:abstractNum>
  <w:abstractNum w:abstractNumId="153">
    <w:nsid w:val="565976F1"/>
    <w:multiLevelType w:val="hybridMultilevel"/>
    <w:lvl w:ilvl="0">
      <w:lvlJc w:val="left"/>
      <w:lvlText w:val="(%1)"/>
      <w:numFmt w:val="lowerLetter"/>
      <w:start w:val="1"/>
    </w:lvl>
  </w:abstractNum>
  <w:abstractNum w:abstractNumId="154">
    <w:nsid w:val="64212B8C"/>
    <w:multiLevelType w:val="hybridMultilevel"/>
    <w:lvl w:ilvl="0">
      <w:lvlJc w:val="left"/>
      <w:lvlText w:val="(%1)"/>
      <w:numFmt w:val="lowerLetter"/>
      <w:start w:val="6"/>
    </w:lvl>
  </w:abstractNum>
  <w:abstractNum w:abstractNumId="155">
    <w:nsid w:val="5C17530C"/>
    <w:multiLevelType w:val="hybridMultilevel"/>
    <w:lvl w:ilvl="0">
      <w:lvlJc w:val="left"/>
      <w:lvlText w:val="(%1)"/>
      <w:numFmt w:val="lowerLetter"/>
      <w:start w:val="7"/>
    </w:lvl>
  </w:abstractNum>
  <w:abstractNum w:abstractNumId="156">
    <w:nsid w:val="19A52566"/>
    <w:multiLevelType w:val="hybridMultilevel"/>
    <w:lvl w:ilvl="0">
      <w:lvlJc w:val="left"/>
      <w:lvlText w:val="%1."/>
      <w:numFmt w:val="decimal"/>
      <w:start w:val="1"/>
    </w:lvl>
  </w:abstractNum>
  <w:abstractNum w:abstractNumId="157">
    <w:nsid w:val="335A1DF1"/>
    <w:multiLevelType w:val="hybridMultilevel"/>
    <w:lvl w:ilvl="0">
      <w:lvlJc w:val="left"/>
      <w:lvlText w:val="(%1)"/>
      <w:numFmt w:val="lowerLetter"/>
      <w:start w:val="1"/>
    </w:lvl>
  </w:abstractNum>
  <w:abstractNum w:abstractNumId="158">
    <w:nsid w:val="28677B7C"/>
    <w:multiLevelType w:val="hybridMultilevel"/>
    <w:lvl w:ilvl="0">
      <w:lvlJc w:val="left"/>
      <w:lvlText w:val="%1."/>
      <w:numFmt w:val="decimal"/>
      <w:start w:val="2"/>
    </w:lvl>
  </w:abstractNum>
  <w:abstractNum w:abstractNumId="159">
    <w:nsid w:val="378D97C0"/>
    <w:multiLevelType w:val="hybridMultilevel"/>
    <w:lvl w:ilvl="0">
      <w:lvlJc w:val="left"/>
      <w:lvlText w:val="(%1)"/>
      <w:numFmt w:val="lowerLetter"/>
      <w:start w:val="1"/>
    </w:lvl>
  </w:abstractNum>
  <w:abstractNum w:abstractNumId="160">
    <w:nsid w:val="1D91467C"/>
    <w:multiLevelType w:val="hybridMultilevel"/>
    <w:lvl w:ilvl="0">
      <w:lvlJc w:val="left"/>
      <w:lvlText w:val="%1"/>
      <w:numFmt w:val="lowerLetter"/>
      <w:start w:val="1"/>
    </w:lvl>
    <w:lvl w:ilvl="1">
      <w:lvlJc w:val="left"/>
      <w:lvlText w:val="(%2)"/>
      <w:numFmt w:val="lowerLetter"/>
      <w:start w:val="2"/>
    </w:lvl>
  </w:abstractNum>
  <w:abstractNum w:abstractNumId="161">
    <w:nsid w:val="316032BB"/>
    <w:multiLevelType w:val="hybridMultilevel"/>
    <w:lvl w:ilvl="0">
      <w:lvlJc w:val="left"/>
      <w:lvlText w:val="(%1)"/>
      <w:numFmt w:val="lowerLetter"/>
      <w:start w:val="9"/>
    </w:lvl>
    <w:lvl w:ilvl="1">
      <w:lvlJc w:val="left"/>
      <w:lvlText w:val="%2"/>
      <w:numFmt w:val="lowerLetter"/>
      <w:start w:val="1"/>
    </w:lvl>
  </w:abstractNum>
  <w:abstractNum w:abstractNumId="162">
    <w:nsid w:val="44344C22"/>
    <w:multiLevelType w:val="hybridMultilevel"/>
    <w:lvl w:ilvl="0">
      <w:lvlJc w:val="left"/>
      <w:lvlText w:val="%1."/>
      <w:numFmt w:val="decimal"/>
      <w:start w:val="3"/>
    </w:lvl>
  </w:abstractNum>
  <w:abstractNum w:abstractNumId="163">
    <w:nsid w:val="13CDFCFC"/>
    <w:multiLevelType w:val="hybridMultilevel"/>
    <w:lvl w:ilvl="0">
      <w:lvlJc w:val="left"/>
      <w:lvlText w:val="(%1)"/>
      <w:numFmt w:val="lowerLetter"/>
      <w:start w:val="1"/>
    </w:lvl>
  </w:abstractNum>
  <w:abstractNum w:abstractNumId="164">
    <w:nsid w:val="471745E4"/>
    <w:multiLevelType w:val="hybridMultilevel"/>
    <w:lvl w:ilvl="0">
      <w:lvlJc w:val="left"/>
      <w:lvlText w:val="(%1)"/>
      <w:numFmt w:val="lowerLetter"/>
      <w:start w:val="4"/>
    </w:lvl>
  </w:abstractNum>
  <w:abstractNum w:abstractNumId="165">
    <w:nsid w:val="1DDBC66"/>
    <w:multiLevelType w:val="hybridMultilevel"/>
    <w:lvl w:ilvl="0">
      <w:lvlJc w:val="left"/>
      <w:lvlText w:val="(%1)"/>
      <w:numFmt w:val="lowerLetter"/>
      <w:start w:val="6"/>
    </w:lvl>
    <w:lvl w:ilvl="1">
      <w:lvlJc w:val="left"/>
      <w:lvlText w:val="(%2)"/>
      <w:numFmt w:val="lowerRoman"/>
      <w:start w:val="1"/>
    </w:lvl>
  </w:abstractNum>
  <w:abstractNum w:abstractNumId="166">
    <w:nsid w:val="30AADFDA"/>
    <w:multiLevelType w:val="hybridMultilevel"/>
    <w:lvl w:ilvl="0">
      <w:lvlJc w:val="left"/>
      <w:lvlText w:val="(%1)"/>
      <w:numFmt w:val="lowerRoman"/>
      <w:start w:val="8"/>
    </w:lvl>
  </w:abstractNum>
  <w:abstractNum w:abstractNumId="167">
    <w:nsid w:val="30EADA61"/>
    <w:multiLevelType w:val="hybridMultilevel"/>
    <w:lvl w:ilvl="0">
      <w:lvlJc w:val="left"/>
      <w:lvlText w:val="%1."/>
      <w:numFmt w:val="decimal"/>
      <w:start w:val="4"/>
    </w:lvl>
  </w:abstractNum>
  <w:abstractNum w:abstractNumId="168">
    <w:nsid w:val="27179C0B"/>
    <w:multiLevelType w:val="hybridMultilevel"/>
    <w:lvl w:ilvl="0">
      <w:lvlJc w:val="left"/>
      <w:lvlText w:val="(%1)"/>
      <w:numFmt w:val="lowerLetter"/>
      <w:start w:val="1"/>
    </w:lvl>
  </w:abstractNum>
  <w:abstractNum w:abstractNumId="169">
    <w:nsid w:val="5E636063"/>
    <w:multiLevelType w:val="hybridMultilevel"/>
    <w:lvl w:ilvl="0">
      <w:lvlJc w:val="left"/>
      <w:lvlText w:val="%1."/>
      <w:numFmt w:val="decimal"/>
      <w:start w:val="5"/>
    </w:lvl>
  </w:abstractNum>
  <w:abstractNum w:abstractNumId="170">
    <w:nsid w:val="215641AF"/>
    <w:multiLevelType w:val="hybridMultilevel"/>
    <w:lvl w:ilvl="0">
      <w:lvlJc w:val="left"/>
      <w:lvlText w:val="(%1)"/>
      <w:numFmt w:val="lowerLetter"/>
      <w:start w:val="1"/>
    </w:lvl>
  </w:abstractNum>
  <w:abstractNum w:abstractNumId="171">
    <w:nsid w:val="53280662"/>
    <w:multiLevelType w:val="hybridMultilevel"/>
    <w:lvl w:ilvl="0">
      <w:lvlJc w:val="left"/>
      <w:lvlText w:val="%1."/>
      <w:numFmt w:val="decimal"/>
      <w:start w:val="6"/>
    </w:lvl>
  </w:abstractNum>
  <w:abstractNum w:abstractNumId="172">
    <w:nsid w:val="46B24DBC"/>
    <w:multiLevelType w:val="hybridMultilevel"/>
    <w:lvl w:ilvl="0">
      <w:lvlJc w:val="left"/>
      <w:lvlText w:val="(%1)"/>
      <w:numFmt w:val="lowerLetter"/>
      <w:start w:val="1"/>
    </w:lvl>
  </w:abstractNum>
  <w:abstractNum w:abstractNumId="173">
    <w:nsid w:val="75B52783"/>
    <w:multiLevelType w:val="hybridMultilevel"/>
    <w:lvl w:ilvl="0">
      <w:lvlJc w:val="left"/>
      <w:lvlText w:val="1"/>
      <w:numFmt w:val="bullet"/>
      <w:start w:val="1"/>
    </w:lvl>
  </w:abstractNum>
  <w:abstractNum w:abstractNumId="174">
    <w:nsid w:val="57CE66B4"/>
    <w:multiLevelType w:val="hybridMultilevel"/>
    <w:lvl w:ilvl="0">
      <w:lvlJc w:val="left"/>
      <w:lvlText w:val="."/>
      <w:numFmt w:val="bullet"/>
      <w:start w:val="1"/>
    </w:lvl>
  </w:abstractNum>
  <w:abstractNum w:abstractNumId="175">
    <w:nsid w:val="67A70B69"/>
    <w:multiLevelType w:val="hybridMultilevel"/>
    <w:lvl w:ilvl="0">
      <w:lvlJc w:val="left"/>
      <w:lvlText w:val="%1."/>
      <w:numFmt w:val="decimal"/>
      <w:start w:val="1"/>
    </w:lvl>
  </w:abstractNum>
  <w:abstractNum w:abstractNumId="176">
    <w:nsid w:val="5953172F"/>
    <w:multiLevelType w:val="hybridMultilevel"/>
    <w:lvl w:ilvl="0">
      <w:lvlJc w:val="left"/>
      <w:lvlText w:val="%1."/>
      <w:numFmt w:val="decimal"/>
      <w:start w:val="17"/>
    </w:lvl>
  </w:abstractNum>
  <w:abstractNum w:abstractNumId="177">
    <w:nsid w:val="27EDFE3A"/>
    <w:multiLevelType w:val="hybridMultilevel"/>
    <w:lvl w:ilvl="0">
      <w:lvlJc w:val="left"/>
      <w:lvlText w:val="·"/>
      <w:numFmt w:val="bullet"/>
      <w:start w:val="1"/>
    </w:lvl>
  </w:abstractNum>
  <w:abstractNum w:abstractNumId="178">
    <w:nsid w:val="52AC7DFF"/>
    <w:multiLevelType w:val="hybridMultilevel"/>
    <w:lvl w:ilvl="0">
      <w:lvlJc w:val="left"/>
      <w:lvlText w:val="·"/>
      <w:numFmt w:val="bullet"/>
      <w:start w:val="1"/>
    </w:lvl>
  </w:abstractNum>
  <w:abstractNum w:abstractNumId="179">
    <w:nsid w:val="C4C3AF"/>
    <w:multiLevelType w:val="hybridMultilevel"/>
    <w:lvl w:ilvl="0">
      <w:lvlJc w:val="left"/>
      <w:lvlText w:val="·"/>
      <w:numFmt w:val="bullet"/>
      <w:start w:val="1"/>
    </w:lvl>
  </w:abstractNum>
  <w:abstractNum w:abstractNumId="180">
    <w:nsid w:val="44380727"/>
    <w:multiLevelType w:val="hybridMultilevel"/>
    <w:lvl w:ilvl="0">
      <w:lvlJc w:val="left"/>
      <w:lvlText w:val="·"/>
      <w:numFmt w:val="bullet"/>
      <w:start w:val="1"/>
    </w:lvl>
  </w:abstractNum>
  <w:abstractNum w:abstractNumId="181">
    <w:nsid w:val="6C053B16"/>
    <w:multiLevelType w:val="hybridMultilevel"/>
    <w:lvl w:ilvl="0">
      <w:lvlJc w:val="left"/>
      <w:lvlText w:val="·"/>
      <w:numFmt w:val="bullet"/>
      <w:start w:val="1"/>
    </w:lvl>
  </w:abstractNum>
  <w:abstractNum w:abstractNumId="182">
    <w:nsid w:val="4F294393"/>
    <w:multiLevelType w:val="hybridMultilevel"/>
    <w:lvl w:ilvl="0">
      <w:lvlJc w:val="left"/>
      <w:lvlText w:val="*"/>
      <w:numFmt w:val="bullet"/>
      <w:start w:val="1"/>
    </w:lvl>
  </w:abstractNum>
  <w:abstractNum w:abstractNumId="183">
    <w:nsid w:val="5243BFAC"/>
    <w:multiLevelType w:val="hybridMultilevel"/>
    <w:lvl w:ilvl="0">
      <w:lvlJc w:val="left"/>
      <w:lvlText w:val="%1."/>
      <w:numFmt w:val="decimal"/>
      <w:start w:val="1"/>
    </w:lvl>
  </w:abstractNum>
  <w:abstractNum w:abstractNumId="184">
    <w:nsid w:val="425EB207"/>
    <w:multiLevelType w:val="hybridMultilevel"/>
    <w:lvl w:ilvl="0">
      <w:lvlJc w:val="left"/>
      <w:lvlText w:val="(%1)"/>
      <w:numFmt w:val="lowerLetter"/>
      <w:start w:val="1"/>
    </w:lvl>
  </w:abstractNum>
  <w:abstractNum w:abstractNumId="185">
    <w:nsid w:val="334A6F1F"/>
    <w:multiLevelType w:val="hybridMultilevel"/>
    <w:lvl w:ilvl="0">
      <w:lvlJc w:val="left"/>
      <w:lvlText w:val="(%1)"/>
      <w:numFmt w:val="decimal"/>
      <w:start w:val="9"/>
    </w:lvl>
  </w:abstractNum>
  <w:abstractNum w:abstractNumId="186">
    <w:nsid w:val="2E5B12B8"/>
    <w:multiLevelType w:val="hybridMultilevel"/>
    <w:lvl w:ilvl="0">
      <w:lvlJc w:val="left"/>
      <w:lvlText w:val="%1."/>
      <w:numFmt w:val="decimal"/>
      <w:start w:val="5"/>
    </w:lvl>
  </w:abstractNum>
  <w:abstractNum w:abstractNumId="187">
    <w:nsid w:val="5C03D76D"/>
    <w:multiLevelType w:val="hybridMultilevel"/>
    <w:lvl w:ilvl="0">
      <w:lvlJc w:val="left"/>
      <w:lvlText w:val="%1."/>
      <w:numFmt w:val="decimal"/>
      <w:start w:val="6"/>
    </w:lvl>
  </w:abstractNum>
  <w:abstractNum w:abstractNumId="188">
    <w:nsid w:val="66A48D11"/>
    <w:multiLevelType w:val="hybridMultilevel"/>
    <w:lvl w:ilvl="0">
      <w:lvlJc w:val="left"/>
      <w:lvlText w:val="%1."/>
      <w:numFmt w:val="decimal"/>
      <w:start w:val="8"/>
    </w:lvl>
  </w:abstractNum>
  <w:abstractNum w:abstractNumId="189">
    <w:nsid w:val="56C28E34"/>
    <w:multiLevelType w:val="hybridMultilevel"/>
    <w:lvl w:ilvl="0">
      <w:lvlJc w:val="left"/>
      <w:lvlText w:val="(%1)"/>
      <w:numFmt w:val="decimal"/>
      <w:start w:val="1"/>
    </w:lvl>
  </w:abstractNum>
  <w:abstractNum w:abstractNumId="190">
    <w:nsid w:val="13916F2D"/>
    <w:multiLevelType w:val="hybridMultilevel"/>
    <w:lvl w:ilvl="0">
      <w:lvlJc w:val="left"/>
      <w:lvlText w:val="(%1)"/>
      <w:numFmt w:val="lowerRoman"/>
      <w:start w:val="10"/>
    </w:lvl>
  </w:abstractNum>
  <w:abstractNum w:abstractNumId="191">
    <w:nsid w:val="435D38D"/>
    <w:multiLevelType w:val="hybridMultilevel"/>
    <w:lvl w:ilvl="0">
      <w:lvlJc w:val="left"/>
      <w:lvlText w:val="(%1)"/>
      <w:numFmt w:val="lowerLetter"/>
      <w:start w:val="1"/>
    </w:lvl>
  </w:abstractNum>
  <w:abstractNum w:abstractNumId="192">
    <w:nsid w:val="822C0EF"/>
    <w:multiLevelType w:val="hybridMultilevel"/>
    <w:lvl w:ilvl="0">
      <w:lvlJc w:val="left"/>
      <w:lvlText w:val="%1."/>
      <w:numFmt w:val="decimal"/>
      <w:start w:val="9"/>
    </w:lvl>
  </w:abstractNum>
  <w:abstractNum w:abstractNumId="193">
    <w:nsid w:val="57C5BB4F"/>
    <w:multiLevelType w:val="hybridMultilevel"/>
    <w:lvl w:ilvl="0">
      <w:lvlJc w:val="left"/>
      <w:lvlText w:val="%1."/>
      <w:numFmt w:val="decimal"/>
      <w:start w:val="10"/>
    </w:lvl>
  </w:abstractNum>
  <w:abstractNum w:abstractNumId="194">
    <w:nsid w:val="1803D089"/>
    <w:multiLevelType w:val="hybridMultilevel"/>
    <w:lvl w:ilvl="0">
      <w:lvlJc w:val="left"/>
      <w:lvlText w:val="(%1)"/>
      <w:numFmt w:val="lowerLetter"/>
      <w:start w:val="1"/>
    </w:lvl>
  </w:abstractNum>
  <w:abstractNum w:abstractNumId="195">
    <w:nsid w:val="4F3A06D4"/>
    <w:multiLevelType w:val="hybridMultilevel"/>
    <w:lvl w:ilvl="0">
      <w:lvlJc w:val="left"/>
      <w:lvlText w:val="(%1)"/>
      <w:numFmt w:val="lowerLetter"/>
      <w:start w:val="4"/>
    </w:lvl>
  </w:abstractNum>
  <w:abstractNum w:abstractNumId="196">
    <w:nsid w:val="59A377B6"/>
    <w:multiLevelType w:val="hybridMultilevel"/>
    <w:lvl w:ilvl="0">
      <w:lvlJc w:val="left"/>
      <w:lvlText w:val="(%1)"/>
      <w:numFmt w:val="lowerLetter"/>
      <w:start w:val="1"/>
    </w:lvl>
  </w:abstractNum>
  <w:abstractNum w:abstractNumId="197">
    <w:nsid w:val="48AEB063"/>
    <w:multiLevelType w:val="hybridMultilevel"/>
    <w:lvl w:ilvl="0">
      <w:lvlJc w:val="left"/>
      <w:lvlText w:val="%1."/>
      <w:numFmt w:val="decimal"/>
      <w:start w:val="11"/>
    </w:lvl>
  </w:abstractNum>
  <w:abstractNum w:abstractNumId="198">
    <w:nsid w:val="24E135"/>
    <w:multiLevelType w:val="hybridMultilevel"/>
    <w:lvl w:ilvl="0">
      <w:lvlJc w:val="left"/>
      <w:lvlText w:val="(%1)"/>
      <w:numFmt w:val="decimal"/>
      <w:start w:val="5"/>
    </w:lvl>
  </w:abstractNum>
  <w:abstractNum w:abstractNumId="199">
    <w:nsid w:val="BB13C1"/>
    <w:multiLevelType w:val="hybridMultilevel"/>
    <w:lvl w:ilvl="0">
      <w:lvlJc w:val="left"/>
      <w:lvlText w:val="(%1)"/>
      <w:numFmt w:val="lowerLetter"/>
      <w:start w:val="1"/>
    </w:lvl>
  </w:abstractNum>
  <w:abstractNum w:abstractNumId="200">
    <w:nsid w:val="271210C7"/>
    <w:multiLevelType w:val="hybridMultilevel"/>
    <w:lvl w:ilvl="0">
      <w:lvlJc w:val="left"/>
      <w:lvlText w:val="(%1)"/>
      <w:numFmt w:val="lowerLetter"/>
      <w:start w:val="3"/>
    </w:lvl>
    <w:lvl w:ilvl="1">
      <w:lvlJc w:val="left"/>
      <w:lvlText w:val="%2."/>
      <w:numFmt w:val="decimal"/>
      <w:start w:val="12"/>
    </w:lvl>
  </w:abstractNum>
  <w:abstractNum w:abstractNumId="201">
    <w:nsid w:val="217B22E4"/>
    <w:multiLevelType w:val="hybridMultilevel"/>
    <w:lvl w:ilvl="0">
      <w:lvlJc w:val="left"/>
      <w:lvlText w:val="%1."/>
      <w:numFmt w:val="decimal"/>
      <w:start w:val="13"/>
    </w:lvl>
  </w:abstractNum>
  <w:abstractNum w:abstractNumId="202">
    <w:nsid w:val="53E31A24"/>
    <w:multiLevelType w:val="hybridMultilevel"/>
    <w:lvl w:ilvl="0">
      <w:lvlJc w:val="left"/>
      <w:lvlText w:val="%1."/>
      <w:numFmt w:val="decimal"/>
      <w:start w:val="14"/>
    </w:lvl>
  </w:abstractNum>
  <w:abstractNum w:abstractNumId="203">
    <w:nsid w:val="6DC45E83"/>
    <w:multiLevelType w:val="hybridMultilevel"/>
    <w:lvl w:ilvl="0">
      <w:lvlJc w:val="left"/>
      <w:lvlText w:val="%1."/>
      <w:numFmt w:val="decimal"/>
      <w:start w:val="15"/>
    </w:lvl>
  </w:abstractNum>
  <w:abstractNum w:abstractNumId="204">
    <w:nsid w:val="17304A67"/>
    <w:multiLevelType w:val="hybridMultilevel"/>
    <w:lvl w:ilvl="0">
      <w:lvlJc w:val="left"/>
      <w:lvlText w:val="(%1)"/>
      <w:numFmt w:val="lowerLetter"/>
      <w:start w:val="2"/>
    </w:lvl>
  </w:abstractNum>
  <w:abstractNum w:abstractNumId="205">
    <w:nsid w:val="2BB180D8"/>
    <w:multiLevelType w:val="hybridMultilevel"/>
    <w:lvl w:ilvl="0">
      <w:lvlJc w:val="left"/>
      <w:lvlText w:val="%1."/>
      <w:numFmt w:val="decimal"/>
      <w:start w:val="16"/>
    </w:lvl>
  </w:abstractNum>
  <w:abstractNum w:abstractNumId="206">
    <w:nsid w:val="556B69ED"/>
    <w:multiLevelType w:val="hybridMultilevel"/>
    <w:lvl w:ilvl="0">
      <w:lvlJc w:val="left"/>
      <w:lvlText w:val="%1."/>
      <w:numFmt w:val="decimal"/>
      <w:start w:val="18"/>
    </w:lvl>
  </w:abstractNum>
  <w:abstractNum w:abstractNumId="207">
    <w:nsid w:val="70836196"/>
    <w:multiLevelType w:val="hybridMultilevel"/>
    <w:lvl w:ilvl="0">
      <w:lvlJc w:val="left"/>
      <w:lvlText w:val="%1."/>
      <w:numFmt w:val="decimal"/>
      <w:start w:val="19"/>
    </w:lvl>
  </w:abstractNum>
  <w:abstractNum w:abstractNumId="208">
    <w:nsid w:val="539F7F12"/>
    <w:multiLevelType w:val="hybridMultilevel"/>
    <w:lvl w:ilvl="0">
      <w:lvlJc w:val="left"/>
      <w:lvlText w:val="(%1)"/>
      <w:numFmt w:val="lowerLetter"/>
      <w:start w:val="4"/>
    </w:lvl>
  </w:abstractNum>
  <w:abstractNum w:abstractNumId="209">
    <w:nsid w:val="2817E7EC"/>
    <w:multiLevelType w:val="hybridMultilevel"/>
    <w:lvl w:ilvl="0">
      <w:lvlJc w:val="left"/>
      <w:lvlText w:val="(%1)"/>
      <w:numFmt w:val="decimal"/>
      <w:start w:val="2"/>
    </w:lvl>
    <w:lvl w:ilvl="1">
      <w:lvlJc w:val="left"/>
      <w:lvlText w:val="%2."/>
      <w:numFmt w:val="decimal"/>
      <w:start w:val="20"/>
    </w:lvl>
  </w:abstractNum>
  <w:abstractNum w:abstractNumId="210">
    <w:nsid w:val="71482545"/>
    <w:multiLevelType w:val="hybridMultilevel"/>
    <w:lvl w:ilvl="0">
      <w:lvlJc w:val="left"/>
      <w:lvlText w:val="%1."/>
      <w:numFmt w:val="decimal"/>
      <w:start w:val="22"/>
    </w:lvl>
  </w:abstractNum>
  <w:abstractNum w:abstractNumId="211">
    <w:nsid w:val="17D78639"/>
    <w:multiLevelType w:val="hybridMultilevel"/>
    <w:lvl w:ilvl="0">
      <w:lvlJc w:val="left"/>
      <w:lvlText w:val="%1."/>
      <w:numFmt w:val="decimal"/>
      <w:start w:val="23"/>
    </w:lvl>
  </w:abstractNum>
  <w:abstractNum w:abstractNumId="212">
    <w:nsid w:val="141D2302"/>
    <w:multiLevelType w:val="hybridMultilevel"/>
    <w:lvl w:ilvl="0">
      <w:lvlJc w:val="left"/>
      <w:lvlText w:val="%1."/>
      <w:numFmt w:val="decimal"/>
      <w:start w:val="24"/>
    </w:lvl>
  </w:abstractNum>
  <w:abstractNum w:abstractNumId="213">
    <w:nsid w:val="407168D8"/>
    <w:multiLevelType w:val="hybridMultilevel"/>
    <w:lvl w:ilvl="0">
      <w:lvlJc w:val="left"/>
      <w:lvlText w:val="(%1)"/>
      <w:numFmt w:val="lowerLetter"/>
      <w:start w:val="1"/>
    </w:lvl>
  </w:abstractNum>
  <w:abstractNum w:abstractNumId="214">
    <w:nsid w:val="6A1B45E5"/>
    <w:multiLevelType w:val="hybridMultilevel"/>
    <w:lvl w:ilvl="0">
      <w:lvlJc w:val="left"/>
      <w:lvlText w:val="(%1)"/>
      <w:numFmt w:val="lowerLetter"/>
      <w:start w:val="1"/>
    </w:lvl>
  </w:abstractNum>
  <w:abstractNum w:abstractNumId="215">
    <w:nsid w:val="567BD50A"/>
    <w:multiLevelType w:val="hybridMultilevel"/>
    <w:lvl w:ilvl="0">
      <w:lvlJc w:val="left"/>
      <w:lvlText w:val="%1."/>
      <w:numFmt w:val="decimal"/>
      <w:start w:val="26"/>
    </w:lvl>
  </w:abstractNum>
  <w:abstractNum w:abstractNumId="216">
    <w:nsid w:val="73BBD7F8"/>
    <w:multiLevelType w:val="hybridMultilevel"/>
    <w:lvl w:ilvl="0">
      <w:lvlJc w:val="left"/>
      <w:lvlText w:val="%1."/>
      <w:numFmt w:val="decimal"/>
      <w:start w:val="1"/>
    </w:lvl>
  </w:abstractNum>
  <w:abstractNum w:abstractNumId="217">
    <w:nsid w:val="1876589D"/>
    <w:multiLevelType w:val="hybridMultilevel"/>
    <w:lvl w:ilvl="0">
      <w:lvlJc w:val="left"/>
      <w:lvlText w:val="%1."/>
      <w:numFmt w:val="decimal"/>
      <w:start w:val="11"/>
    </w:lvl>
  </w:abstractNum>
  <w:abstractNum w:abstractNumId="218">
    <w:nsid w:val="327FAC77"/>
    <w:multiLevelType w:val="hybridMultilevel"/>
    <w:lvl w:ilvl="0">
      <w:lvlJc w:val="left"/>
      <w:lvlText w:val="%1."/>
      <w:numFmt w:val="decimal"/>
      <w:start w:val="15"/>
    </w:lvl>
  </w:abstractNum>
  <w:abstractNum w:abstractNumId="219">
    <w:nsid w:val="5A606509"/>
    <w:multiLevelType w:val="hybridMultilevel"/>
    <w:lvl w:ilvl="0">
      <w:lvlJc w:val="left"/>
      <w:lvlText w:val="%1."/>
      <w:numFmt w:val="decimal"/>
      <w:start w:val="1"/>
    </w:lvl>
  </w:abstractNum>
  <w:abstractNum w:abstractNumId="220">
    <w:nsid w:val="6F38E6D1"/>
    <w:multiLevelType w:val="hybridMultilevel"/>
    <w:lvl w:ilvl="0">
      <w:lvlJc w:val="left"/>
      <w:lvlText w:val="(%1)"/>
      <w:numFmt w:val="decimal"/>
      <w:start w:val="1"/>
    </w:lvl>
  </w:abstractNum>
  <w:abstractNum w:abstractNumId="221">
    <w:nsid w:val="46111BA5"/>
    <w:multiLevelType w:val="hybridMultilevel"/>
    <w:lvl w:ilvl="0">
      <w:lvlJc w:val="left"/>
      <w:lvlText w:val="%1."/>
      <w:numFmt w:val="decimal"/>
      <w:start w:val="4"/>
    </w:lvl>
  </w:abstractNum>
  <w:abstractNum w:abstractNumId="222">
    <w:nsid w:val="5E963896"/>
    <w:multiLevelType w:val="hybridMultilevel"/>
    <w:lvl w:ilvl="0">
      <w:lvlJc w:val="left"/>
      <w:lvlText w:val="%1."/>
      <w:numFmt w:val="decimal"/>
      <w:start w:val="7"/>
    </w:lvl>
  </w:abstractNum>
  <w:abstractNum w:abstractNumId="223">
    <w:nsid w:val="775BA7C1"/>
    <w:multiLevelType w:val="hybridMultilevel"/>
    <w:lvl w:ilvl="0">
      <w:lvlJc w:val="left"/>
      <w:lvlText w:val="%1."/>
      <w:numFmt w:val="decimal"/>
      <w:start w:val="10"/>
    </w:lvl>
  </w:abstractNum>
  <w:abstractNum w:abstractNumId="224">
    <w:nsid w:val="1DD6D6F4"/>
    <w:multiLevelType w:val="hybridMultilevel"/>
    <w:lvl w:ilvl="0">
      <w:lvlJc w:val="left"/>
      <w:lvlText w:val="%1."/>
      <w:numFmt w:val="decimal"/>
      <w:start w:val="11"/>
    </w:lvl>
  </w:abstractNum>
  <w:abstractNum w:abstractNumId="225">
    <w:nsid w:val="769A091F"/>
    <w:multiLevelType w:val="hybridMultilevel"/>
    <w:lvl w:ilvl="0">
      <w:lvlJc w:val="left"/>
      <w:lvlText w:val="%1."/>
      <w:numFmt w:val="decimal"/>
      <w:start w:val="1"/>
    </w:lvl>
  </w:abstractNum>
  <w:abstractNum w:abstractNumId="226">
    <w:nsid w:val="4695AE95"/>
    <w:multiLevelType w:val="hybridMultilevel"/>
    <w:lvl w:ilvl="0">
      <w:lvlJc w:val="left"/>
      <w:lvlText w:val="%1"/>
      <w:numFmt w:val="lowerLetter"/>
      <w:start w:val="1"/>
    </w:lvl>
    <w:lvl w:ilvl="1">
      <w:lvlJc w:val="left"/>
      <w:lvlText w:val="%2."/>
      <w:numFmt w:val="decimal"/>
      <w:start w:val="5"/>
    </w:lvl>
  </w:abstractNum>
  <w:abstractNum w:abstractNumId="227">
    <w:nsid w:val="777A4EAA"/>
    <w:multiLevelType w:val="hybridMultilevel"/>
    <w:lvl w:ilvl="0">
      <w:lvlJc w:val="left"/>
      <w:lvlText w:val="(%1)"/>
      <w:numFmt w:val="lowerLetter"/>
      <w:start w:val="2"/>
    </w:lvl>
    <w:lvl w:ilvl="1">
      <w:lvlJc w:val="left"/>
      <w:lvlText w:val="%2."/>
      <w:numFmt w:val="decimal"/>
      <w:start w:val="6"/>
    </w:lvl>
  </w:abstractNum>
  <w:abstractNum w:abstractNumId="228">
    <w:nsid w:val="3F48B982"/>
    <w:multiLevelType w:val="hybridMultilevel"/>
    <w:lvl w:ilvl="0">
      <w:lvlJc w:val="left"/>
      <w:lvlText w:val="%1."/>
      <w:numFmt w:val="decimal"/>
      <w:start w:val="2"/>
    </w:lvl>
  </w:abstractNum>
  <w:abstractNum w:abstractNumId="229">
    <w:nsid w:val="46BA8FCA"/>
    <w:multiLevelType w:val="hybridMultilevel"/>
    <w:lvl w:ilvl="0">
      <w:lvlJc w:val="left"/>
      <w:lvlText w:val="%1."/>
      <w:numFmt w:val="decimal"/>
      <w:start w:val="4"/>
    </w:lvl>
  </w:abstractNum>
  <w:abstractNum w:abstractNumId="230">
    <w:nsid w:val="7835626C"/>
    <w:multiLevelType w:val="hybridMultilevel"/>
    <w:lvl w:ilvl="0">
      <w:lvlJc w:val="left"/>
      <w:lvlText w:val="%1."/>
      <w:numFmt w:val="decimal"/>
      <w:start w:val="6"/>
    </w:lvl>
  </w:abstractNum>
  <w:abstractNum w:abstractNumId="231">
    <w:nsid w:val="665ACA49"/>
    <w:multiLevelType w:val="hybridMultilevel"/>
    <w:lvl w:ilvl="0">
      <w:lvlJc w:val="left"/>
      <w:lvlText w:val="(%1)"/>
      <w:numFmt w:val="lowerLetter"/>
      <w:start w:val="1"/>
    </w:lvl>
  </w:abstractNum>
  <w:abstractNum w:abstractNumId="232">
    <w:nsid w:val="6835B2AE"/>
    <w:multiLevelType w:val="hybridMultilevel"/>
    <w:lvl w:ilvl="0">
      <w:lvlJc w:val="left"/>
      <w:lvlText w:val="%1."/>
      <w:numFmt w:val="upperLetter"/>
      <w:start w:val="1"/>
    </w:lvl>
  </w:abstractNum>
  <w:abstractNum w:abstractNumId="233">
    <w:nsid w:val="4C187C90"/>
    <w:multiLevelType w:val="hybridMultilevel"/>
    <w:lvl w:ilvl="0">
      <w:lvlJc w:val="left"/>
      <w:lvlText w:val="%1."/>
      <w:numFmt w:val="upperLetter"/>
      <w:start w:val="4"/>
    </w:lvl>
  </w:abstractNum>
  <w:abstractNum w:abstractNumId="234">
    <w:nsid w:val="541F28CD"/>
    <w:multiLevelType w:val="hybridMultilevel"/>
    <w:lvl w:ilvl="0">
      <w:lvlJc w:val="left"/>
      <w:lvlText w:val="%1."/>
      <w:numFmt w:val="decimal"/>
      <w:start w:val="1"/>
    </w:lvl>
  </w:abstractNum>
  <w:abstractNum w:abstractNumId="235">
    <w:nsid w:val="7F65FD16"/>
    <w:multiLevelType w:val="hybridMultilevel"/>
    <w:lvl w:ilvl="0">
      <w:lvlJc w:val="left"/>
      <w:lvlText w:val="%1."/>
      <w:numFmt w:val="decimal"/>
      <w:start w:val="2"/>
    </w:lvl>
  </w:abstractNum>
  <w:abstractNum w:abstractNumId="236">
    <w:nsid w:val="77C9FD68"/>
    <w:multiLevelType w:val="hybridMultilevel"/>
    <w:lvl w:ilvl="0">
      <w:lvlJc w:val="left"/>
      <w:lvlText w:val="%1."/>
      <w:numFmt w:val="decimal"/>
      <w:start w:val="4"/>
    </w:lvl>
  </w:abstractNum>
  <w:abstractNum w:abstractNumId="237">
    <w:nsid w:val="298A92BA"/>
    <w:multiLevelType w:val="hybridMultilevel"/>
    <w:lvl w:ilvl="0">
      <w:lvlJc w:val="left"/>
      <w:lvlText w:val="%1."/>
      <w:numFmt w:val="decimal"/>
      <w:start w:val="5"/>
    </w:lvl>
  </w:abstractNum>
  <w:abstractNum w:abstractNumId="238">
    <w:nsid w:val="6FE95EAC"/>
    <w:multiLevelType w:val="hybridMultilevel"/>
    <w:lvl w:ilvl="0">
      <w:lvlJc w:val="left"/>
      <w:lvlText w:val="%1."/>
      <w:numFmt w:val="decimal"/>
      <w:start w:val="6"/>
    </w:lvl>
  </w:abstractNum>
  <w:abstractNum w:abstractNumId="239">
    <w:nsid w:val="4B697C7A"/>
    <w:multiLevelType w:val="hybridMultilevel"/>
    <w:lvl w:ilvl="0">
      <w:lvlJc w:val="left"/>
      <w:lvlText w:val="%1."/>
      <w:numFmt w:val="decimal"/>
      <w:start w:val="7"/>
    </w:lvl>
  </w:abstractNum>
  <w:abstractNum w:abstractNumId="240">
    <w:nsid w:val="51A27AA6"/>
    <w:multiLevelType w:val="hybridMultilevel"/>
    <w:lvl w:ilvl="0">
      <w:lvlJc w:val="left"/>
      <w:lvlText w:val="%1."/>
      <w:numFmt w:val="decimal"/>
      <w:start w:val="8"/>
    </w:lvl>
  </w:abstractNum>
  <w:abstractNum w:abstractNumId="241">
    <w:nsid w:val="613183F2"/>
    <w:multiLevelType w:val="hybridMultilevel"/>
    <w:lvl w:ilvl="0">
      <w:lvlJc w:val="left"/>
      <w:lvlText w:val="%1."/>
      <w:numFmt w:val="decimal"/>
      <w:start w:val="1"/>
    </w:lvl>
  </w:abstractNum>
  <w:abstractNum w:abstractNumId="242">
    <w:nsid w:val="634102B4"/>
    <w:multiLevelType w:val="hybridMultilevel"/>
    <w:lvl w:ilvl="0">
      <w:lvlJc w:val="left"/>
      <w:lvlText w:val="%1."/>
      <w:numFmt w:val="decimal"/>
      <w:start w:val="8"/>
    </w:lvl>
  </w:abstractNum>
  <w:abstractNum w:abstractNumId="243">
    <w:nsid w:val="65BF9D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44">
    <w:nsid w:val="21A2ECCA"/>
    <w:multiLevelType w:val="hybridMultilevel"/>
    <w:lvl w:ilvl="0">
      <w:lvlJc w:val="left"/>
      <w:lvlText w:val="%1"/>
      <w:numFmt w:val="decimal"/>
      <w:start w:val="1"/>
    </w:lvl>
    <w:lvl w:ilvl="1">
      <w:lvlJc w:val="left"/>
      <w:lvlText w:val="%2."/>
      <w:numFmt w:val="lowerLetter"/>
      <w:start w:val="5"/>
    </w:lvl>
  </w:abstractNum>
  <w:abstractNum w:abstractNumId="245">
    <w:nsid w:val="4D5C4899"/>
    <w:multiLevelType w:val="hybridMultilevel"/>
    <w:lvl w:ilvl="0">
      <w:lvlJc w:val="left"/>
      <w:lvlText w:val="%1."/>
      <w:numFmt w:val="decimal"/>
      <w:start w:val="7"/>
    </w:lvl>
    <w:lvl w:ilvl="1">
      <w:lvlJc w:val="left"/>
      <w:lvlText w:val="%2"/>
      <w:numFmt w:val="lowerLetter"/>
      <w:start w:val="1"/>
    </w:lvl>
  </w:abstractNum>
  <w:abstractNum w:abstractNumId="246">
    <w:nsid w:val="3C3B72B2"/>
    <w:multiLevelType w:val="hybridMultilevel"/>
    <w:lvl w:ilvl="0">
      <w:lvlJc w:val="left"/>
      <w:lvlText w:val="%1."/>
      <w:numFmt w:val="upperLetter"/>
      <w:start w:val="1"/>
    </w:lvl>
  </w:abstractNum>
  <w:abstractNum w:abstractNumId="247">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8">
    <w:nsid w:val="65D2A13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9">
    <w:nsid w:val="6EBB1F2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0">
    <w:nsid w:val="6FBF29CB"/>
    <w:multiLevelType w:val="hybridMultilevel"/>
    <w:lvl w:ilvl="0">
      <w:lvlJc w:val="left"/>
      <w:lvlText w:val="%1"/>
      <w:numFmt w:val="decimal"/>
      <w:start w:val="1"/>
    </w:lvl>
    <w:lvl w:ilvl="1">
      <w:lvlJc w:val="left"/>
      <w:lvlText w:val="(%2)"/>
      <w:numFmt w:val="lowerLetter"/>
      <w:start w:val="5"/>
    </w:lvl>
  </w:abstractNum>
  <w:abstractNum w:abstractNumId="251">
    <w:nsid w:val="550B8808"/>
    <w:multiLevelType w:val="hybridMultilevel"/>
    <w:lvl w:ilvl="0">
      <w:lvlJc w:val="left"/>
      <w:lvlText w:val="%1."/>
      <w:numFmt w:val="decimal"/>
      <w:start w:val="3"/>
    </w:lvl>
    <w:lvl w:ilvl="1">
      <w:lvlJc w:val="left"/>
      <w:lvlText w:val="(%2)"/>
      <w:numFmt w:val="lowerLetter"/>
      <w:start w:val="1"/>
    </w:lvl>
  </w:abstractNum>
  <w:abstractNum w:abstractNumId="252">
    <w:nsid w:val="34CC3ACF"/>
    <w:multiLevelType w:val="hybridMultilevel"/>
    <w:lvl w:ilvl="0">
      <w:lvlJc w:val="left"/>
      <w:lvlText w:val="(%1)"/>
      <w:numFmt w:val="lowerLetter"/>
      <w:start w:val="3"/>
    </w:lvl>
    <w:lvl w:ilvl="1">
      <w:lvlJc w:val="left"/>
      <w:lvlText w:val="(%2)"/>
      <w:numFmt w:val="lowerRoman"/>
      <w:start w:val="1"/>
    </w:lvl>
  </w:abstractNum>
  <w:abstractNum w:abstractNumId="253">
    <w:nsid w:val="4E55626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4">
    <w:nsid w:val="4C672F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5">
    <w:nsid w:val="52A311C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6">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7">
    <w:nsid w:val="12FCDE5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8">
    <w:nsid w:val="4A1D606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9">
    <w:nsid w:val="438250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0">
    <w:nsid w:val="59B76E28"/>
    <w:multiLevelType w:val="hybridMultilevel"/>
    <w:lvl w:ilvl="0">
      <w:lvlJc w:val="left"/>
      <w:lvlText w:val="(%1)"/>
      <w:numFmt w:val="lowerRoman"/>
      <w:start w:val="1"/>
    </w:lvl>
  </w:abstractNum>
  <w:abstractNum w:abstractNumId="261">
    <w:nsid w:val="4252C2DA"/>
    <w:multiLevelType w:val="hybridMultilevel"/>
    <w:lvl w:ilvl="0">
      <w:lvlJc w:val="left"/>
      <w:lvlText w:val="(%1)"/>
      <w:numFmt w:val="lowerRoman"/>
      <w:start w:val="3"/>
    </w:lvl>
  </w:abstractNum>
  <w:abstractNum w:abstractNumId="262">
    <w:nsid w:val="6A92EF4C"/>
    <w:multiLevelType w:val="hybridMultilevel"/>
    <w:lvl w:ilvl="0">
      <w:lvlJc w:val="left"/>
      <w:lvlText w:val="%1."/>
      <w:numFmt w:val="decimal"/>
      <w:start w:val="10"/>
    </w:lvl>
    <w:lvl w:ilvl="1">
      <w:lvlJc w:val="left"/>
      <w:lvlText w:val="(%2)"/>
      <w:numFmt w:val="lowerLetter"/>
      <w:start w:val="1"/>
    </w:lvl>
  </w:abstractNum>
  <w:abstractNum w:abstractNumId="263">
    <w:nsid w:val="41ED20D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64">
    <w:nsid w:val="E6B3F6A"/>
    <w:multiLevelType w:val="hybridMultilevel"/>
    <w:lvl w:ilvl="0">
      <w:lvlJc w:val="left"/>
      <w:lvlText w:val="(%1)"/>
      <w:numFmt w:val="lowerRoman"/>
      <w:start w:val="4"/>
    </w:lvl>
    <w:lvl w:ilvl="1">
      <w:lvlJc w:val="left"/>
      <w:lvlText w:val="%2."/>
      <w:numFmt w:val="decimal"/>
      <w:start w:val="12"/>
    </w:lvl>
    <w:lvl w:ilvl="2">
      <w:lvlJc w:val="left"/>
      <w:lvlText w:val="(%3)"/>
      <w:numFmt w:val="lowerLetter"/>
      <w:start w:val="1"/>
    </w:lvl>
  </w:abstractNum>
  <w:abstractNum w:abstractNumId="265">
    <w:nsid w:val="3EB21819"/>
    <w:multiLevelType w:val="hybridMultilevel"/>
    <w:lvl w:ilvl="0">
      <w:lvlJc w:val="left"/>
      <w:lvlText w:val="%1."/>
      <w:numFmt w:val="decimal"/>
      <w:start w:val="14"/>
    </w:lvl>
    <w:lvl w:ilvl="1">
      <w:lvlJc w:val="left"/>
      <w:lvlText w:val="(%2)"/>
      <w:numFmt w:val="lowerLetter"/>
      <w:start w:val="1"/>
    </w:lvl>
  </w:abstractNum>
  <w:abstractNum w:abstractNumId="266">
    <w:nsid w:val="41531DED"/>
    <w:multiLevelType w:val="hybridMultilevel"/>
    <w:lvl w:ilvl="0">
      <w:lvlJc w:val="left"/>
      <w:lvlText w:val="%1"/>
      <w:numFmt w:val="decimal"/>
      <w:start w:val="1"/>
    </w:lvl>
    <w:lvl w:ilvl="1">
      <w:lvlJc w:val="left"/>
      <w:lvlText w:val="(%2)"/>
      <w:numFmt w:val="lowerLetter"/>
      <w:start w:val="3"/>
    </w:lvl>
  </w:abstractNum>
  <w:abstractNum w:abstractNumId="267">
    <w:nsid w:val="6353CD2"/>
    <w:multiLevelType w:val="hybridMultilevel"/>
    <w:lvl w:ilvl="0">
      <w:lvlJc w:val="left"/>
      <w:lvlText w:val="%1."/>
      <w:numFmt w:val="decimal"/>
      <w:start w:val="15"/>
    </w:lvl>
    <w:lvl w:ilvl="1">
      <w:lvlJc w:val="left"/>
      <w:lvlText w:val="(%2)"/>
      <w:numFmt w:val="lowerLetter"/>
      <w:start w:val="1"/>
    </w:lvl>
  </w:abstractNum>
  <w:abstractNum w:abstractNumId="268">
    <w:nsid w:val="683CAAD3"/>
    <w:multiLevelType w:val="hybridMultilevel"/>
    <w:lvl w:ilvl="0">
      <w:lvlJc w:val="left"/>
      <w:lvlText w:val="(%1)"/>
      <w:numFmt w:val="lowerLetter"/>
      <w:start w:val="2"/>
    </w:lvl>
  </w:abstractNum>
  <w:abstractNum w:abstractNumId="269">
    <w:nsid w:val="313C7C99"/>
    <w:multiLevelType w:val="hybridMultilevel"/>
    <w:lvl w:ilvl="0">
      <w:lvlJc w:val="left"/>
      <w:lvlText w:val="(%1)"/>
      <w:numFmt w:val="lowerLetter"/>
      <w:start w:val="6"/>
    </w:lvl>
  </w:abstractNum>
  <w:abstractNum w:abstractNumId="270">
    <w:nsid w:val="519EB94C"/>
    <w:multiLevelType w:val="hybridMultilevel"/>
    <w:lvl w:ilvl="0">
      <w:lvlJc w:val="left"/>
      <w:lvlText w:val="(%1)"/>
      <w:numFmt w:val="lowerLetter"/>
      <w:start w:val="8"/>
    </w:lvl>
  </w:abstractNum>
  <w:abstractNum w:abstractNumId="271">
    <w:nsid w:val="39DF2579"/>
    <w:multiLevelType w:val="hybridMultilevel"/>
    <w:lvl w:ilvl="0">
      <w:lvlJc w:val="left"/>
      <w:lvlText w:val="(%1)"/>
      <w:numFmt w:val="lowerRoman"/>
      <w:start w:val="1"/>
    </w:lvl>
  </w:abstractNum>
  <w:abstractNum w:abstractNumId="272">
    <w:nsid w:val="126E008B"/>
    <w:multiLevelType w:val="hybridMultilevel"/>
    <w:lvl w:ilvl="0">
      <w:lvlJc w:val="left"/>
      <w:lvlText w:val="(%1)"/>
      <w:numFmt w:val="lowerRoman"/>
      <w:start w:val="2"/>
    </w:lvl>
  </w:abstractNum>
  <w:abstractNum w:abstractNumId="273">
    <w:nsid w:val="34DFBC00"/>
    <w:multiLevelType w:val="hybridMultilevel"/>
    <w:lvl w:ilvl="0">
      <w:lvlJc w:val="left"/>
      <w:lvlText w:val="%1)"/>
      <w:numFmt w:val="decimal"/>
      <w:start w:val="64"/>
    </w:lvl>
  </w:abstractNum>
  <w:abstractNum w:abstractNumId="274">
    <w:nsid w:val="1F9EC322"/>
    <w:multiLevelType w:val="hybridMultilevel"/>
    <w:lvl w:ilvl="0">
      <w:lvlJc w:val="left"/>
      <w:lvlText w:val="%1."/>
      <w:numFmt w:val="upperLetter"/>
      <w:start w:val="1"/>
    </w:lvl>
  </w:abstractNum>
  <w:abstractNum w:abstractNumId="275">
    <w:nsid w:val="3410ED56"/>
    <w:multiLevelType w:val="hybridMultilevel"/>
    <w:lvl w:ilvl="0">
      <w:lvlJc w:val="left"/>
      <w:lvlText w:val="o"/>
      <w:numFmt w:val="bullet"/>
      <w:start w:val="1"/>
    </w:lvl>
  </w:abstractNum>
  <w:abstractNum w:abstractNumId="276">
    <w:nsid w:val="23C049A"/>
    <w:multiLevelType w:val="hybridMultilevel"/>
    <w:lvl w:ilvl="0">
      <w:lvlJc w:val="left"/>
      <w:lvlText w:val="o"/>
      <w:numFmt w:val="bullet"/>
      <w:start w:val="1"/>
    </w:lvl>
  </w:abstractNum>
  <w:abstractNum w:abstractNumId="277">
    <w:nsid w:val="5BDA35D4"/>
    <w:multiLevelType w:val="hybridMultilevel"/>
    <w:lvl w:ilvl="0">
      <w:lvlJc w:val="left"/>
      <w:lvlText w:val="o"/>
      <w:numFmt w:val="bullet"/>
      <w:start w:val="1"/>
    </w:lvl>
  </w:abstractNum>
  <w:abstractNum w:abstractNumId="278">
    <w:nsid w:val="496FB218"/>
    <w:multiLevelType w:val="hybridMultilevel"/>
    <w:lvl w:ilvl="0">
      <w:lvlJc w:val="left"/>
      <w:lvlText w:val="%1."/>
      <w:numFmt w:val="upperLetter"/>
      <w:start w:val="1"/>
    </w:lvl>
  </w:abstractNum>
  <w:abstractNum w:abstractNumId="279">
    <w:nsid w:val="680EA5D1"/>
    <w:multiLevelType w:val="hybridMultilevel"/>
    <w:lvl w:ilvl="0">
      <w:lvlJc w:val="left"/>
      <w:lvlText w:val="%1."/>
      <w:numFmt w:val="decimal"/>
      <w:start w:val="1"/>
    </w:lvl>
  </w:abstractNum>
  <w:abstractNum w:abstractNumId="280">
    <w:nsid w:val="4A9554FE"/>
    <w:multiLevelType w:val="hybridMultilevel"/>
    <w:lvl w:ilvl="0">
      <w:lvlJc w:val="left"/>
      <w:lvlText w:val="%1."/>
      <w:numFmt w:val="decimal"/>
      <w:start w:val="3"/>
    </w:lvl>
  </w:abstractNum>
  <w:abstractNum w:abstractNumId="281">
    <w:nsid w:val="392EDBE4"/>
    <w:multiLevelType w:val="hybridMultilevel"/>
    <w:lvl w:ilvl="0">
      <w:lvlJc w:val="left"/>
      <w:lvlText w:val="%1."/>
      <w:numFmt w:val="decimal"/>
      <w:start w:val="4"/>
    </w:lvl>
  </w:abstractNum>
  <w:abstractNum w:abstractNumId="282">
    <w:nsid w:val="3D1A2DD9"/>
    <w:multiLevelType w:val="hybridMultilevel"/>
    <w:lvl w:ilvl="0">
      <w:lvlJc w:val="left"/>
      <w:lvlText w:val="%1."/>
      <w:numFmt w:val="decimal"/>
      <w:start w:val="5"/>
    </w:lvl>
  </w:abstractNum>
  <w:abstractNum w:abstractNumId="283">
    <w:nsid w:val="7F618FCD"/>
    <w:multiLevelType w:val="hybridMultilevel"/>
    <w:lvl w:ilvl="0">
      <w:lvlJc w:val="left"/>
      <w:lvlText w:val="%1."/>
      <w:numFmt w:val="decimal"/>
      <w:start w:val="6"/>
    </w:lvl>
  </w:abstractNum>
  <w:abstractNum w:abstractNumId="284">
    <w:nsid w:val="7843E45"/>
    <w:multiLevelType w:val="hybridMultilevel"/>
    <w:lvl w:ilvl="0">
      <w:lvlJc w:val="left"/>
      <w:lvlText w:val="%1."/>
      <w:numFmt w:val="decimal"/>
      <w:start w:val="7"/>
    </w:lvl>
  </w:abstractNum>
  <w:abstractNum w:abstractNumId="285">
    <w:nsid w:val="9815DA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2019-12-07T15:23:34Z</dcterms:created>
  <dcterms:modified xsi:type="dcterms:W3CDTF">2019-12-07T15:23:34Z</dcterms:modified>
</cp:coreProperties>
</file>