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21, 2015</w:t>
      </w:r>
    </w:p>
    <w:p>
      <w:pPr>
        <w:spacing w:after="0" w:line="4" w:lineRule="exact"/>
        <w:rPr>
          <w:sz w:val="24"/>
          <w:szCs w:val="24"/>
          <w:color w:val="auto"/>
        </w:rPr>
      </w:pPr>
    </w:p>
    <w:p>
      <w:pPr>
        <w:ind w:left="100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351"/>
        </w:trPr>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60" w:type="dxa"/>
            <w:vAlign w:val="bottom"/>
            <w:gridSpan w:val="2"/>
          </w:tcPr>
          <w:p>
            <w:pPr>
              <w:jc w:val="center"/>
              <w:ind w:right="2108"/>
              <w:spacing w:after="0"/>
              <w:rPr>
                <w:sz w:val="20"/>
                <w:szCs w:val="20"/>
                <w:color w:val="auto"/>
              </w:rPr>
            </w:pPr>
            <w:r>
              <w:rPr>
                <w:rFonts w:ascii="Arial" w:cs="Arial" w:eastAsia="Arial" w:hAnsi="Arial"/>
                <w:sz w:val="29"/>
                <w:szCs w:val="29"/>
                <w:b w:val="1"/>
                <w:bCs w:val="1"/>
                <w:color w:val="auto"/>
              </w:rPr>
              <w:t>VERACYTE, INC.</w:t>
            </w:r>
          </w:p>
        </w:tc>
      </w:tr>
      <w:tr>
        <w:trPr>
          <w:trHeight w:val="182"/>
        </w:trPr>
        <w:tc>
          <w:tcPr>
            <w:tcW w:w="2020" w:type="dxa"/>
            <w:vAlign w:val="bottom"/>
          </w:tcPr>
          <w:p>
            <w:pPr>
              <w:spacing w:after="0"/>
              <w:rPr>
                <w:sz w:val="15"/>
                <w:szCs w:val="15"/>
                <w:color w:val="auto"/>
              </w:rPr>
            </w:pPr>
          </w:p>
        </w:tc>
        <w:tc>
          <w:tcPr>
            <w:tcW w:w="5440" w:type="dxa"/>
            <w:vAlign w:val="bottom"/>
            <w:gridSpan w:val="3"/>
          </w:tcPr>
          <w:p>
            <w:pPr>
              <w:jc w:val="center"/>
              <w:ind w:right="172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88"/>
        </w:trPr>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r>
      <w:tr>
        <w:trPr>
          <w:trHeight w:val="326"/>
        </w:trPr>
        <w:tc>
          <w:tcPr>
            <w:tcW w:w="202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Delaware</w:t>
            </w:r>
          </w:p>
        </w:tc>
        <w:tc>
          <w:tcPr>
            <w:tcW w:w="5440" w:type="dxa"/>
            <w:vAlign w:val="bottom"/>
            <w:gridSpan w:val="3"/>
          </w:tcPr>
          <w:p>
            <w:pPr>
              <w:jc w:val="center"/>
              <w:ind w:left="4028"/>
              <w:spacing w:after="0"/>
              <w:rPr>
                <w:sz w:val="20"/>
                <w:szCs w:val="20"/>
                <w:color w:val="auto"/>
              </w:rPr>
            </w:pPr>
            <w:r>
              <w:rPr>
                <w:rFonts w:ascii="Arial" w:cs="Arial" w:eastAsia="Arial" w:hAnsi="Arial"/>
                <w:sz w:val="14"/>
                <w:szCs w:val="14"/>
                <w:b w:val="1"/>
                <w:bCs w:val="1"/>
                <w:color w:val="auto"/>
                <w:w w:val="93"/>
              </w:rPr>
              <w:t>20-5455398</w:t>
            </w:r>
          </w:p>
        </w:tc>
      </w:tr>
      <w:tr>
        <w:trPr>
          <w:trHeight w:val="149"/>
        </w:trPr>
        <w:tc>
          <w:tcPr>
            <w:tcW w:w="202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3"/>
              </w:rPr>
              <w:t>(State or Other Jurisdiction of</w:t>
            </w:r>
          </w:p>
        </w:tc>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8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020" w:type="dxa"/>
            <w:vAlign w:val="bottom"/>
          </w:tcPr>
          <w:p>
            <w:pPr>
              <w:jc w:val="center"/>
              <w:ind w:right="168"/>
              <w:spacing w:after="0"/>
              <w:rPr>
                <w:sz w:val="20"/>
                <w:szCs w:val="20"/>
                <w:color w:val="auto"/>
              </w:rPr>
            </w:pPr>
            <w:r>
              <w:rPr>
                <w:rFonts w:ascii="Arial" w:cs="Arial" w:eastAsia="Arial" w:hAnsi="Arial"/>
                <w:sz w:val="14"/>
                <w:szCs w:val="14"/>
                <w:color w:val="auto"/>
                <w:w w:val="95"/>
              </w:rPr>
              <w:t>Incorporation or Organization)</w:t>
            </w:r>
          </w:p>
        </w:tc>
        <w:tc>
          <w:tcPr>
            <w:tcW w:w="3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80" w:type="dxa"/>
            <w:vAlign w:val="bottom"/>
          </w:tcPr>
          <w:p>
            <w:pPr>
              <w:jc w:val="center"/>
              <w:ind w:left="768"/>
              <w:spacing w:after="0"/>
              <w:rPr>
                <w:sz w:val="20"/>
                <w:szCs w:val="20"/>
                <w:color w:val="auto"/>
              </w:rPr>
            </w:pPr>
            <w:r>
              <w:rPr>
                <w:rFonts w:ascii="Arial" w:cs="Arial" w:eastAsia="Arial" w:hAnsi="Arial"/>
                <w:sz w:val="14"/>
                <w:szCs w:val="14"/>
                <w:color w:val="auto"/>
                <w:w w:val="97"/>
              </w:rPr>
              <w:t>Identification Number)</w:t>
            </w: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7000 Shoreline Court, Suite 250</w:t>
      </w:r>
    </w:p>
    <w:p>
      <w:pPr>
        <w:jc w:val="center"/>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jc w:val="center"/>
        <w:spacing w:after="0" w:line="222" w:lineRule="auto"/>
        <w:rPr>
          <w:sz w:val="20"/>
          <w:szCs w:val="20"/>
          <w:color w:val="auto"/>
        </w:rPr>
      </w:pPr>
      <w:r>
        <w:rPr>
          <w:rFonts w:ascii="Arial" w:cs="Arial" w:eastAsia="Arial" w:hAnsi="Arial"/>
          <w:sz w:val="14"/>
          <w:szCs w:val="14"/>
          <w:b w:val="1"/>
          <w:bCs w:val="1"/>
          <w:color w:val="auto"/>
        </w:rPr>
        <w:t>(650) 243- 6300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Bonnie H. Anderson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VERACYTE, INC.</w:t>
      </w:r>
    </w:p>
    <w:p>
      <w:pPr>
        <w:jc w:val="center"/>
        <w:spacing w:after="0" w:line="221" w:lineRule="auto"/>
        <w:rPr>
          <w:sz w:val="20"/>
          <w:szCs w:val="20"/>
          <w:color w:val="auto"/>
        </w:rPr>
      </w:pPr>
      <w:r>
        <w:rPr>
          <w:rFonts w:ascii="Arial" w:cs="Arial" w:eastAsia="Arial" w:hAnsi="Arial"/>
          <w:sz w:val="14"/>
          <w:szCs w:val="14"/>
          <w:b w:val="1"/>
          <w:bCs w:val="1"/>
          <w:color w:val="auto"/>
        </w:rPr>
        <w:t>7000 Shoreline Court, Suite 250</w:t>
      </w:r>
    </w:p>
    <w:p>
      <w:pPr>
        <w:jc w:val="center"/>
        <w:spacing w:after="0" w:line="222" w:lineRule="auto"/>
        <w:rPr>
          <w:sz w:val="20"/>
          <w:szCs w:val="20"/>
          <w:color w:val="auto"/>
        </w:rPr>
      </w:pPr>
      <w:r>
        <w:rPr>
          <w:rFonts w:ascii="Arial" w:cs="Arial" w:eastAsia="Arial" w:hAnsi="Arial"/>
          <w:sz w:val="14"/>
          <w:szCs w:val="14"/>
          <w:b w:val="1"/>
          <w:bCs w:val="1"/>
          <w:color w:val="auto"/>
        </w:rPr>
        <w:t>South San Francisco, California, 94080</w:t>
      </w:r>
    </w:p>
    <w:p>
      <w:pPr>
        <w:jc w:val="center"/>
        <w:spacing w:after="0" w:line="221" w:lineRule="auto"/>
        <w:rPr>
          <w:sz w:val="20"/>
          <w:szCs w:val="20"/>
          <w:color w:val="auto"/>
        </w:rPr>
      </w:pPr>
      <w:r>
        <w:rPr>
          <w:rFonts w:ascii="Arial" w:cs="Arial" w:eastAsia="Arial" w:hAnsi="Arial"/>
          <w:sz w:val="14"/>
          <w:szCs w:val="14"/>
          <w:b w:val="1"/>
          <w:bCs w:val="1"/>
          <w:color w:val="auto"/>
        </w:rPr>
        <w:t>(650) 243- 6300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520" w:type="dxa"/>
            <w:vAlign w:val="bottom"/>
          </w:tcPr>
          <w:p>
            <w:pPr>
              <w:ind w:left="1700"/>
              <w:spacing w:after="0"/>
              <w:rPr>
                <w:sz w:val="20"/>
                <w:szCs w:val="20"/>
                <w:color w:val="auto"/>
              </w:rPr>
            </w:pPr>
            <w:r>
              <w:rPr>
                <w:rFonts w:ascii="Arial" w:cs="Arial" w:eastAsia="Arial" w:hAnsi="Arial"/>
                <w:sz w:val="14"/>
                <w:szCs w:val="14"/>
                <w:b w:val="1"/>
                <w:bCs w:val="1"/>
                <w:color w:val="auto"/>
              </w:rPr>
              <w:t>Copies to:</w:t>
            </w:r>
          </w:p>
        </w:tc>
        <w:tc>
          <w:tcPr>
            <w:tcW w:w="3820" w:type="dxa"/>
            <w:vAlign w:val="bottom"/>
          </w:tcPr>
          <w:p>
            <w:pPr>
              <w:spacing w:after="0"/>
              <w:rPr>
                <w:sz w:val="16"/>
                <w:szCs w:val="16"/>
                <w:color w:val="auto"/>
              </w:rPr>
            </w:pPr>
          </w:p>
        </w:tc>
      </w:tr>
      <w:tr>
        <w:trPr>
          <w:trHeight w:val="209"/>
        </w:trPr>
        <w:tc>
          <w:tcPr>
            <w:tcW w:w="2980" w:type="dxa"/>
            <w:vAlign w:val="bottom"/>
          </w:tcPr>
          <w:p>
            <w:pPr>
              <w:jc w:val="center"/>
              <w:ind w:right="688"/>
              <w:spacing w:after="0"/>
              <w:rPr>
                <w:sz w:val="20"/>
                <w:szCs w:val="20"/>
                <w:color w:val="auto"/>
              </w:rPr>
            </w:pPr>
            <w:r>
              <w:rPr>
                <w:rFonts w:ascii="Arial" w:cs="Arial" w:eastAsia="Arial" w:hAnsi="Arial"/>
                <w:sz w:val="14"/>
                <w:szCs w:val="14"/>
                <w:b w:val="1"/>
                <w:bCs w:val="1"/>
                <w:color w:val="auto"/>
                <w:w w:val="97"/>
              </w:rPr>
              <w:t>Gabriella A. Lombardi</w:t>
            </w:r>
          </w:p>
        </w:tc>
        <w:tc>
          <w:tcPr>
            <w:tcW w:w="352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Stanton D. Wong</w:t>
            </w:r>
          </w:p>
        </w:tc>
        <w:tc>
          <w:tcPr>
            <w:tcW w:w="382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Julie A. Brooks</w:t>
            </w:r>
          </w:p>
        </w:tc>
      </w:tr>
      <w:tr>
        <w:trPr>
          <w:trHeight w:val="149"/>
        </w:trPr>
        <w:tc>
          <w:tcPr>
            <w:tcW w:w="298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6"/>
              </w:rPr>
              <w:t>Pillsbury Winthrop Shaw Pittman LLP</w:t>
            </w:r>
          </w:p>
        </w:tc>
        <w:tc>
          <w:tcPr>
            <w:tcW w:w="3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Pillsbury Winthrop Shaw Pittman LLP</w:t>
            </w:r>
          </w:p>
        </w:tc>
        <w:tc>
          <w:tcPr>
            <w:tcW w:w="382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1"/>
              </w:rPr>
              <w:t>Executive Vice President, General Counsel and Secretary</w:t>
            </w:r>
          </w:p>
        </w:tc>
      </w:tr>
      <w:tr>
        <w:trPr>
          <w:trHeight w:val="149"/>
        </w:trPr>
        <w:tc>
          <w:tcPr>
            <w:tcW w:w="298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2"/>
              </w:rPr>
              <w:t>2550 Hanover Street</w:t>
            </w:r>
          </w:p>
        </w:tc>
        <w:tc>
          <w:tcPr>
            <w:tcW w:w="352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2"/>
              </w:rPr>
              <w:t>P.O. Box 2824</w:t>
            </w:r>
          </w:p>
        </w:tc>
        <w:tc>
          <w:tcPr>
            <w:tcW w:w="382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93"/>
              </w:rPr>
              <w:t>Veracyte, Inc.</w:t>
            </w:r>
          </w:p>
        </w:tc>
      </w:tr>
      <w:tr>
        <w:trPr>
          <w:trHeight w:val="149"/>
        </w:trPr>
        <w:tc>
          <w:tcPr>
            <w:tcW w:w="298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6"/>
              </w:rPr>
              <w:t>Palo Alto, California 94304</w:t>
            </w:r>
          </w:p>
        </w:tc>
        <w:tc>
          <w:tcPr>
            <w:tcW w:w="3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3"/>
              </w:rPr>
              <w:t>San Francisco, California 94126</w:t>
            </w:r>
          </w:p>
        </w:tc>
        <w:tc>
          <w:tcPr>
            <w:tcW w:w="382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3"/>
              </w:rPr>
              <w:t>7000 Shoreline Court, Suite 250</w:t>
            </w:r>
          </w:p>
        </w:tc>
      </w:tr>
      <w:tr>
        <w:trPr>
          <w:trHeight w:val="149"/>
        </w:trPr>
        <w:tc>
          <w:tcPr>
            <w:tcW w:w="298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1"/>
              </w:rPr>
              <w:t>Telephone: (650) 233-4500</w:t>
            </w:r>
          </w:p>
        </w:tc>
        <w:tc>
          <w:tcPr>
            <w:tcW w:w="3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3"/>
              </w:rPr>
              <w:t>Telephone: (415) 983-1000</w:t>
            </w:r>
          </w:p>
        </w:tc>
        <w:tc>
          <w:tcPr>
            <w:tcW w:w="382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93"/>
              </w:rPr>
              <w:t>South San Francisco, California 94080</w:t>
            </w:r>
          </w:p>
        </w:tc>
      </w:tr>
      <w:tr>
        <w:trPr>
          <w:trHeight w:val="182"/>
        </w:trPr>
        <w:tc>
          <w:tcPr>
            <w:tcW w:w="29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820" w:type="dxa"/>
            <w:vAlign w:val="bottom"/>
          </w:tcPr>
          <w:p>
            <w:pPr>
              <w:jc w:val="center"/>
              <w:ind w:left="448"/>
              <w:spacing w:after="0"/>
              <w:rPr>
                <w:sz w:val="20"/>
                <w:szCs w:val="20"/>
                <w:color w:val="auto"/>
              </w:rPr>
            </w:pPr>
            <w:r>
              <w:rPr>
                <w:rFonts w:ascii="Arial" w:cs="Arial" w:eastAsia="Arial" w:hAnsi="Arial"/>
                <w:sz w:val="14"/>
                <w:szCs w:val="14"/>
                <w:color w:val="auto"/>
                <w:w w:val="94"/>
              </w:rPr>
              <w:t>(650) 243- 6300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82"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From time to time after this registration statement becomes effective, as determined by market conditions and other factors.</w:t>
      </w:r>
    </w:p>
    <w:p>
      <w:pPr>
        <w:spacing w:after="0" w:line="86"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82" w:lineRule="exact"/>
        <w:rPr>
          <w:sz w:val="24"/>
          <w:szCs w:val="24"/>
          <w:color w:val="auto"/>
        </w:rPr>
      </w:pPr>
    </w:p>
    <w:p>
      <w:pPr>
        <w:ind w:right="220" w:firstLine="486"/>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2" w:lineRule="exact"/>
        <w:rPr>
          <w:sz w:val="24"/>
          <w:szCs w:val="24"/>
          <w:color w:val="auto"/>
        </w:rPr>
      </w:pPr>
    </w:p>
    <w:p>
      <w:pPr>
        <w:ind w:right="260" w:firstLine="486"/>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280" w:firstLine="486"/>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240" w:firstLine="486"/>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52" w:lineRule="exact"/>
        <w:rPr>
          <w:sz w:val="24"/>
          <w:szCs w:val="24"/>
          <w:color w:val="auto"/>
        </w:rPr>
      </w:pPr>
    </w:p>
    <w:p>
      <w:pPr>
        <w:ind w:right="20" w:firstLine="486"/>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52" w:lineRule="exact"/>
        <w:rPr>
          <w:sz w:val="24"/>
          <w:szCs w:val="24"/>
          <w:color w:val="auto"/>
        </w:rPr>
      </w:pPr>
    </w:p>
    <w:p>
      <w:pPr>
        <w:ind w:right="40" w:firstLine="486"/>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180" w:type="dxa"/>
            <w:vAlign w:val="bottom"/>
          </w:tcPr>
          <w:p>
            <w:pPr>
              <w:ind w:left="640"/>
              <w:spacing w:after="0"/>
              <w:rPr>
                <w:sz w:val="20"/>
                <w:szCs w:val="20"/>
                <w:color w:val="auto"/>
              </w:rPr>
            </w:pPr>
            <w:r>
              <w:rPr>
                <w:rFonts w:ascii="Arial" w:cs="Arial" w:eastAsia="Arial" w:hAnsi="Arial"/>
                <w:sz w:val="14"/>
                <w:szCs w:val="14"/>
                <w:color w:val="auto"/>
              </w:rPr>
              <w:t>Large accelerated filer o</w:t>
            </w:r>
          </w:p>
        </w:tc>
        <w:tc>
          <w:tcPr>
            <w:tcW w:w="2760" w:type="dxa"/>
            <w:vAlign w:val="bottom"/>
          </w:tcPr>
          <w:p>
            <w:pPr>
              <w:ind w:left="140"/>
              <w:spacing w:after="0"/>
              <w:rPr>
                <w:sz w:val="20"/>
                <w:szCs w:val="20"/>
                <w:color w:val="auto"/>
              </w:rPr>
            </w:pPr>
            <w:r>
              <w:rPr>
                <w:rFonts w:ascii="Arial" w:cs="Arial" w:eastAsia="Arial" w:hAnsi="Arial"/>
                <w:sz w:val="14"/>
                <w:szCs w:val="14"/>
                <w:color w:val="auto"/>
              </w:rPr>
              <w:t>Accelerated filer o</w:t>
            </w:r>
          </w:p>
        </w:tc>
        <w:tc>
          <w:tcPr>
            <w:tcW w:w="1520" w:type="dxa"/>
            <w:vAlign w:val="bottom"/>
          </w:tcPr>
          <w:p>
            <w:pPr>
              <w:jc w:val="center"/>
              <w:ind w:left="99"/>
              <w:spacing w:after="0"/>
              <w:rPr>
                <w:sz w:val="20"/>
                <w:szCs w:val="20"/>
                <w:color w:val="auto"/>
              </w:rPr>
            </w:pPr>
            <w:r>
              <w:rPr>
                <w:rFonts w:ascii="Arial" w:cs="Arial" w:eastAsia="Arial" w:hAnsi="Arial"/>
                <w:sz w:val="14"/>
                <w:szCs w:val="14"/>
                <w:color w:val="auto"/>
                <w:w w:val="94"/>
              </w:rPr>
              <w:t>Non-accelerated filer x</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3"/>
          </w:tcPr>
          <w:p>
            <w:pPr>
              <w:jc w:val="right"/>
              <w:ind w:right="4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82"/>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100" w:type="dxa"/>
            <w:vAlign w:val="bottom"/>
            <w:gridSpan w:val="4"/>
          </w:tcPr>
          <w:p>
            <w:pPr>
              <w:jc w:val="center"/>
              <w:ind w:left="2034"/>
              <w:spacing w:after="0"/>
              <w:rPr>
                <w:sz w:val="20"/>
                <w:szCs w:val="20"/>
                <w:color w:val="auto"/>
              </w:rPr>
            </w:pPr>
            <w:r>
              <w:rPr>
                <w:rFonts w:ascii="Arial" w:cs="Arial" w:eastAsia="Arial" w:hAnsi="Arial"/>
                <w:sz w:val="14"/>
                <w:szCs w:val="14"/>
                <w:color w:val="auto"/>
                <w:w w:val="94"/>
              </w:rPr>
              <w:t>(Do not check if a smaller reporting company)</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2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CALCULATION OF REGISTRATION FEE</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34"/>
        </w:trPr>
        <w:tc>
          <w:tcPr>
            <w:tcW w:w="20" w:type="dxa"/>
            <w:vAlign w:val="bottom"/>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20" w:type="dxa"/>
            <w:vAlign w:val="bottom"/>
          </w:tcPr>
          <w:p>
            <w:pPr>
              <w:jc w:val="center"/>
              <w:ind w:right="281"/>
              <w:spacing w:after="0" w:line="89" w:lineRule="exact"/>
              <w:rPr>
                <w:sz w:val="20"/>
                <w:szCs w:val="20"/>
                <w:color w:val="auto"/>
              </w:rPr>
            </w:pPr>
            <w:r>
              <w:rPr>
                <w:rFonts w:ascii="Arial" w:cs="Arial" w:eastAsia="Arial" w:hAnsi="Arial"/>
                <w:sz w:val="10"/>
                <w:szCs w:val="10"/>
                <w:b w:val="1"/>
                <w:bCs w:val="1"/>
                <w:color w:val="auto"/>
                <w:w w:val="90"/>
              </w:rPr>
              <w:t>Proposed</w:t>
            </w: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20" w:type="dxa"/>
            <w:vAlign w:val="bottom"/>
          </w:tcPr>
          <w:p>
            <w:pPr>
              <w:jc w:val="center"/>
              <w:ind w:left="419"/>
              <w:spacing w:after="0" w:line="122" w:lineRule="exact"/>
              <w:rPr>
                <w:sz w:val="20"/>
                <w:szCs w:val="20"/>
                <w:color w:val="auto"/>
              </w:rPr>
            </w:pPr>
            <w:r>
              <w:rPr>
                <w:rFonts w:ascii="Arial" w:cs="Arial" w:eastAsia="Arial" w:hAnsi="Arial"/>
                <w:sz w:val="11"/>
                <w:szCs w:val="11"/>
                <w:b w:val="1"/>
                <w:bCs w:val="1"/>
                <w:color w:val="auto"/>
                <w:w w:val="86"/>
              </w:rPr>
              <w:t>Proposed</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jc w:val="center"/>
              <w:ind w:right="301"/>
              <w:spacing w:after="0" w:line="122" w:lineRule="exact"/>
              <w:rPr>
                <w:sz w:val="20"/>
                <w:szCs w:val="20"/>
                <w:color w:val="auto"/>
              </w:rPr>
            </w:pPr>
            <w:r>
              <w:rPr>
                <w:rFonts w:ascii="Arial" w:cs="Arial" w:eastAsia="Arial" w:hAnsi="Arial"/>
                <w:sz w:val="11"/>
                <w:szCs w:val="11"/>
                <w:b w:val="1"/>
                <w:bCs w:val="1"/>
                <w:color w:val="auto"/>
                <w:w w:val="94"/>
              </w:rPr>
              <w:t>Maximum</w:t>
            </w: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60" w:type="dxa"/>
            <w:vAlign w:val="bottom"/>
          </w:tcPr>
          <w:p>
            <w:pPr>
              <w:jc w:val="center"/>
              <w:ind w:left="774"/>
              <w:spacing w:after="0" w:line="122" w:lineRule="exact"/>
              <w:rPr>
                <w:sz w:val="20"/>
                <w:szCs w:val="20"/>
                <w:color w:val="auto"/>
              </w:rPr>
            </w:pPr>
            <w:r>
              <w:rPr>
                <w:rFonts w:ascii="Arial" w:cs="Arial" w:eastAsia="Arial" w:hAnsi="Arial"/>
                <w:sz w:val="11"/>
                <w:szCs w:val="11"/>
                <w:b w:val="1"/>
                <w:bCs w:val="1"/>
                <w:color w:val="auto"/>
                <w:w w:val="90"/>
              </w:rPr>
              <w:t>Amount to be</w:t>
            </w:r>
          </w:p>
        </w:tc>
        <w:tc>
          <w:tcPr>
            <w:tcW w:w="1520" w:type="dxa"/>
            <w:vAlign w:val="bottom"/>
          </w:tcPr>
          <w:p>
            <w:pPr>
              <w:jc w:val="center"/>
              <w:ind w:left="399"/>
              <w:spacing w:after="0" w:line="122" w:lineRule="exact"/>
              <w:rPr>
                <w:sz w:val="20"/>
                <w:szCs w:val="20"/>
                <w:color w:val="auto"/>
              </w:rPr>
            </w:pPr>
            <w:r>
              <w:rPr>
                <w:rFonts w:ascii="Arial" w:cs="Arial" w:eastAsia="Arial" w:hAnsi="Arial"/>
                <w:sz w:val="11"/>
                <w:szCs w:val="11"/>
                <w:b w:val="1"/>
                <w:bCs w:val="1"/>
                <w:color w:val="auto"/>
                <w:w w:val="93"/>
              </w:rPr>
              <w:t>Maximum Offering</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jc w:val="center"/>
              <w:ind w:right="281"/>
              <w:spacing w:after="0" w:line="122" w:lineRule="exact"/>
              <w:rPr>
                <w:sz w:val="20"/>
                <w:szCs w:val="20"/>
                <w:color w:val="auto"/>
              </w:rPr>
            </w:pPr>
            <w:r>
              <w:rPr>
                <w:rFonts w:ascii="Arial" w:cs="Arial" w:eastAsia="Arial" w:hAnsi="Arial"/>
                <w:sz w:val="11"/>
                <w:szCs w:val="11"/>
                <w:b w:val="1"/>
                <w:bCs w:val="1"/>
                <w:color w:val="auto"/>
                <w:w w:val="89"/>
              </w:rPr>
              <w:t>Aggregate Offering</w:t>
            </w:r>
          </w:p>
        </w:tc>
        <w:tc>
          <w:tcPr>
            <w:tcW w:w="320" w:type="dxa"/>
            <w:vAlign w:val="bottom"/>
          </w:tcPr>
          <w:p>
            <w:pPr>
              <w:spacing w:after="0"/>
              <w:rPr>
                <w:sz w:val="10"/>
                <w:szCs w:val="10"/>
                <w:color w:val="auto"/>
              </w:rPr>
            </w:pPr>
          </w:p>
        </w:tc>
        <w:tc>
          <w:tcPr>
            <w:tcW w:w="1280" w:type="dxa"/>
            <w:vAlign w:val="bottom"/>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3180" w:type="dxa"/>
            <w:vAlign w:val="bottom"/>
            <w:tcBorders>
              <w:bottom w:val="single" w:sz="8" w:color="auto"/>
            </w:tcBorders>
          </w:tcPr>
          <w:p>
            <w:pPr>
              <w:ind w:left="820"/>
              <w:spacing w:after="0"/>
              <w:rPr>
                <w:sz w:val="20"/>
                <w:szCs w:val="20"/>
                <w:color w:val="auto"/>
              </w:rPr>
            </w:pPr>
            <w:r>
              <w:rPr>
                <w:rFonts w:ascii="Arial" w:cs="Arial" w:eastAsia="Arial" w:hAnsi="Arial"/>
                <w:sz w:val="11"/>
                <w:szCs w:val="11"/>
                <w:b w:val="1"/>
                <w:bCs w:val="1"/>
                <w:color w:val="auto"/>
                <w:w w:val="91"/>
              </w:rPr>
              <w:t>Title of Each Class of Securities to be Registered</w:t>
            </w:r>
          </w:p>
        </w:tc>
        <w:tc>
          <w:tcPr>
            <w:tcW w:w="2760" w:type="dxa"/>
            <w:vAlign w:val="bottom"/>
            <w:tcBorders>
              <w:bottom w:val="single" w:sz="8" w:color="auto"/>
            </w:tcBorders>
          </w:tcPr>
          <w:p>
            <w:pPr>
              <w:jc w:val="center"/>
              <w:ind w:left="774"/>
              <w:spacing w:after="0"/>
              <w:rPr>
                <w:sz w:val="20"/>
                <w:szCs w:val="20"/>
                <w:color w:val="auto"/>
              </w:rPr>
            </w:pPr>
            <w:r>
              <w:rPr>
                <w:rFonts w:ascii="Arial" w:cs="Arial" w:eastAsia="Arial" w:hAnsi="Arial"/>
                <w:sz w:val="11"/>
                <w:szCs w:val="11"/>
                <w:b w:val="1"/>
                <w:bCs w:val="1"/>
                <w:color w:val="auto"/>
                <w:w w:val="84"/>
              </w:rPr>
              <w:t>Registered</w:t>
            </w:r>
          </w:p>
        </w:tc>
        <w:tc>
          <w:tcPr>
            <w:tcW w:w="1520" w:type="dxa"/>
            <w:vAlign w:val="bottom"/>
            <w:tcBorders>
              <w:bottom w:val="single" w:sz="8" w:color="auto"/>
            </w:tcBorders>
          </w:tcPr>
          <w:p>
            <w:pPr>
              <w:jc w:val="center"/>
              <w:ind w:left="419"/>
              <w:spacing w:after="0"/>
              <w:rPr>
                <w:sz w:val="20"/>
                <w:szCs w:val="20"/>
                <w:color w:val="auto"/>
              </w:rPr>
            </w:pPr>
            <w:r>
              <w:rPr>
                <w:rFonts w:ascii="Arial" w:cs="Arial" w:eastAsia="Arial" w:hAnsi="Arial"/>
                <w:sz w:val="11"/>
                <w:szCs w:val="11"/>
                <w:b w:val="1"/>
                <w:bCs w:val="1"/>
                <w:color w:val="auto"/>
                <w:w w:val="88"/>
              </w:rPr>
              <w:t>Price Per Share(1)</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81"/>
              <w:spacing w:after="0"/>
              <w:rPr>
                <w:sz w:val="20"/>
                <w:szCs w:val="20"/>
                <w:color w:val="auto"/>
              </w:rPr>
            </w:pPr>
            <w:r>
              <w:rPr>
                <w:rFonts w:ascii="Arial" w:cs="Arial" w:eastAsia="Arial" w:hAnsi="Arial"/>
                <w:sz w:val="11"/>
                <w:szCs w:val="11"/>
                <w:b w:val="1"/>
                <w:bCs w:val="1"/>
                <w:color w:val="auto"/>
                <w:w w:val="94"/>
              </w:rPr>
              <w:t>Price(1)</w:t>
            </w: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88"/>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2760" w:type="dxa"/>
            <w:vAlign w:val="bottom"/>
            <w:tcBorders>
              <w:bottom w:val="single" w:sz="8" w:color="auto"/>
            </w:tcBorders>
          </w:tcPr>
          <w:p>
            <w:pPr>
              <w:ind w:left="1640"/>
              <w:spacing w:after="0" w:line="142" w:lineRule="exact"/>
              <w:rPr>
                <w:sz w:val="20"/>
                <w:szCs w:val="20"/>
                <w:color w:val="auto"/>
              </w:rPr>
            </w:pPr>
            <w:r>
              <w:rPr>
                <w:rFonts w:ascii="Arial" w:cs="Arial" w:eastAsia="Arial" w:hAnsi="Arial"/>
                <w:sz w:val="14"/>
                <w:szCs w:val="14"/>
                <w:color w:val="auto"/>
              </w:rPr>
              <w:t>4,907,975 shares</w:t>
            </w:r>
          </w:p>
        </w:tc>
        <w:tc>
          <w:tcPr>
            <w:tcW w:w="1520" w:type="dxa"/>
            <w:vAlign w:val="bottom"/>
            <w:tcBorders>
              <w:bottom w:val="single" w:sz="8" w:color="auto"/>
            </w:tcBorders>
          </w:tcPr>
          <w:p>
            <w:pPr>
              <w:jc w:val="right"/>
              <w:ind w:right="1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91"/>
              </w:rPr>
              <w:t>10.14</w:t>
            </w:r>
          </w:p>
        </w:tc>
        <w:tc>
          <w:tcPr>
            <w:tcW w:w="3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color w:val="auto"/>
              </w:rPr>
              <w:t>49,766,866.50</w:t>
            </w:r>
          </w:p>
        </w:tc>
        <w:tc>
          <w:tcPr>
            <w:tcW w:w="3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color w:val="auto"/>
              </w:rPr>
              <w:t>5782.91</w:t>
            </w:r>
          </w:p>
        </w:tc>
      </w:tr>
    </w:tbl>
    <w:p>
      <w:pPr>
        <w:spacing w:after="0" w:line="8" w:lineRule="exact"/>
        <w:rPr>
          <w:sz w:val="24"/>
          <w:szCs w:val="24"/>
          <w:color w:val="auto"/>
        </w:rPr>
      </w:pPr>
    </w:p>
    <w:p>
      <w:pPr>
        <w:ind w:left="260" w:right="220" w:hanging="252"/>
        <w:spacing w:after="0" w:line="253" w:lineRule="auto"/>
        <w:tabs>
          <w:tab w:leader="none" w:pos="239"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based on the average of the high and low prices of the Registrant’s Common Stock on The NASDAQ Global Market on May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ind w:right="180" w:firstLine="243"/>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254635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The selling stockholders may not sell these securities until the registration statement filed with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1420"/>
          </w:cols>
          <w:pgMar w:left="240" w:top="23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FF4040"/>
        </w:rPr>
        <w:t>Subject to Completion, Dated May 21,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identified in this prospectus may sell up to an aggregate of 4,907,975 shares of our common stock.</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registration of the shares of our common stock covered by this prospectus does not mean that the selling stockholders will offer or sell any of the shares of our common stock. The selling stockholders may sell the shares of our common stock covered by this prospectus in a number of different ways and at varying prices. For additional information on the possible methods of sale that may be used by the selling stockholders, you should refer to the information under the heading “Plan of Distribution” on page 4 of this prospectus. We will not receive any of the proceeds from the sale of the shares of our common stock by the selling stockholders.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May 20, 2015, the last reported sale price of our common stock on The NASDAQ Global Market was $10.79 per share.</w:t>
      </w:r>
    </w:p>
    <w:p>
      <w:pPr>
        <w:spacing w:after="0" w:line="157" w:lineRule="exact"/>
        <w:rPr>
          <w:sz w:val="20"/>
          <w:szCs w:val="20"/>
          <w:color w:val="auto"/>
        </w:rPr>
      </w:pPr>
    </w:p>
    <w:p>
      <w:pPr>
        <w:ind w:right="560" w:firstLine="648"/>
        <w:spacing w:after="0" w:line="335" w:lineRule="auto"/>
        <w:rPr>
          <w:sz w:val="20"/>
          <w:szCs w:val="20"/>
          <w:color w:val="auto"/>
        </w:rPr>
      </w:pPr>
      <w:r>
        <w:rPr>
          <w:rFonts w:ascii="Arial" w:cs="Arial" w:eastAsia="Arial" w:hAnsi="Arial"/>
          <w:sz w:val="19"/>
          <w:szCs w:val="19"/>
          <w:b w:val="1"/>
          <w:bCs w:val="1"/>
          <w:color w:val="auto"/>
        </w:rPr>
        <w:t>Investing in our securities involves risks. See the section entitled “Risk Factors” beginning on page 2 and in the documents we incorporate by reference in this prospectus before making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144780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gridSpan w:val="2"/>
          </w:tcPr>
          <w:p>
            <w:pPr>
              <w:ind w:left="1220"/>
              <w:spacing w:after="0"/>
              <w:rPr>
                <w:sz w:val="20"/>
                <w:szCs w:val="20"/>
                <w:color w:val="auto"/>
              </w:rPr>
            </w:pPr>
            <w:r>
              <w:rPr>
                <w:rFonts w:ascii="Arial" w:cs="Arial" w:eastAsia="Arial" w:hAnsi="Arial"/>
                <w:sz w:val="18"/>
                <w:szCs w:val="18"/>
                <w:color w:val="auto"/>
              </w:rPr>
              <w:t>The date of this prospectus is</w:t>
            </w:r>
          </w:p>
        </w:tc>
        <w:tc>
          <w:tcPr>
            <w:tcW w:w="3440" w:type="dxa"/>
            <w:vAlign w:val="bottom"/>
            <w:gridSpan w:val="2"/>
          </w:tcPr>
          <w:p>
            <w:pPr>
              <w:jc w:val="right"/>
              <w:ind w:right="2900"/>
              <w:spacing w:after="0"/>
              <w:rPr>
                <w:sz w:val="20"/>
                <w:szCs w:val="20"/>
                <w:color w:val="auto"/>
              </w:rPr>
            </w:pPr>
            <w:r>
              <w:rPr>
                <w:rFonts w:ascii="Arial" w:cs="Arial" w:eastAsia="Arial" w:hAnsi="Arial"/>
                <w:sz w:val="18"/>
                <w:szCs w:val="18"/>
                <w:color w:val="auto"/>
              </w:rPr>
              <w:t>, 2015</w:t>
            </w: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5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67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18"/>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Risk Factors</w:t>
              </w:r>
            </w:hyperlink>
          </w:p>
        </w:tc>
        <w:tc>
          <w:tcPr>
            <w:tcW w:w="5860" w:type="dxa"/>
            <w:vAlign w:val="bottom"/>
            <w:gridSpan w:val="10"/>
          </w:tcPr>
          <w:p>
            <w:pPr>
              <w:spacing w:after="0"/>
              <w:rPr>
                <w:sz w:val="24"/>
                <w:szCs w:val="24"/>
                <w:color w:val="auto"/>
              </w:rPr>
            </w:pPr>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67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Veracyte, Inc.</w:t>
              </w:r>
            </w:hyperlink>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r>
      <w:tr>
        <w:trPr>
          <w:trHeight w:val="412"/>
        </w:trPr>
        <w:tc>
          <w:tcPr>
            <w:tcW w:w="67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4"/>
          </w:tcPr>
          <w:p>
            <w:pPr>
              <w:spacing w:after="0"/>
              <w:rPr>
                <w:sz w:val="24"/>
                <w:szCs w:val="24"/>
                <w:color w:val="auto"/>
              </w:rPr>
            </w:pPr>
          </w:p>
        </w:tc>
        <w:tc>
          <w:tcPr>
            <w:tcW w:w="4660" w:type="dxa"/>
            <w:vAlign w:val="bottom"/>
            <w:gridSpan w:val="3"/>
          </w:tcPr>
          <w:p>
            <w:pPr>
              <w:spacing w:after="0"/>
              <w:rPr>
                <w:sz w:val="24"/>
                <w:szCs w:val="24"/>
                <w:color w:val="auto"/>
              </w:rPr>
            </w:pPr>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67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Selling Stockholders</w:t>
              </w:r>
            </w:hyperlink>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1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24"/>
                <w:szCs w:val="24"/>
                <w:color w:val="auto"/>
              </w:rPr>
            </w:pPr>
          </w:p>
        </w:tc>
        <w:tc>
          <w:tcPr>
            <w:tcW w:w="5280" w:type="dxa"/>
            <w:vAlign w:val="bottom"/>
            <w:gridSpan w:val="4"/>
          </w:tcPr>
          <w:p>
            <w:pPr>
              <w:spacing w:after="0"/>
              <w:rPr>
                <w:sz w:val="24"/>
                <w:szCs w:val="24"/>
                <w:color w:val="auto"/>
              </w:rPr>
            </w:pPr>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Legal Matters</w:t>
              </w:r>
            </w:hyperlink>
          </w:p>
        </w:tc>
        <w:tc>
          <w:tcPr>
            <w:tcW w:w="5760" w:type="dxa"/>
            <w:vAlign w:val="bottom"/>
            <w:gridSpan w:val="8"/>
          </w:tcPr>
          <w:p>
            <w:pPr>
              <w:spacing w:after="0"/>
              <w:rPr>
                <w:sz w:val="24"/>
                <w:szCs w:val="24"/>
                <w:color w:val="auto"/>
              </w:rPr>
            </w:pPr>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Experts</w:t>
              </w:r>
            </w:hyperlink>
          </w:p>
        </w:tc>
        <w:tc>
          <w:tcPr>
            <w:tcW w:w="6220" w:type="dxa"/>
            <w:vAlign w:val="bottom"/>
            <w:gridSpan w:val="11"/>
          </w:tcPr>
          <w:p>
            <w:pPr>
              <w:spacing w:after="0"/>
              <w:rPr>
                <w:sz w:val="24"/>
                <w:szCs w:val="24"/>
                <w:color w:val="auto"/>
              </w:rPr>
            </w:pPr>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67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468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34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“Veracyte,” the “company,” “we,” “us” and “our” refer to Veracyte, Inc. and its subsidiaries.</w:t>
      </w:r>
    </w:p>
    <w:p>
      <w:pPr>
        <w:sectPr>
          <w:pgSz w:w="11900" w:h="16838" w:orient="portrait"/>
          <w:cols w:equalWidth="0" w:num="1">
            <w:col w:w="11460"/>
          </w:cols>
          <w:pgMar w:left="240" w:top="121" w:right="199" w:bottom="45" w:gutter="0" w:footer="0" w:header="0"/>
        </w:sectPr>
      </w:pPr>
    </w:p>
    <w:bookmarkStart w:id="2" w:name="page3"/>
    <w:bookmarkEnd w:id="2"/>
    <w:p>
      <w:pPr>
        <w:spacing w:after="0" w:line="3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When we refer to the selling stockholders in this prospectus, we are referring to the stockholder identified in the table under the heading “Selling Stockholders” herein as well as its donees, pledgees, transferees or other successors-in-interest that received shares of our common stock after the date of this prospectus from the selling stockholders pursuant to a gift, a pledge, a partnership distribution or other transfer (other than a public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Investing in our common stock involves risk. Prior to making a decision about investing in our common stock, you should carefully consider all of the information appearing or incorporated by reference in this prospectus, including the risk factors incorporated by reference to our most recent Annual Report on Form 10-K, Quarterly Reports on Form 10-Q and Current Reports on Form 8-K. The occurrence of any of these risks or additional risks and uncertainties that are not currently known to us or that we currently consider immaterial may cause you to lose all or part of your investment in our common stock.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 endocrinology franchise, and we recently entered into our second clinical indication, pulmonology, with the launch of our Percepta Bronchial Genomic Classifier in April 2015.</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8"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will not receive any proceeds from the sale of the shares by the selling stockholders. All proceeds from the sale of the shares will be for the accounts of the selling stockholders. See “Selling Stockholders” and “Plan of Distribution.”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On April 28, 2015, we sold to the selling stockholders 4,907,975 shares of our common stock in a private placement, pursuant to a securities purchase agreement with the selling stockholders. The registration statement to which this prospectus relates is being filed pursuant to a registration rights agreement we entered into with the selling stockholders.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following table sets forth, to our knowledge, certain information as of May 11, 2015 regarding the beneficial ownership of our common stock by the selling stockholders and the shares being offered by the selling stockholders. Information with respect to beneficial ownership is based upon information obtained from the selling stockholders. Information with respect to shares owned beneficially after the offering assumes the sale of all of the shares offered and no other purchases or sales of our common stock. The selling stockholders may offer and sell some, all or none of their shares.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Shares Beneficially</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gridSpan w:val="4"/>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Being</w:t>
            </w: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300" w:type="dxa"/>
            <w:vAlign w:val="bottom"/>
            <w:vMerge w:val="restart"/>
          </w:tcPr>
          <w:p>
            <w:pPr>
              <w:spacing w:after="0"/>
              <w:rPr>
                <w:sz w:val="14"/>
                <w:szCs w:val="14"/>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Prior to Offering (1)(2)</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Offered</w:t>
            </w: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Owned After Offering</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bl>
    <w:p>
      <w:pPr>
        <w:sectPr>
          <w:pgSz w:w="11900" w:h="16870" w:orient="portrait"/>
          <w:cols w:equalWidth="0" w:num="1">
            <w:col w:w="11400"/>
          </w:cols>
          <w:pgMar w:left="240" w:top="125" w:right="2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Deerfield Special Situations Fund, L.P. (3)</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736,196</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736,196</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Entities affiliated with Longwood Capital Partners LLC</w:t>
            </w:r>
          </w:p>
        </w:tc>
        <w:tc>
          <w:tcPr>
            <w:tcW w:w="1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(4)</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710,077</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613,497</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96,580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2B LLC (5)</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42,945</w:t>
            </w:r>
          </w:p>
        </w:tc>
        <w:tc>
          <w:tcPr>
            <w:tcW w:w="12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42,945</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venBio Select Fund LLC (6)</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570,552</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570,552</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Camber Capital Management,</w:t>
            </w:r>
          </w:p>
        </w:tc>
        <w:tc>
          <w:tcPr>
            <w:tcW w:w="1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LLC (7)</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1,226,994</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1,226,994</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 Consonance Opportunities LTD (8)</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61,350</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61,350</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Altairis Offshore Levered (9)</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429,447</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429,447</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Eventide Asset Management, LLC (10)</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2,008,298</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490,798</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1,517,500</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Broadfin Healthcare Master Fund, LTD (11)</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736,196</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736,196</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hanging="628"/>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960" w:hanging="62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27,462,532 shares of our common stock outstanding as of May 1, 2015.</w:t>
      </w:r>
    </w:p>
    <w:p>
      <w:pPr>
        <w:spacing w:after="0" w:line="9" w:lineRule="exact"/>
        <w:rPr>
          <w:rFonts w:ascii="Arial" w:cs="Arial" w:eastAsia="Arial" w:hAnsi="Arial"/>
          <w:sz w:val="18"/>
          <w:szCs w:val="18"/>
          <w:color w:val="auto"/>
        </w:rPr>
      </w:pPr>
    </w:p>
    <w:p>
      <w:pPr>
        <w:ind w:left="960" w:right="120" w:hanging="628"/>
        <w:spacing w:after="0" w:line="28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our knowledge, the persons named in the table have sole voting and investment power with respect to all shares of common stock shown as beneficially owned by them, subject to community property laws, where applicable, and the information contained in the footnotes to this table.</w:t>
      </w:r>
    </w:p>
    <w:p>
      <w:pPr>
        <w:spacing w:after="0" w:line="1" w:lineRule="exact"/>
        <w:rPr>
          <w:rFonts w:ascii="Arial" w:cs="Arial" w:eastAsia="Arial" w:hAnsi="Arial"/>
          <w:sz w:val="16"/>
          <w:szCs w:val="16"/>
          <w:color w:val="auto"/>
        </w:rPr>
      </w:pPr>
    </w:p>
    <w:p>
      <w:pPr>
        <w:ind w:left="960" w:right="120" w:hanging="628"/>
        <w:spacing w:after="0" w:line="26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James E. Flynn has voting and investment power over of all of the shares held by Deerfield Special Situations Fund, L.P. Mr. Flynn disclaims beneficial ownership over all of the shares held by Deerfield Special Situations Fund, L.P., except to the extent of his pecuniary interest therein. The address for Deerfield Special Situations Fund, L.P is 780 Third Avenue, 37th Floor, New York, New York 10017.</w:t>
      </w:r>
    </w:p>
    <w:p>
      <w:pPr>
        <w:ind w:left="960" w:right="140" w:hanging="628"/>
        <w:spacing w:after="0" w:line="28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Shareholdings consist of 429,672 shares held by Longwood Capital, LP, 184,141 shares held by Longwood Shares Opportunity Fund, LP and 96,264 shares held by 2B LLC. Shares offered consist of 429,448 shares held by Longwood Capital, LP and 184,049 shares held by Longwood Opportunity Fund, LP. Richard Lin is the Managing Member of Longwood Capital Partners LLC, the general partner of Longwood Capital, LP and Longwood Opportunity Fund, LP and an investment manager for 2B LLC and has voting and investment power over all of the shares held by Longwood Capital, LP and Longwood Opportunity Fund, LP and the 96,264 shares held by 2B LLC but does not have voting or investment power over the shares held by 2B LLC described in footnote 5 below. Mr. Lin disclaims beneficial ownership over all of the shares held by Longwood Capital, LP, Longwood Opportunity Fund, LP and 2B LLC, except to the extent of his pecuniary interest therein.</w:t>
      </w:r>
    </w:p>
    <w:p>
      <w:pPr>
        <w:spacing w:after="0" w:line="4" w:lineRule="exact"/>
        <w:rPr>
          <w:rFonts w:ascii="Arial" w:cs="Arial" w:eastAsia="Arial" w:hAnsi="Arial"/>
          <w:sz w:val="16"/>
          <w:szCs w:val="16"/>
          <w:color w:val="auto"/>
        </w:rPr>
      </w:pPr>
    </w:p>
    <w:p>
      <w:pPr>
        <w:ind w:left="960" w:right="220" w:hanging="628"/>
        <w:spacing w:after="0" w:line="25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 Darius Bikoff, a Member of 2B LLC, has voting and investment control over all the shares held by 2B LLC. Mr. Bikoff disclaims beneficial ownership over all the shares held by 2B LLC, except to the extent of his pecuniary interest therein.</w:t>
      </w:r>
    </w:p>
    <w:p>
      <w:pPr>
        <w:ind w:left="960" w:right="100" w:hanging="628"/>
        <w:spacing w:after="0" w:line="25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Behzad Aghazadeh, the portfolio manager of venBio Select Fund LLC, has voting and investment power over all of the shares held by venBio Select Fund LLC. Mr. Aghazadeh disclaims beneficial ownership over all of the shares held by venBio Select Fund LLC, except to the extent of his pecuniary interest therein.</w:t>
      </w:r>
    </w:p>
    <w:p>
      <w:pPr>
        <w:spacing w:after="0" w:line="1" w:lineRule="exact"/>
        <w:rPr>
          <w:rFonts w:ascii="Arial" w:cs="Arial" w:eastAsia="Arial" w:hAnsi="Arial"/>
          <w:sz w:val="18"/>
          <w:szCs w:val="18"/>
          <w:color w:val="auto"/>
        </w:rPr>
      </w:pPr>
    </w:p>
    <w:p>
      <w:pPr>
        <w:ind w:left="960" w:right="220" w:hanging="628"/>
        <w:spacing w:after="0" w:line="26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Shareholdings consist of 1,181,718 shares held by Camber Capital Master Fund, LP, 8,834 shares held by Camber Capital Fund II, LP, and 36,442 shares held by Arthur J. Remillard Jr. Trust. Camber Capital Management, LLC has voting and investment power over all of the shares held by Camber Capital Master Fund, LP, Camber Capital Fund II, LP and Arthur J. Remillard Jr. Trust. Camber Capital Management, LLC disclaims beneficial ownership over all of the shares held by Camber Capital Master Fund, LP, Camber Capital Fund II, LP and Arthur J. Remillard Jr. Trust, except to the extent of any pecuniary interest therein.</w:t>
      </w:r>
    </w:p>
    <w:p>
      <w:pPr>
        <w:spacing w:after="0" w:line="1" w:lineRule="exact"/>
        <w:rPr>
          <w:rFonts w:ascii="Arial" w:cs="Arial" w:eastAsia="Arial" w:hAnsi="Arial"/>
          <w:sz w:val="17"/>
          <w:szCs w:val="17"/>
          <w:color w:val="auto"/>
        </w:rPr>
      </w:pPr>
    </w:p>
    <w:p>
      <w:pPr>
        <w:ind w:left="960" w:right="440" w:hanging="628"/>
        <w:spacing w:after="0" w:line="255"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Consonance Capital Opportunity Fund Management LP has voting and investment power over all the shares held by P Consonance Opportunities LTD. Consonance Capital Opportunity Fund Management LP disclaims beneficial ownership over all of the shares held by P Consonance Opportunities LTD, except to the extent of any pecuniary interest therein.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60" w:right="100" w:hanging="628"/>
        <w:spacing w:after="0" w:line="25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Polar Securities Inc. serves as investment advisor to Altairis Offshore Levered and has voting and investment control over all the shares held by Altairis Offshore Levered. Polar Securities Inc. disclaims beneficial ownership over all of the shares held by Altairis Offshore Levered except to the extent of its pecuniary interest therein.</w:t>
      </w:r>
    </w:p>
    <w:p>
      <w:pPr>
        <w:ind w:left="960" w:right="140" w:hanging="628"/>
        <w:spacing w:after="0" w:line="25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Shareholdings consist of 1,193,431 shares held by Eventide Gilead Fund and 814,867 shares held by Eventide Healthcare &amp; Life Sciences Fund, each of which is a registered investment company for which Eventide Asset Management, LLC acts as investment adviser. Eventide Asset Management, LLC has voting and investment power with respect to all of such shares. The address of Eventide Asset Management, LLC is 60 State Street, Suite 700, Boston, Massachusetts, 02109. Of the shares offered, Eventide Gilead Fund holds 381,731 shares and Eventide Healthcare &amp; Life Sciences Fund holds 109,067 shares.</w:t>
      </w:r>
    </w:p>
    <w:p>
      <w:pPr>
        <w:spacing w:after="0" w:line="2" w:lineRule="exact"/>
        <w:rPr>
          <w:rFonts w:ascii="Arial" w:cs="Arial" w:eastAsia="Arial" w:hAnsi="Arial"/>
          <w:sz w:val="18"/>
          <w:szCs w:val="18"/>
          <w:color w:val="auto"/>
        </w:rPr>
      </w:pPr>
    </w:p>
    <w:p>
      <w:pPr>
        <w:ind w:left="960" w:right="160" w:hanging="628"/>
        <w:spacing w:after="0" w:line="273"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Broadfin Capital, LLC serves as investment adviser to Broadfin Healthcare Master Fund, LTD with the power to direct investments and/or sole power to vote the shares owned by Broadfin Healthcare Master Fund, LTD. Kevin Kotler is the Managing Member of Broadfin Capital, LLC. Mr. Kotler has voting and dispositive power over the shares held by Broadfin Healthcare Master Fund, LTD. Mr. Kotler disclaims beneficial ownership of all shares beneficially owned, except to the extent of his pecuniary interests in such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are registering the shares of common stock issued to the selling stockholders to permit the resale of these shares of common stock by the holders of the shares of common stock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167"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ectPr>
          <w:pgSz w:w="11900" w:h="16838" w:orient="portrait"/>
          <w:cols w:equalWidth="0" w:num="1">
            <w:col w:w="11420"/>
          </w:cols>
          <w:pgMar w:left="240" w:top="356" w:right="239" w:bottom="0" w:gutter="0" w:footer="0" w:header="0"/>
        </w:sectPr>
      </w:pPr>
    </w:p>
    <w:bookmarkStart w:id="4" w:name="page5"/>
    <w:bookmarkEnd w:id="4"/>
    <w:p>
      <w:pPr>
        <w:ind w:left="980" w:right="20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such options are listed on an options exchange or otherwise;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shares of common stock short and if such short sale shall take place after the date that this registration statement is declared effective by the Securities and Exchange Commission, or SEC, the selling stockholders may deliver shares of common stock covered by this prospectus to close out short positions and to return borrowed shares in connection with such short sales. The selling stockholders may also loan or pledge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or the Exchange Act.</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selling stockholder has informed us that it is not a registered broker-dealer and does not have any written or oral agreement or understanding, directly or indirectly, with any person to distribute the common stock. Upon a selling stockholder notifying us in writing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5" w:name="page6"/>
    <w:bookmarkEnd w:id="5"/>
    <w:p>
      <w:pPr>
        <w:ind w:right="160"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registration rights agreement, or we may be entitled to contribution.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validity of the common stock offered by this prospectus is being passed upon for us by Pillsbury Winthrop Shaw Pittman LLP, San Francisco and Palo Alto, California.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7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financial statements as of December 31, 2013 and for each of the two years in the period ended December 31, 2013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47"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independent accountants, given on the authority of said firm as experts in auditing and accounting.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filed a registration statement on Form S-3 with the SEC under the Securities Act. This prospectus is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193" w:lineRule="exact"/>
        <w:rPr>
          <w:sz w:val="20"/>
          <w:szCs w:val="20"/>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w:t>
      </w:r>
    </w:p>
    <w:p>
      <w:pPr>
        <w:spacing w:after="0" w:line="225" w:lineRule="exact"/>
        <w:rPr>
          <w:rFonts w:ascii="Arial" w:cs="Arial" w:eastAsia="Arial" w:hAnsi="Arial"/>
          <w:sz w:val="18"/>
          <w:szCs w:val="18"/>
          <w:color w:val="auto"/>
        </w:rPr>
      </w:pPr>
    </w:p>
    <w:p>
      <w:pPr>
        <w:jc w:val="both"/>
        <w:ind w:left="1040" w:right="520" w:hanging="384"/>
        <w:spacing w:after="0" w:line="342" w:lineRule="auto"/>
        <w:tabs>
          <w:tab w:leader="none" w:pos="1007"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September 14, 2014 (as amended on November 6, 2014, December 10, 2014 and May 21, 2015), January 12, 2015, March 5, 2015, March 13, 2015, March 31, 2015, April 7, 2015, April 24, 2015 and May 1, 2015; and</w:t>
      </w:r>
    </w:p>
    <w:p>
      <w:pPr>
        <w:spacing w:after="0" w:line="123" w:lineRule="exact"/>
        <w:rPr>
          <w:rFonts w:ascii="Arial" w:cs="Arial" w:eastAsia="Arial" w:hAnsi="Arial"/>
          <w:sz w:val="16"/>
          <w:szCs w:val="16"/>
          <w:color w:val="auto"/>
        </w:rPr>
      </w:pPr>
    </w:p>
    <w:p>
      <w:pPr>
        <w:ind w:left="1040" w:right="60" w:hanging="384"/>
        <w:spacing w:after="0" w:line="277" w:lineRule="auto"/>
        <w:tabs>
          <w:tab w:leader="none" w:pos="100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ectPr>
          <w:pgSz w:w="11900" w:h="16838" w:orient="portrait"/>
          <w:cols w:equalWidth="0" w:num="1">
            <w:col w:w="11420"/>
          </w:cols>
          <w:pgMar w:left="240" w:top="125" w:right="239" w:bottom="0" w:gutter="0" w:footer="0" w:header="0"/>
        </w:sectPr>
      </w:pPr>
    </w:p>
    <w:bookmarkStart w:id="6" w:name="page7"/>
    <w:bookmarkEnd w:id="6"/>
    <w:p>
      <w:pPr>
        <w:spacing w:after="0" w:line="1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71"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You may request a copy of any or all of the documents incorporated by reference but not delivered with this prospectus, at no cost, by writing or telephoning us at the following address and number: Investor Relations, Veracyte, Inc., 7000 Shoreline Court, Suite 250, South San Francisco, California, 94080. We will not, however, send exhibits to those documents, unless the exhibits are specifically incorporated by reference in those documents.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following is a statement of estimated expenses in connection with the issuance and distribution of the securities being registered. Normal commission expenses and brokerage fees are payable individually by the selling stockholders. All amounts are estimated except the SEC registration fee.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5,782.91</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14,217.09</w:t>
            </w:r>
          </w:p>
        </w:tc>
      </w:tr>
      <w:tr>
        <w:trPr>
          <w:trHeight w:val="210"/>
        </w:trPr>
        <w:tc>
          <w:tcPr>
            <w:tcW w:w="99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VIII of the Registrant’s Restated Certificate of Incorporation and Article 6 of the Registrant’s Amended and Restated Bylaws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700" w:type="dxa"/>
            <w:vAlign w:val="bottom"/>
            <w:gridSpan w:val="3"/>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i w:val="1"/>
                <w:iCs w:val="1"/>
                <w:color w:val="auto"/>
              </w:rPr>
              <w:t>.</w:t>
            </w:r>
          </w:p>
        </w:tc>
      </w:tr>
      <w:tr>
        <w:trPr>
          <w:trHeight w:val="365"/>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4.2</w:t>
            </w: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Registration Rights Agreement, dated as of April 22, 2015 (Incorporated by reference to Exhibit 10.2 of the Registrant’s Current Report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on Form 8-K filed on April 24, 2015).</w:t>
            </w:r>
          </w:p>
        </w:tc>
      </w:tr>
      <w:tr>
        <w:trPr>
          <w:trHeight w:val="216"/>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Opinion of Pillsbury Winthrop Shaw Pittman LLP.</w:t>
            </w:r>
          </w:p>
        </w:tc>
      </w:tr>
      <w:tr>
        <w:trPr>
          <w:trHeight w:val="216"/>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16"/>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23.3</w:t>
            </w: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30"/>
        </w:trPr>
        <w:tc>
          <w:tcPr>
            <w:tcW w:w="720" w:type="dxa"/>
            <w:vAlign w:val="bottom"/>
            <w:gridSpan w:val="2"/>
          </w:tcPr>
          <w:p>
            <w:pPr>
              <w:ind w:left="180"/>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Power of Attorney (included on the signature page hereof).</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i w:val="1"/>
          <w:i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80" w:hanging="419"/>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80" w:right="120" w:firstLine="881"/>
        <w:spacing w:after="0" w:line="255" w:lineRule="auto"/>
        <w:tabs>
          <w:tab w:leader="none" w:pos="1507"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right="180" w:firstLine="881"/>
        <w:spacing w:after="0" w:line="277" w:lineRule="auto"/>
        <w:tabs>
          <w:tab w:leader="none" w:pos="15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above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Securities and Exchange Commission by the registrant pursuant to section 13 or section</w:t>
      </w:r>
    </w:p>
    <w:p>
      <w:pPr>
        <w:sectPr>
          <w:pgSz w:w="11900" w:h="16975" w:orient="portrait"/>
          <w:cols w:equalWidth="0" w:num="1">
            <w:col w:w="11420"/>
          </w:cols>
          <w:pgMar w:left="240" w:top="125" w:right="239" w:bottom="0" w:gutter="0" w:footer="0" w:header="0"/>
        </w:sectPr>
      </w:pPr>
    </w:p>
    <w:bookmarkStart w:id="7" w:name="page8"/>
    <w:bookmarkEnd w:id="7"/>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15(d) of the Securities Exchange Act of 1934 that are incorporated by reference in the registration statement, or is contained in a form of prospectus filed pursuant to Rule 424(b) that is part of the registration statement.</w:t>
      </w:r>
    </w:p>
    <w:p>
      <w:pPr>
        <w:spacing w:after="0" w:line="170" w:lineRule="exact"/>
        <w:rPr>
          <w:sz w:val="20"/>
          <w:szCs w:val="20"/>
          <w:color w:val="auto"/>
        </w:rPr>
      </w:pPr>
    </w:p>
    <w:p>
      <w:pPr>
        <w:ind w:right="100" w:firstLine="656"/>
        <w:spacing w:after="0" w:line="264"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420" w:firstLine="656"/>
        <w:spacing w:after="0" w:line="277"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60" w:right="40" w:firstLine="645"/>
        <w:spacing w:after="0" w:line="269" w:lineRule="auto"/>
        <w:tabs>
          <w:tab w:leader="none" w:pos="1967"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980" w:hanging="675"/>
        <w:spacing w:after="0"/>
        <w:tabs>
          <w:tab w:leader="none" w:pos="1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Rule 424;</w:t>
      </w:r>
    </w:p>
    <w:p>
      <w:pPr>
        <w:spacing w:after="0" w:line="210" w:lineRule="exact"/>
        <w:rPr>
          <w:rFonts w:ascii="Arial" w:cs="Arial" w:eastAsia="Arial" w:hAnsi="Arial"/>
          <w:sz w:val="17"/>
          <w:szCs w:val="17"/>
          <w:color w:val="auto"/>
        </w:rPr>
      </w:pPr>
    </w:p>
    <w:p>
      <w:pPr>
        <w:ind w:left="660" w:right="40" w:firstLine="645"/>
        <w:spacing w:after="0" w:line="277" w:lineRule="auto"/>
        <w:tabs>
          <w:tab w:leader="none" w:pos="19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20" w:firstLine="645"/>
        <w:spacing w:after="0" w:line="277" w:lineRule="auto"/>
        <w:tabs>
          <w:tab w:leader="none" w:pos="19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20" w:firstLine="710"/>
        <w:spacing w:after="0" w:line="257"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702"/>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May 21, 2015.</w:t>
      </w:r>
    </w:p>
    <w:p>
      <w:pPr>
        <w:sectPr>
          <w:pgSz w:w="11900" w:h="16918" w:orient="portrait"/>
          <w:cols w:equalWidth="0" w:num="1">
            <w:col w:w="11420"/>
          </w:cols>
          <w:pgMar w:left="240" w:top="125" w:right="239" w:bottom="0" w:gutter="0" w:footer="0" w:header="0"/>
        </w:sectPr>
      </w:pPr>
    </w:p>
    <w:bookmarkStart w:id="8" w:name="page9"/>
    <w:bookmarkEnd w:id="8"/>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Bonnie H. Anderson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Bonnie H. Anderson and Shelly D. Guyer,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1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47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Title</w:t>
            </w:r>
          </w:p>
        </w:tc>
        <w:tc>
          <w:tcPr>
            <w:tcW w:w="380" w:type="dxa"/>
            <w:vAlign w:val="bottom"/>
          </w:tcPr>
          <w:p>
            <w:pPr>
              <w:spacing w:after="0"/>
              <w:rPr>
                <w:sz w:val="14"/>
                <w:szCs w:val="14"/>
                <w:color w:val="auto"/>
              </w:rPr>
            </w:pPr>
          </w:p>
        </w:tc>
        <w:tc>
          <w:tcPr>
            <w:tcW w:w="25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34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Bonnie H. Anderson</w:t>
            </w: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w w:val="95"/>
              </w:rPr>
              <w:t>President, Chief Executive Officer (Principal Executive Officer)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w w:val="93"/>
              </w:rPr>
              <w:t>Bonnie H. Anderson</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and Director</w:t>
            </w: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/s/ Shelly D. Guyer</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 (Principal Financial and Accounting</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Shelly D. Guyer</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Officer)</w:t>
            </w: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/s/ Brian G. Atwood</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Chairman of Board of Directors</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Brian G. Atwood</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John L. Bishop</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John L. Bishop</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Fred E. Cohen</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3440" w:type="dxa"/>
            <w:vAlign w:val="bottom"/>
            <w:gridSpan w:val="6"/>
          </w:tcPr>
          <w:p>
            <w:pPr>
              <w:spacing w:after="0"/>
              <w:rPr>
                <w:sz w:val="20"/>
                <w:szCs w:val="20"/>
                <w:color w:val="auto"/>
              </w:rPr>
            </w:pPr>
            <w:r>
              <w:rPr>
                <w:rFonts w:ascii="Arial" w:cs="Arial" w:eastAsia="Arial" w:hAnsi="Arial"/>
                <w:sz w:val="18"/>
                <w:szCs w:val="18"/>
                <w:color w:val="auto"/>
              </w:rPr>
              <w:t>Fred E. Cohen, M.D., D.Phil.</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Karin Eastham</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Karin Eastham</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jc w:val="center"/>
              <w:ind w:right="757"/>
              <w:spacing w:after="0"/>
              <w:rPr>
                <w:sz w:val="20"/>
                <w:szCs w:val="20"/>
                <w:color w:val="auto"/>
              </w:rPr>
            </w:pPr>
            <w:r>
              <w:rPr>
                <w:rFonts w:ascii="Arial" w:cs="Arial" w:eastAsia="Arial" w:hAnsi="Arial"/>
                <w:sz w:val="18"/>
                <w:szCs w:val="18"/>
                <w:color w:val="auto"/>
                <w:w w:val="99"/>
              </w:rPr>
              <w:t>II-4</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/s/ Robert S. Epstein</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3440" w:type="dxa"/>
            <w:vAlign w:val="bottom"/>
            <w:gridSpan w:val="6"/>
          </w:tcPr>
          <w:p>
            <w:pPr>
              <w:spacing w:after="0"/>
              <w:rPr>
                <w:sz w:val="20"/>
                <w:szCs w:val="20"/>
                <w:color w:val="auto"/>
              </w:rPr>
            </w:pPr>
            <w:r>
              <w:rPr>
                <w:rFonts w:ascii="Arial" w:cs="Arial" w:eastAsia="Arial" w:hAnsi="Arial"/>
                <w:sz w:val="18"/>
                <w:szCs w:val="18"/>
                <w:color w:val="auto"/>
              </w:rPr>
              <w:t>Robert S. Epstein, M.D., M.S.</w:t>
            </w: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Evan Jones</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rPr>
              <w:t>Evan Jones</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Jesse I. Treu</w:t>
            </w: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900" w:type="dxa"/>
            <w:vAlign w:val="bottom"/>
            <w:gridSpan w:val="2"/>
          </w:tcPr>
          <w:p>
            <w:pPr>
              <w:ind w:left="380"/>
              <w:spacing w:after="0"/>
              <w:rPr>
                <w:sz w:val="20"/>
                <w:szCs w:val="20"/>
                <w:color w:val="auto"/>
              </w:rPr>
            </w:pPr>
            <w:r>
              <w:rPr>
                <w:rFonts w:ascii="Arial" w:cs="Arial" w:eastAsia="Arial" w:hAnsi="Arial"/>
                <w:sz w:val="18"/>
                <w:szCs w:val="18"/>
                <w:color w:val="auto"/>
              </w:rPr>
              <w:t>May 21, 2015</w:t>
            </w:r>
          </w:p>
        </w:tc>
        <w:tc>
          <w:tcPr>
            <w:tcW w:w="40" w:type="dxa"/>
            <w:vAlign w:val="bottom"/>
          </w:tcPr>
          <w:p>
            <w:pPr>
              <w:spacing w:after="0"/>
              <w:rPr>
                <w:sz w:val="24"/>
                <w:szCs w:val="24"/>
                <w:color w:val="auto"/>
              </w:rPr>
            </w:pPr>
          </w:p>
        </w:tc>
      </w:tr>
      <w:tr>
        <w:trPr>
          <w:trHeight w:val="224"/>
        </w:trPr>
        <w:tc>
          <w:tcPr>
            <w:tcW w:w="1520" w:type="dxa"/>
            <w:vAlign w:val="bottom"/>
            <w:gridSpan w:val="4"/>
          </w:tcPr>
          <w:p>
            <w:pPr>
              <w:spacing w:after="0"/>
              <w:rPr>
                <w:sz w:val="20"/>
                <w:szCs w:val="20"/>
                <w:color w:val="auto"/>
              </w:rPr>
            </w:pPr>
            <w:r>
              <w:rPr>
                <w:rFonts w:ascii="Arial" w:cs="Arial" w:eastAsia="Arial" w:hAnsi="Arial"/>
                <w:sz w:val="18"/>
                <w:szCs w:val="18"/>
                <w:color w:val="auto"/>
                <w:w w:val="94"/>
              </w:rPr>
              <w:t>Jesse I. Treu, Ph.D.</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jc w:val="center"/>
              <w:ind w:right="757"/>
              <w:spacing w:after="0"/>
              <w:rPr>
                <w:sz w:val="20"/>
                <w:szCs w:val="20"/>
                <w:color w:val="auto"/>
              </w:rPr>
            </w:pPr>
            <w:r>
              <w:rPr>
                <w:rFonts w:ascii="Arial" w:cs="Arial" w:eastAsia="Arial" w:hAnsi="Arial"/>
                <w:sz w:val="18"/>
                <w:szCs w:val="18"/>
                <w:color w:val="auto"/>
                <w:w w:val="99"/>
              </w:rPr>
              <w:t>II-5</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jc w:val="center"/>
              <w:ind w:right="737"/>
              <w:spacing w:after="0"/>
              <w:rPr>
                <w:sz w:val="20"/>
                <w:szCs w:val="20"/>
                <w:color w:val="auto"/>
              </w:rPr>
            </w:pPr>
            <w:r>
              <w:rPr>
                <w:rFonts w:ascii="Arial" w:cs="Arial" w:eastAsia="Arial" w:hAnsi="Arial"/>
                <w:sz w:val="18"/>
                <w:szCs w:val="18"/>
                <w:b w:val="1"/>
                <w:bCs w:val="1"/>
                <w:color w:val="auto"/>
              </w:rPr>
              <w:t>EXHIBIT INDEX</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ind w:left="2400"/>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4.2</w:t>
            </w:r>
          </w:p>
        </w:tc>
        <w:tc>
          <w:tcPr>
            <w:tcW w:w="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4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1"/>
              </w:rPr>
              <w:t>Registration Rights Agreement, dated as of April 22, 2015 (Incorporated by reference to Exhibit 10.2 of the Registrant’s Current Report</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rPr>
              <w:t>on Form8-K filed on April 24, 2015).</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rPr>
              <w:t>Opinion of Pillsbury Winthrop Shaw Pittman LLP.</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w w:val="95"/>
              </w:rPr>
              <w:t>Consent of PricewaterhouseCoopers LLP, Independent Registered Public Accounting Firm.</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w w:val="95"/>
              </w:rPr>
              <w:t>Consent of PricewaterhouseCoopers LLP, Independent Registered Public Accounting Firm.</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0" w:type="dxa"/>
            <w:vAlign w:val="bottom"/>
            <w:gridSpan w:val="4"/>
          </w:tcPr>
          <w:p>
            <w:pPr>
              <w:ind w:left="60"/>
              <w:spacing w:after="0"/>
              <w:rPr>
                <w:sz w:val="20"/>
                <w:szCs w:val="20"/>
                <w:color w:val="auto"/>
              </w:rPr>
            </w:pPr>
            <w:r>
              <w:rPr>
                <w:rFonts w:ascii="Arial" w:cs="Arial" w:eastAsia="Arial" w:hAnsi="Arial"/>
                <w:sz w:val="18"/>
                <w:szCs w:val="18"/>
                <w:color w:val="auto"/>
              </w:rPr>
              <w:t>Power of Attorney (included on the signature page hereof).</w:t>
            </w: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-4222750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-2233295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-2233295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289"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Embarcadero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acting as counsel for Veracyte, Inc., a Delaware corporation (the “Company”), in connection with the Registration Statement on Form S-3 relating to the registration under the Securities Act of 1933 (the “Act”) of 4,907,975 shares of common stock, par value $0.001 per share (the “Common Stock”), of the Company, all of which are to be offered and sold by certain stockholders of the Company (the “Selling Stockholders”). (Such Registration Statement, as amended, is herein referred to as the “Registration Statement.”)</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considered relevant or necessary for the opinions expressed in this letter. Based upon the foregoing, we are of the opinion that the shares of Common Stock to be offered and sold by the Selling Stockholders have been duly authorized and validly issued and are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the related prospectus of Veracyte, Inc. for the registration of 4,907,975 shares of its common stock and to the incorporation by reference therein of our report dated March 24, 2015, with respect to the consolidated financial statements of Veracyte, Inc., included in its Annual Report (Form 10-K) for the year ended December 31, 2014,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Veracyte, Inc. of our report dated March 20, 2014, relating to the financial statements which appears in Veracyte, Inc.’s Annual Report on Form 10-K for the year ended December 31, 2014.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Veracyte, Inc. of our report dated August 22, 2014, relating to the financial statements of Allegro Diagnostics Corp., which appears in Veracyte, Inc.’s Current Report on Form 8-K/A dated September 16, 2014.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Roman"/>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decimal"/>
      <w:start w:val="2"/>
    </w:lvl>
    <w:lvl w:ilvl="1">
      <w:lvlJc w:val="left"/>
      <w:lvlText w:val="(%2)"/>
      <w:numFmt w:val="upperLetter"/>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decimal"/>
      <w:start w:val="1"/>
    </w:lvl>
    <w:lvl w:ilvl="1">
      <w:lvlJc w:val="left"/>
      <w:lvlText w:val="(%2)"/>
      <w:numFmt w:val="lowerRoman"/>
      <w:start w:val="3"/>
    </w:lvl>
  </w:abstractNum>
  <w:abstractNum w:abstractNumId="12">
    <w:nsid w:val="3352255A"/>
    <w:multiLevelType w:val="hybridMultilevel"/>
    <w:lvl w:ilvl="0">
      <w:lvlJc w:val="left"/>
      <w:lvlText w:val="(%1)"/>
      <w:numFmt w:val="decimal"/>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2019-12-08T18:02:39Z</dcterms:created>
  <dcterms:modified xsi:type="dcterms:W3CDTF">2019-12-08T18:02:39Z</dcterms:modified>
</cp:coreProperties>
</file>