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March 14, 2016</w:t>
      </w:r>
    </w:p>
    <w:p>
      <w:pPr>
        <w:spacing w:after="0" w:line="136"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333-204368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159385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Post-Effective Amendment No. 1</w:t>
      </w:r>
    </w:p>
    <w:p>
      <w:pPr>
        <w:jc w:val="center"/>
        <w:spacing w:after="0" w:line="236" w:lineRule="auto"/>
        <w:rPr>
          <w:sz w:val="20"/>
          <w:szCs w:val="20"/>
          <w:color w:val="auto"/>
        </w:rPr>
      </w:pPr>
      <w:r>
        <w:rPr>
          <w:rFonts w:ascii="Arial" w:cs="Arial" w:eastAsia="Arial" w:hAnsi="Arial"/>
          <w:sz w:val="14"/>
          <w:szCs w:val="14"/>
          <w:b w:val="1"/>
          <w:bCs w:val="1"/>
          <w:color w:val="auto"/>
        </w:rPr>
        <w:t>to</w:t>
      </w:r>
    </w:p>
    <w:p>
      <w:pPr>
        <w:jc w:val="center"/>
        <w:spacing w:after="0"/>
        <w:rPr>
          <w:sz w:val="20"/>
          <w:szCs w:val="20"/>
          <w:color w:val="auto"/>
        </w:rPr>
      </w:pPr>
      <w:r>
        <w:rPr>
          <w:rFonts w:ascii="Arial" w:cs="Arial" w:eastAsia="Arial" w:hAnsi="Arial"/>
          <w:sz w:val="29"/>
          <w:szCs w:val="29"/>
          <w:b w:val="1"/>
          <w:bCs w:val="1"/>
          <w:color w:val="auto"/>
        </w:rPr>
        <w:t>Form S-3</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S-1</w:t>
      </w:r>
    </w:p>
    <w:p>
      <w:pPr>
        <w:spacing w:after="0" w:line="1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168910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8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VERACYTE,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159385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tbl>
      <w:tblPr>
        <w:tblLayout w:type="fixed"/>
        <w:tblInd w:w="740" w:type="dxa"/>
        <w:tblCellMar>
          <w:top w:w="0" w:type="dxa"/>
          <w:left w:w="0" w:type="dxa"/>
          <w:bottom w:w="0" w:type="dxa"/>
          <w:right w:w="0" w:type="dxa"/>
        </w:tblCellMar>
      </w:tblPr>
      <w:tr>
        <w:trPr>
          <w:trHeight w:val="161"/>
        </w:trPr>
        <w:tc>
          <w:tcPr>
            <w:tcW w:w="2700" w:type="dxa"/>
            <w:vAlign w:val="bottom"/>
          </w:tcPr>
          <w:p>
            <w:pPr>
              <w:jc w:val="center"/>
              <w:ind w:right="848"/>
              <w:spacing w:after="0"/>
              <w:rPr>
                <w:sz w:val="20"/>
                <w:szCs w:val="20"/>
                <w:color w:val="auto"/>
              </w:rPr>
            </w:pPr>
            <w:r>
              <w:rPr>
                <w:rFonts w:ascii="Arial" w:cs="Arial" w:eastAsia="Arial" w:hAnsi="Arial"/>
                <w:sz w:val="14"/>
                <w:szCs w:val="14"/>
                <w:b w:val="1"/>
                <w:bCs w:val="1"/>
                <w:color w:val="auto"/>
                <w:w w:val="94"/>
              </w:rPr>
              <w:t>Delaware</w:t>
            </w:r>
          </w:p>
        </w:tc>
        <w:tc>
          <w:tcPr>
            <w:tcW w:w="4800" w:type="dxa"/>
            <w:vAlign w:val="bottom"/>
          </w:tcPr>
          <w:p>
            <w:pPr>
              <w:jc w:val="right"/>
              <w:ind w:right="2208"/>
              <w:spacing w:after="0"/>
              <w:rPr>
                <w:sz w:val="20"/>
                <w:szCs w:val="20"/>
                <w:color w:val="auto"/>
              </w:rPr>
            </w:pPr>
            <w:r>
              <w:rPr>
                <w:rFonts w:ascii="Arial" w:cs="Arial" w:eastAsia="Arial" w:hAnsi="Arial"/>
                <w:sz w:val="14"/>
                <w:szCs w:val="14"/>
                <w:b w:val="1"/>
                <w:bCs w:val="1"/>
                <w:color w:val="auto"/>
              </w:rPr>
              <w:t>8071</w:t>
            </w:r>
          </w:p>
        </w:tc>
        <w:tc>
          <w:tcPr>
            <w:tcW w:w="2320" w:type="dxa"/>
            <w:vAlign w:val="bottom"/>
          </w:tcPr>
          <w:p>
            <w:pPr>
              <w:jc w:val="center"/>
              <w:ind w:left="928"/>
              <w:spacing w:after="0"/>
              <w:rPr>
                <w:sz w:val="20"/>
                <w:szCs w:val="20"/>
                <w:color w:val="auto"/>
              </w:rPr>
            </w:pPr>
            <w:r>
              <w:rPr>
                <w:rFonts w:ascii="Arial" w:cs="Arial" w:eastAsia="Arial" w:hAnsi="Arial"/>
                <w:sz w:val="14"/>
                <w:szCs w:val="14"/>
                <w:b w:val="1"/>
                <w:bCs w:val="1"/>
                <w:color w:val="auto"/>
                <w:w w:val="90"/>
              </w:rPr>
              <w:t>20-5455398</w:t>
            </w:r>
          </w:p>
        </w:tc>
      </w:tr>
      <w:tr>
        <w:trPr>
          <w:trHeight w:val="149"/>
        </w:trPr>
        <w:tc>
          <w:tcPr>
            <w:tcW w:w="2700" w:type="dxa"/>
            <w:vAlign w:val="bottom"/>
          </w:tcPr>
          <w:p>
            <w:pPr>
              <w:jc w:val="center"/>
              <w:ind w:right="868"/>
              <w:spacing w:after="0" w:line="149" w:lineRule="exact"/>
              <w:rPr>
                <w:sz w:val="20"/>
                <w:szCs w:val="20"/>
                <w:color w:val="auto"/>
              </w:rPr>
            </w:pPr>
            <w:r>
              <w:rPr>
                <w:rFonts w:ascii="Arial" w:cs="Arial" w:eastAsia="Arial" w:hAnsi="Arial"/>
                <w:sz w:val="14"/>
                <w:szCs w:val="14"/>
                <w:color w:val="auto"/>
                <w:w w:val="94"/>
              </w:rPr>
              <w:t>(State or Other Jurisdiction of</w:t>
            </w:r>
          </w:p>
        </w:tc>
        <w:tc>
          <w:tcPr>
            <w:tcW w:w="4800" w:type="dxa"/>
            <w:vAlign w:val="bottom"/>
          </w:tcPr>
          <w:p>
            <w:pPr>
              <w:jc w:val="center"/>
              <w:spacing w:after="0" w:line="149" w:lineRule="exact"/>
              <w:rPr>
                <w:sz w:val="20"/>
                <w:szCs w:val="20"/>
                <w:color w:val="auto"/>
              </w:rPr>
            </w:pPr>
            <w:r>
              <w:rPr>
                <w:rFonts w:ascii="Arial" w:cs="Arial" w:eastAsia="Arial" w:hAnsi="Arial"/>
                <w:sz w:val="14"/>
                <w:szCs w:val="14"/>
                <w:color w:val="auto"/>
                <w:w w:val="94"/>
              </w:rPr>
              <w:t>(Primary Standard Industrial Classification Code)</w:t>
            </w:r>
          </w:p>
        </w:tc>
        <w:tc>
          <w:tcPr>
            <w:tcW w:w="2320" w:type="dxa"/>
            <w:vAlign w:val="bottom"/>
          </w:tcPr>
          <w:p>
            <w:pPr>
              <w:jc w:val="center"/>
              <w:ind w:left="928"/>
              <w:spacing w:after="0" w:line="149" w:lineRule="exact"/>
              <w:rPr>
                <w:sz w:val="20"/>
                <w:szCs w:val="20"/>
                <w:color w:val="auto"/>
              </w:rPr>
            </w:pPr>
            <w:r>
              <w:rPr>
                <w:rFonts w:ascii="Arial" w:cs="Arial" w:eastAsia="Arial" w:hAnsi="Arial"/>
                <w:sz w:val="14"/>
                <w:szCs w:val="14"/>
                <w:color w:val="auto"/>
                <w:w w:val="97"/>
              </w:rPr>
              <w:t>(I.R.S. Employer</w:t>
            </w:r>
          </w:p>
        </w:tc>
      </w:tr>
      <w:tr>
        <w:trPr>
          <w:trHeight w:val="182"/>
        </w:trPr>
        <w:tc>
          <w:tcPr>
            <w:tcW w:w="2700" w:type="dxa"/>
            <w:vAlign w:val="bottom"/>
          </w:tcPr>
          <w:p>
            <w:pPr>
              <w:jc w:val="center"/>
              <w:ind w:right="848"/>
              <w:spacing w:after="0"/>
              <w:rPr>
                <w:sz w:val="20"/>
                <w:szCs w:val="20"/>
                <w:color w:val="auto"/>
              </w:rPr>
            </w:pPr>
            <w:r>
              <w:rPr>
                <w:rFonts w:ascii="Arial" w:cs="Arial" w:eastAsia="Arial" w:hAnsi="Arial"/>
                <w:sz w:val="14"/>
                <w:szCs w:val="14"/>
                <w:color w:val="auto"/>
                <w:w w:val="95"/>
              </w:rPr>
              <w:t>Incorporation or Organization)</w:t>
            </w:r>
          </w:p>
        </w:tc>
        <w:tc>
          <w:tcPr>
            <w:tcW w:w="4800" w:type="dxa"/>
            <w:vAlign w:val="bottom"/>
          </w:tcPr>
          <w:p>
            <w:pPr>
              <w:spacing w:after="0"/>
              <w:rPr>
                <w:sz w:val="15"/>
                <w:szCs w:val="15"/>
                <w:color w:val="auto"/>
              </w:rPr>
            </w:pPr>
          </w:p>
        </w:tc>
        <w:tc>
          <w:tcPr>
            <w:tcW w:w="2320" w:type="dxa"/>
            <w:vAlign w:val="bottom"/>
          </w:tcPr>
          <w:p>
            <w:pPr>
              <w:jc w:val="center"/>
              <w:ind w:left="928"/>
              <w:spacing w:after="0"/>
              <w:rPr>
                <w:sz w:val="20"/>
                <w:szCs w:val="20"/>
                <w:color w:val="auto"/>
              </w:rPr>
            </w:pPr>
            <w:r>
              <w:rPr>
                <w:rFonts w:ascii="Arial" w:cs="Arial" w:eastAsia="Arial" w:hAnsi="Arial"/>
                <w:sz w:val="14"/>
                <w:szCs w:val="14"/>
                <w:color w:val="auto"/>
                <w:w w:val="96"/>
              </w:rPr>
              <w:t>Identification Number)</w:t>
            </w:r>
          </w:p>
        </w:tc>
      </w:tr>
    </w:tbl>
    <w:p>
      <w:pPr>
        <w:spacing w:after="0" w:line="1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6000 Shoreline Court, Suite 300</w:t>
      </w:r>
    </w:p>
    <w:p>
      <w:pPr>
        <w:jc w:val="center"/>
        <w:spacing w:after="0" w:line="226" w:lineRule="auto"/>
        <w:rPr>
          <w:sz w:val="20"/>
          <w:szCs w:val="20"/>
          <w:color w:val="auto"/>
        </w:rPr>
      </w:pPr>
      <w:r>
        <w:rPr>
          <w:rFonts w:ascii="Arial" w:cs="Arial" w:eastAsia="Arial" w:hAnsi="Arial"/>
          <w:sz w:val="14"/>
          <w:szCs w:val="14"/>
          <w:b w:val="1"/>
          <w:bCs w:val="1"/>
          <w:color w:val="auto"/>
        </w:rPr>
        <w:t>South San Francisco, California 94080</w:t>
      </w:r>
    </w:p>
    <w:p>
      <w:pPr>
        <w:jc w:val="center"/>
        <w:spacing w:after="0" w:line="222" w:lineRule="auto"/>
        <w:rPr>
          <w:sz w:val="20"/>
          <w:szCs w:val="20"/>
          <w:color w:val="auto"/>
        </w:rPr>
      </w:pPr>
      <w:r>
        <w:rPr>
          <w:rFonts w:ascii="Arial" w:cs="Arial" w:eastAsia="Arial" w:hAnsi="Arial"/>
          <w:sz w:val="14"/>
          <w:szCs w:val="14"/>
          <w:b w:val="1"/>
          <w:bCs w:val="1"/>
          <w:color w:val="auto"/>
        </w:rPr>
        <w:t>(650) 243-6300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159385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Bonnie H. Anderson</w:t>
      </w:r>
    </w:p>
    <w:p>
      <w:pPr>
        <w:jc w:val="center"/>
        <w:spacing w:after="0" w:line="226" w:lineRule="auto"/>
        <w:rPr>
          <w:sz w:val="20"/>
          <w:szCs w:val="20"/>
          <w:color w:val="auto"/>
        </w:rPr>
      </w:pPr>
      <w:r>
        <w:rPr>
          <w:rFonts w:ascii="Arial" w:cs="Arial" w:eastAsia="Arial" w:hAnsi="Arial"/>
          <w:sz w:val="14"/>
          <w:szCs w:val="14"/>
          <w:b w:val="1"/>
          <w:bCs w:val="1"/>
          <w:color w:val="auto"/>
        </w:rPr>
        <w:t>President and Chief Executive Officer</w:t>
      </w:r>
    </w:p>
    <w:p>
      <w:pPr>
        <w:jc w:val="center"/>
        <w:spacing w:after="0" w:line="222" w:lineRule="auto"/>
        <w:rPr>
          <w:sz w:val="20"/>
          <w:szCs w:val="20"/>
          <w:color w:val="auto"/>
        </w:rPr>
      </w:pPr>
      <w:r>
        <w:rPr>
          <w:rFonts w:ascii="Arial" w:cs="Arial" w:eastAsia="Arial" w:hAnsi="Arial"/>
          <w:sz w:val="14"/>
          <w:szCs w:val="14"/>
          <w:b w:val="1"/>
          <w:bCs w:val="1"/>
          <w:color w:val="auto"/>
        </w:rPr>
        <w:t>VERACYTE, INC.</w:t>
      </w:r>
    </w:p>
    <w:p>
      <w:pPr>
        <w:jc w:val="center"/>
        <w:spacing w:after="0" w:line="221" w:lineRule="auto"/>
        <w:rPr>
          <w:sz w:val="20"/>
          <w:szCs w:val="20"/>
          <w:color w:val="auto"/>
        </w:rPr>
      </w:pPr>
      <w:r>
        <w:rPr>
          <w:rFonts w:ascii="Arial" w:cs="Arial" w:eastAsia="Arial" w:hAnsi="Arial"/>
          <w:sz w:val="14"/>
          <w:szCs w:val="14"/>
          <w:b w:val="1"/>
          <w:bCs w:val="1"/>
          <w:color w:val="auto"/>
        </w:rPr>
        <w:t>6000 Shoreline Court, Suite 300</w:t>
      </w:r>
    </w:p>
    <w:p>
      <w:pPr>
        <w:jc w:val="center"/>
        <w:spacing w:after="0" w:line="222" w:lineRule="auto"/>
        <w:rPr>
          <w:sz w:val="20"/>
          <w:szCs w:val="20"/>
          <w:color w:val="auto"/>
        </w:rPr>
      </w:pPr>
      <w:r>
        <w:rPr>
          <w:rFonts w:ascii="Arial" w:cs="Arial" w:eastAsia="Arial" w:hAnsi="Arial"/>
          <w:sz w:val="14"/>
          <w:szCs w:val="14"/>
          <w:b w:val="1"/>
          <w:bCs w:val="1"/>
          <w:color w:val="auto"/>
        </w:rPr>
        <w:t>South San Francisco, California 94080</w:t>
      </w:r>
    </w:p>
    <w:p>
      <w:pPr>
        <w:jc w:val="center"/>
        <w:spacing w:after="0" w:line="221" w:lineRule="auto"/>
        <w:rPr>
          <w:sz w:val="20"/>
          <w:szCs w:val="20"/>
          <w:color w:val="auto"/>
        </w:rPr>
      </w:pPr>
      <w:r>
        <w:rPr>
          <w:rFonts w:ascii="Arial" w:cs="Arial" w:eastAsia="Arial" w:hAnsi="Arial"/>
          <w:sz w:val="14"/>
          <w:szCs w:val="14"/>
          <w:b w:val="1"/>
          <w:bCs w:val="1"/>
          <w:color w:val="auto"/>
        </w:rPr>
        <w:t>(650) 243-6300</w:t>
      </w:r>
    </w:p>
    <w:p>
      <w:pPr>
        <w:jc w:val="center"/>
        <w:ind w:right="180"/>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159385</wp:posOffset>
            </wp:positionV>
            <wp:extent cx="18268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78" w:lineRule="exact"/>
        <w:rPr>
          <w:sz w:val="24"/>
          <w:szCs w:val="24"/>
          <w:color w:val="auto"/>
        </w:rPr>
      </w:pPr>
    </w:p>
    <w:tbl>
      <w:tblPr>
        <w:tblLayout w:type="fixed"/>
        <w:tblInd w:w="960" w:type="dxa"/>
        <w:tblCellMar>
          <w:top w:w="0" w:type="dxa"/>
          <w:left w:w="0" w:type="dxa"/>
          <w:bottom w:w="0" w:type="dxa"/>
          <w:right w:w="0" w:type="dxa"/>
        </w:tblCellMar>
      </w:tblPr>
      <w:tr>
        <w:trPr>
          <w:trHeight w:val="186"/>
        </w:trPr>
        <w:tc>
          <w:tcPr>
            <w:tcW w:w="2940" w:type="dxa"/>
            <w:vAlign w:val="bottom"/>
          </w:tcPr>
          <w:p>
            <w:pPr>
              <w:spacing w:after="0"/>
              <w:rPr>
                <w:sz w:val="16"/>
                <w:szCs w:val="16"/>
                <w:color w:val="auto"/>
              </w:rPr>
            </w:pPr>
          </w:p>
        </w:tc>
        <w:tc>
          <w:tcPr>
            <w:tcW w:w="3380" w:type="dxa"/>
            <w:vAlign w:val="bottom"/>
          </w:tcPr>
          <w:p>
            <w:pPr>
              <w:jc w:val="center"/>
              <w:ind w:left="208"/>
              <w:spacing w:after="0"/>
              <w:rPr>
                <w:sz w:val="20"/>
                <w:szCs w:val="20"/>
                <w:color w:val="auto"/>
              </w:rPr>
            </w:pPr>
            <w:r>
              <w:rPr>
                <w:rFonts w:ascii="Arial" w:cs="Arial" w:eastAsia="Arial" w:hAnsi="Arial"/>
                <w:sz w:val="14"/>
                <w:szCs w:val="14"/>
                <w:b w:val="1"/>
                <w:bCs w:val="1"/>
                <w:color w:val="auto"/>
                <w:w w:val="90"/>
              </w:rPr>
              <w:t>Copies to:</w:t>
            </w:r>
          </w:p>
        </w:tc>
        <w:tc>
          <w:tcPr>
            <w:tcW w:w="3740" w:type="dxa"/>
            <w:vAlign w:val="bottom"/>
          </w:tcPr>
          <w:p>
            <w:pPr>
              <w:spacing w:after="0"/>
              <w:rPr>
                <w:sz w:val="16"/>
                <w:szCs w:val="16"/>
                <w:color w:val="auto"/>
              </w:rPr>
            </w:pPr>
          </w:p>
        </w:tc>
      </w:tr>
      <w:tr>
        <w:trPr>
          <w:trHeight w:val="263"/>
        </w:trPr>
        <w:tc>
          <w:tcPr>
            <w:tcW w:w="2940" w:type="dxa"/>
            <w:vAlign w:val="bottom"/>
          </w:tcPr>
          <w:p>
            <w:pPr>
              <w:jc w:val="center"/>
              <w:ind w:right="648"/>
              <w:spacing w:after="0"/>
              <w:rPr>
                <w:sz w:val="20"/>
                <w:szCs w:val="20"/>
                <w:color w:val="auto"/>
              </w:rPr>
            </w:pPr>
            <w:r>
              <w:rPr>
                <w:rFonts w:ascii="Arial" w:cs="Arial" w:eastAsia="Arial" w:hAnsi="Arial"/>
                <w:sz w:val="14"/>
                <w:szCs w:val="14"/>
                <w:b w:val="1"/>
                <w:bCs w:val="1"/>
                <w:color w:val="auto"/>
                <w:w w:val="97"/>
              </w:rPr>
              <w:t>Gabriella A. Lombardi</w:t>
            </w:r>
          </w:p>
        </w:tc>
        <w:tc>
          <w:tcPr>
            <w:tcW w:w="338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Stanton D. Wong</w:t>
            </w:r>
          </w:p>
        </w:tc>
        <w:tc>
          <w:tcPr>
            <w:tcW w:w="3740" w:type="dxa"/>
            <w:vAlign w:val="bottom"/>
          </w:tcPr>
          <w:p>
            <w:pPr>
              <w:jc w:val="center"/>
              <w:ind w:left="368"/>
              <w:spacing w:after="0"/>
              <w:rPr>
                <w:sz w:val="20"/>
                <w:szCs w:val="20"/>
                <w:color w:val="auto"/>
              </w:rPr>
            </w:pPr>
            <w:r>
              <w:rPr>
                <w:rFonts w:ascii="Arial" w:cs="Arial" w:eastAsia="Arial" w:hAnsi="Arial"/>
                <w:sz w:val="14"/>
                <w:szCs w:val="14"/>
                <w:b w:val="1"/>
                <w:bCs w:val="1"/>
                <w:color w:val="auto"/>
                <w:w w:val="92"/>
              </w:rPr>
              <w:t>Julie A. Brooks</w:t>
            </w:r>
          </w:p>
        </w:tc>
      </w:tr>
      <w:tr>
        <w:trPr>
          <w:trHeight w:val="149"/>
        </w:trPr>
        <w:tc>
          <w:tcPr>
            <w:tcW w:w="2940" w:type="dxa"/>
            <w:vAlign w:val="bottom"/>
          </w:tcPr>
          <w:p>
            <w:pPr>
              <w:jc w:val="center"/>
              <w:ind w:right="648"/>
              <w:spacing w:after="0" w:line="149" w:lineRule="exact"/>
              <w:rPr>
                <w:sz w:val="20"/>
                <w:szCs w:val="20"/>
                <w:color w:val="auto"/>
              </w:rPr>
            </w:pPr>
            <w:r>
              <w:rPr>
                <w:rFonts w:ascii="Arial" w:cs="Arial" w:eastAsia="Arial" w:hAnsi="Arial"/>
                <w:sz w:val="14"/>
                <w:szCs w:val="14"/>
                <w:color w:val="auto"/>
                <w:w w:val="95"/>
              </w:rPr>
              <w:t>Pillsbury Winthrop Shaw Pittman LLP</w:t>
            </w:r>
          </w:p>
        </w:tc>
        <w:tc>
          <w:tcPr>
            <w:tcW w:w="3380" w:type="dxa"/>
            <w:vAlign w:val="bottom"/>
          </w:tcPr>
          <w:p>
            <w:pPr>
              <w:jc w:val="center"/>
              <w:ind w:left="208"/>
              <w:spacing w:after="0" w:line="149" w:lineRule="exact"/>
              <w:rPr>
                <w:sz w:val="20"/>
                <w:szCs w:val="20"/>
                <w:color w:val="auto"/>
              </w:rPr>
            </w:pPr>
            <w:r>
              <w:rPr>
                <w:rFonts w:ascii="Arial" w:cs="Arial" w:eastAsia="Arial" w:hAnsi="Arial"/>
                <w:sz w:val="14"/>
                <w:szCs w:val="14"/>
                <w:color w:val="auto"/>
                <w:w w:val="95"/>
              </w:rPr>
              <w:t>Pillsbury Winthrop Shaw Pittman LLP</w:t>
            </w:r>
          </w:p>
        </w:tc>
        <w:tc>
          <w:tcPr>
            <w:tcW w:w="3740" w:type="dxa"/>
            <w:vAlign w:val="bottom"/>
          </w:tcPr>
          <w:p>
            <w:pPr>
              <w:jc w:val="center"/>
              <w:ind w:left="368"/>
              <w:spacing w:after="0" w:line="149" w:lineRule="exact"/>
              <w:rPr>
                <w:sz w:val="20"/>
                <w:szCs w:val="20"/>
                <w:color w:val="auto"/>
              </w:rPr>
            </w:pPr>
            <w:r>
              <w:rPr>
                <w:rFonts w:ascii="Arial" w:cs="Arial" w:eastAsia="Arial" w:hAnsi="Arial"/>
                <w:sz w:val="14"/>
                <w:szCs w:val="14"/>
                <w:color w:val="auto"/>
                <w:w w:val="91"/>
              </w:rPr>
              <w:t>Executive Vice President, General Counsel and Secretary</w:t>
            </w:r>
          </w:p>
        </w:tc>
      </w:tr>
      <w:tr>
        <w:trPr>
          <w:trHeight w:val="149"/>
        </w:trPr>
        <w:tc>
          <w:tcPr>
            <w:tcW w:w="2940" w:type="dxa"/>
            <w:vAlign w:val="bottom"/>
          </w:tcPr>
          <w:p>
            <w:pPr>
              <w:jc w:val="center"/>
              <w:ind w:right="648"/>
              <w:spacing w:after="0" w:line="149" w:lineRule="exact"/>
              <w:rPr>
                <w:sz w:val="20"/>
                <w:szCs w:val="20"/>
                <w:color w:val="auto"/>
              </w:rPr>
            </w:pPr>
            <w:r>
              <w:rPr>
                <w:rFonts w:ascii="Arial" w:cs="Arial" w:eastAsia="Arial" w:hAnsi="Arial"/>
                <w:sz w:val="14"/>
                <w:szCs w:val="14"/>
                <w:color w:val="auto"/>
                <w:w w:val="91"/>
              </w:rPr>
              <w:t>2550 Hanover Street</w:t>
            </w:r>
          </w:p>
        </w:tc>
        <w:tc>
          <w:tcPr>
            <w:tcW w:w="3380" w:type="dxa"/>
            <w:vAlign w:val="bottom"/>
          </w:tcPr>
          <w:p>
            <w:pPr>
              <w:jc w:val="center"/>
              <w:ind w:left="188"/>
              <w:spacing w:after="0" w:line="149" w:lineRule="exact"/>
              <w:rPr>
                <w:sz w:val="20"/>
                <w:szCs w:val="20"/>
                <w:color w:val="auto"/>
              </w:rPr>
            </w:pPr>
            <w:r>
              <w:rPr>
                <w:rFonts w:ascii="Arial" w:cs="Arial" w:eastAsia="Arial" w:hAnsi="Arial"/>
                <w:sz w:val="14"/>
                <w:szCs w:val="14"/>
                <w:color w:val="auto"/>
                <w:w w:val="92"/>
              </w:rPr>
              <w:t>P.O. Box 2824</w:t>
            </w:r>
          </w:p>
        </w:tc>
        <w:tc>
          <w:tcPr>
            <w:tcW w:w="3740" w:type="dxa"/>
            <w:vAlign w:val="bottom"/>
          </w:tcPr>
          <w:p>
            <w:pPr>
              <w:jc w:val="center"/>
              <w:ind w:left="348"/>
              <w:spacing w:after="0" w:line="149" w:lineRule="exact"/>
              <w:rPr>
                <w:sz w:val="20"/>
                <w:szCs w:val="20"/>
                <w:color w:val="auto"/>
              </w:rPr>
            </w:pPr>
            <w:r>
              <w:rPr>
                <w:rFonts w:ascii="Arial" w:cs="Arial" w:eastAsia="Arial" w:hAnsi="Arial"/>
                <w:sz w:val="14"/>
                <w:szCs w:val="14"/>
                <w:color w:val="auto"/>
                <w:w w:val="93"/>
              </w:rPr>
              <w:t>Veracyte, Inc.</w:t>
            </w:r>
          </w:p>
        </w:tc>
      </w:tr>
      <w:tr>
        <w:trPr>
          <w:trHeight w:val="149"/>
        </w:trPr>
        <w:tc>
          <w:tcPr>
            <w:tcW w:w="2940" w:type="dxa"/>
            <w:vAlign w:val="bottom"/>
          </w:tcPr>
          <w:p>
            <w:pPr>
              <w:jc w:val="center"/>
              <w:ind w:right="668"/>
              <w:spacing w:after="0" w:line="149" w:lineRule="exact"/>
              <w:rPr>
                <w:sz w:val="20"/>
                <w:szCs w:val="20"/>
                <w:color w:val="auto"/>
              </w:rPr>
            </w:pPr>
            <w:r>
              <w:rPr>
                <w:rFonts w:ascii="Arial" w:cs="Arial" w:eastAsia="Arial" w:hAnsi="Arial"/>
                <w:sz w:val="14"/>
                <w:szCs w:val="14"/>
                <w:color w:val="auto"/>
                <w:w w:val="96"/>
              </w:rPr>
              <w:t>Palo Alto, California 94304</w:t>
            </w:r>
          </w:p>
        </w:tc>
        <w:tc>
          <w:tcPr>
            <w:tcW w:w="3380" w:type="dxa"/>
            <w:vAlign w:val="bottom"/>
          </w:tcPr>
          <w:p>
            <w:pPr>
              <w:jc w:val="center"/>
              <w:ind w:left="208"/>
              <w:spacing w:after="0" w:line="149" w:lineRule="exact"/>
              <w:rPr>
                <w:sz w:val="20"/>
                <w:szCs w:val="20"/>
                <w:color w:val="auto"/>
              </w:rPr>
            </w:pPr>
            <w:r>
              <w:rPr>
                <w:rFonts w:ascii="Arial" w:cs="Arial" w:eastAsia="Arial" w:hAnsi="Arial"/>
                <w:sz w:val="14"/>
                <w:szCs w:val="14"/>
                <w:color w:val="auto"/>
                <w:w w:val="93"/>
              </w:rPr>
              <w:t>San Francisco, California 94126</w:t>
            </w:r>
          </w:p>
        </w:tc>
        <w:tc>
          <w:tcPr>
            <w:tcW w:w="3740" w:type="dxa"/>
            <w:vAlign w:val="bottom"/>
          </w:tcPr>
          <w:p>
            <w:pPr>
              <w:jc w:val="center"/>
              <w:ind w:left="368"/>
              <w:spacing w:after="0" w:line="149" w:lineRule="exact"/>
              <w:rPr>
                <w:sz w:val="20"/>
                <w:szCs w:val="20"/>
                <w:color w:val="auto"/>
              </w:rPr>
            </w:pPr>
            <w:r>
              <w:rPr>
                <w:rFonts w:ascii="Arial" w:cs="Arial" w:eastAsia="Arial" w:hAnsi="Arial"/>
                <w:sz w:val="14"/>
                <w:szCs w:val="14"/>
                <w:color w:val="auto"/>
                <w:w w:val="93"/>
              </w:rPr>
              <w:t>6000 Shoreline Court, Suite 300</w:t>
            </w:r>
          </w:p>
        </w:tc>
      </w:tr>
      <w:tr>
        <w:trPr>
          <w:trHeight w:val="149"/>
        </w:trPr>
        <w:tc>
          <w:tcPr>
            <w:tcW w:w="2940" w:type="dxa"/>
            <w:vAlign w:val="bottom"/>
          </w:tcPr>
          <w:p>
            <w:pPr>
              <w:jc w:val="center"/>
              <w:ind w:right="648"/>
              <w:spacing w:after="0" w:line="149" w:lineRule="exact"/>
              <w:rPr>
                <w:sz w:val="20"/>
                <w:szCs w:val="20"/>
                <w:color w:val="auto"/>
              </w:rPr>
            </w:pPr>
            <w:r>
              <w:rPr>
                <w:rFonts w:ascii="Arial" w:cs="Arial" w:eastAsia="Arial" w:hAnsi="Arial"/>
                <w:sz w:val="14"/>
                <w:szCs w:val="14"/>
                <w:color w:val="auto"/>
                <w:w w:val="93"/>
              </w:rPr>
              <w:t>Telephone: (650) 233-4500</w:t>
            </w:r>
          </w:p>
        </w:tc>
        <w:tc>
          <w:tcPr>
            <w:tcW w:w="3380" w:type="dxa"/>
            <w:vAlign w:val="bottom"/>
          </w:tcPr>
          <w:p>
            <w:pPr>
              <w:jc w:val="center"/>
              <w:ind w:left="208"/>
              <w:spacing w:after="0" w:line="149" w:lineRule="exact"/>
              <w:rPr>
                <w:sz w:val="20"/>
                <w:szCs w:val="20"/>
                <w:color w:val="auto"/>
              </w:rPr>
            </w:pPr>
            <w:r>
              <w:rPr>
                <w:rFonts w:ascii="Arial" w:cs="Arial" w:eastAsia="Arial" w:hAnsi="Arial"/>
                <w:sz w:val="14"/>
                <w:szCs w:val="14"/>
                <w:color w:val="auto"/>
                <w:w w:val="93"/>
              </w:rPr>
              <w:t>Telephone: (415) 983-1000</w:t>
            </w:r>
          </w:p>
        </w:tc>
        <w:tc>
          <w:tcPr>
            <w:tcW w:w="3740" w:type="dxa"/>
            <w:vAlign w:val="bottom"/>
          </w:tcPr>
          <w:p>
            <w:pPr>
              <w:jc w:val="center"/>
              <w:ind w:left="368"/>
              <w:spacing w:after="0" w:line="149" w:lineRule="exact"/>
              <w:rPr>
                <w:sz w:val="20"/>
                <w:szCs w:val="20"/>
                <w:color w:val="auto"/>
              </w:rPr>
            </w:pPr>
            <w:r>
              <w:rPr>
                <w:rFonts w:ascii="Arial" w:cs="Arial" w:eastAsia="Arial" w:hAnsi="Arial"/>
                <w:sz w:val="14"/>
                <w:szCs w:val="14"/>
                <w:color w:val="auto"/>
                <w:w w:val="92"/>
              </w:rPr>
              <w:t>South San Francisco, California 94080</w:t>
            </w:r>
          </w:p>
        </w:tc>
      </w:tr>
      <w:tr>
        <w:trPr>
          <w:trHeight w:val="182"/>
        </w:trPr>
        <w:tc>
          <w:tcPr>
            <w:tcW w:w="2940" w:type="dxa"/>
            <w:vAlign w:val="bottom"/>
          </w:tcPr>
          <w:p>
            <w:pPr>
              <w:spacing w:after="0"/>
              <w:rPr>
                <w:sz w:val="15"/>
                <w:szCs w:val="15"/>
                <w:color w:val="auto"/>
              </w:rPr>
            </w:pPr>
          </w:p>
        </w:tc>
        <w:tc>
          <w:tcPr>
            <w:tcW w:w="3380" w:type="dxa"/>
            <w:vAlign w:val="bottom"/>
          </w:tcPr>
          <w:p>
            <w:pPr>
              <w:spacing w:after="0"/>
              <w:rPr>
                <w:sz w:val="15"/>
                <w:szCs w:val="15"/>
                <w:color w:val="auto"/>
              </w:rPr>
            </w:pPr>
          </w:p>
        </w:tc>
        <w:tc>
          <w:tcPr>
            <w:tcW w:w="3740" w:type="dxa"/>
            <w:vAlign w:val="bottom"/>
          </w:tcPr>
          <w:p>
            <w:pPr>
              <w:jc w:val="center"/>
              <w:ind w:left="368"/>
              <w:spacing w:after="0"/>
              <w:rPr>
                <w:sz w:val="20"/>
                <w:szCs w:val="20"/>
                <w:color w:val="auto"/>
              </w:rPr>
            </w:pPr>
            <w:r>
              <w:rPr>
                <w:rFonts w:ascii="Arial" w:cs="Arial" w:eastAsia="Arial" w:hAnsi="Arial"/>
                <w:sz w:val="14"/>
                <w:szCs w:val="14"/>
                <w:color w:val="auto"/>
                <w:w w:val="93"/>
              </w:rPr>
              <w:t>(650) 243-6300</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153670</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4" w:lineRule="exact"/>
        <w:rPr>
          <w:sz w:val="24"/>
          <w:szCs w:val="24"/>
          <w:color w:val="auto"/>
        </w:rPr>
      </w:pPr>
    </w:p>
    <w:p>
      <w:pPr>
        <w:ind w:left="1920"/>
        <w:spacing w:after="0"/>
        <w:rPr>
          <w:sz w:val="20"/>
          <w:szCs w:val="20"/>
          <w:color w:val="auto"/>
        </w:rPr>
      </w:pPr>
      <w:r>
        <w:rPr>
          <w:rFonts w:ascii="Arial" w:cs="Arial" w:eastAsia="Arial" w:hAnsi="Arial"/>
          <w:sz w:val="14"/>
          <w:szCs w:val="14"/>
          <w:b w:val="1"/>
          <w:bCs w:val="1"/>
          <w:color w:val="auto"/>
        </w:rPr>
        <w:t>From time to time after this registration statement becomes effective, as determined by market conditions and other factors.</w:t>
      </w:r>
    </w:p>
    <w:p>
      <w:pPr>
        <w:spacing w:after="0" w:line="124" w:lineRule="exact"/>
        <w:rPr>
          <w:sz w:val="24"/>
          <w:szCs w:val="24"/>
          <w:color w:val="auto"/>
        </w:rPr>
      </w:pPr>
    </w:p>
    <w:p>
      <w:pPr>
        <w:ind w:left="50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x</w:t>
      </w:r>
    </w:p>
    <w:p>
      <w:pPr>
        <w:spacing w:after="0" w:line="148" w:lineRule="exact"/>
        <w:rPr>
          <w:sz w:val="24"/>
          <w:szCs w:val="24"/>
          <w:color w:val="auto"/>
        </w:rPr>
      </w:pPr>
    </w:p>
    <w:p>
      <w:pPr>
        <w:ind w:right="220" w:firstLine="486"/>
        <w:spacing w:after="0" w:line="25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06" w:lineRule="exact"/>
        <w:rPr>
          <w:sz w:val="24"/>
          <w:szCs w:val="24"/>
          <w:color w:val="auto"/>
        </w:rPr>
      </w:pPr>
    </w:p>
    <w:p>
      <w:pPr>
        <w:ind w:right="240" w:firstLine="486"/>
        <w:spacing w:after="0" w:line="25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06" w:lineRule="exact"/>
        <w:rPr>
          <w:sz w:val="24"/>
          <w:szCs w:val="24"/>
          <w:color w:val="auto"/>
        </w:rPr>
      </w:pPr>
    </w:p>
    <w:p>
      <w:pPr>
        <w:ind w:right="240" w:firstLine="486"/>
        <w:spacing w:after="0" w:line="253"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06" w:lineRule="exact"/>
        <w:rPr>
          <w:sz w:val="24"/>
          <w:szCs w:val="24"/>
          <w:color w:val="auto"/>
        </w:rPr>
      </w:pPr>
    </w:p>
    <w:p>
      <w:pPr>
        <w:ind w:right="40" w:firstLine="486"/>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sectPr>
      </w:pPr>
    </w:p>
    <w:p>
      <w:pPr>
        <w:spacing w:after="0" w:line="106" w:lineRule="exact"/>
        <w:rPr>
          <w:sz w:val="24"/>
          <w:szCs w:val="24"/>
          <w:color w:val="auto"/>
        </w:rPr>
      </w:pPr>
    </w:p>
    <w:p>
      <w:pPr>
        <w:ind w:left="500"/>
        <w:spacing w:after="0"/>
        <w:rPr>
          <w:sz w:val="20"/>
          <w:szCs w:val="20"/>
          <w:color w:val="auto"/>
        </w:rPr>
      </w:pPr>
      <w:r>
        <w:rPr>
          <w:rFonts w:ascii="Arial" w:cs="Arial" w:eastAsia="Arial" w:hAnsi="Arial"/>
          <w:sz w:val="13"/>
          <w:szCs w:val="13"/>
          <w:color w:val="auto"/>
        </w:rPr>
        <w:t>Large accelerated filer o</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3"/>
          <w:szCs w:val="13"/>
          <w:color w:val="auto"/>
        </w:rPr>
        <w:t>Accelerated filer x</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jc w:val="center"/>
        <w:ind w:right="360"/>
        <w:spacing w:after="0"/>
        <w:rPr>
          <w:sz w:val="20"/>
          <w:szCs w:val="20"/>
          <w:color w:val="auto"/>
        </w:rPr>
      </w:pPr>
      <w:r>
        <w:rPr>
          <w:rFonts w:ascii="Arial" w:cs="Arial" w:eastAsia="Arial" w:hAnsi="Arial"/>
          <w:sz w:val="14"/>
          <w:szCs w:val="14"/>
          <w:color w:val="auto"/>
        </w:rPr>
        <w:t>Non-accelerated filer o</w:t>
      </w:r>
    </w:p>
    <w:p>
      <w:pPr>
        <w:jc w:val="center"/>
        <w:ind w:right="360"/>
        <w:spacing w:after="0"/>
        <w:rPr>
          <w:sz w:val="20"/>
          <w:szCs w:val="20"/>
          <w:color w:val="auto"/>
        </w:rPr>
      </w:pPr>
      <w:r>
        <w:rPr>
          <w:rFonts w:ascii="Arial" w:cs="Arial" w:eastAsia="Arial" w:hAnsi="Arial"/>
          <w:sz w:val="13"/>
          <w:szCs w:val="13"/>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86" w:lineRule="exact"/>
        <w:rPr>
          <w:sz w:val="24"/>
          <w:szCs w:val="24"/>
          <w:color w:val="auto"/>
        </w:rPr>
      </w:pPr>
    </w:p>
    <w:p>
      <w:pPr>
        <w:spacing w:after="0"/>
        <w:rPr>
          <w:sz w:val="20"/>
          <w:szCs w:val="20"/>
          <w:color w:val="auto"/>
        </w:rPr>
      </w:pPr>
      <w:r>
        <w:rPr>
          <w:rFonts w:ascii="Arial" w:cs="Arial" w:eastAsia="Arial" w:hAnsi="Arial"/>
          <w:sz w:val="13"/>
          <w:szCs w:val="13"/>
          <w:color w:val="auto"/>
        </w:rPr>
        <w:t>Smaller reporting company o</w:t>
      </w:r>
    </w:p>
    <w:p>
      <w:pPr>
        <w:spacing w:after="0" w:line="292" w:lineRule="exact"/>
        <w:rPr>
          <w:sz w:val="24"/>
          <w:szCs w:val="24"/>
          <w:color w:val="auto"/>
        </w:rPr>
      </w:pPr>
    </w:p>
    <w:p>
      <w:pPr>
        <w:sectPr>
          <w:pgSz w:w="11900" w:h="16838" w:orient="portrait"/>
          <w:cols w:equalWidth="0" w:num="4">
            <w:col w:w="2560" w:space="720"/>
            <w:col w:w="1540" w:space="720"/>
            <w:col w:w="3040" w:space="720"/>
            <w:col w:w="2120"/>
          </w:cols>
          <w:pgMar w:left="240" w:top="233" w:right="239" w:bottom="0" w:gutter="0" w:footer="0" w:header="0"/>
          <w:type w:val="continuous"/>
        </w:sectPr>
      </w:pPr>
    </w:p>
    <w:p>
      <w:pPr>
        <w:ind w:left="260"/>
        <w:spacing w:after="0"/>
        <w:rPr>
          <w:sz w:val="20"/>
          <w:szCs w:val="20"/>
          <w:color w:val="auto"/>
        </w:rPr>
      </w:pPr>
      <w:r>
        <w:rPr>
          <w:rFonts w:ascii="Arial" w:cs="Arial" w:eastAsia="Arial" w:hAnsi="Arial"/>
          <w:sz w:val="14"/>
          <w:szCs w:val="14"/>
          <w:b w:val="1"/>
          <w:bCs w:val="1"/>
          <w:color w:val="auto"/>
        </w:rPr>
        <w:t>This filing constitutes a post-effective amendment to the registration statement on Form S-3 (File No. 333-204368), which was declared effective on June 5, 2015.</w:t>
      </w:r>
    </w:p>
    <w:p>
      <w:pPr>
        <w:spacing w:after="0" w:line="136" w:lineRule="exact"/>
        <w:rPr>
          <w:sz w:val="24"/>
          <w:szCs w:val="24"/>
          <w:color w:val="auto"/>
        </w:rPr>
      </w:pPr>
    </w:p>
    <w:p>
      <w:pPr>
        <w:ind w:right="180" w:firstLine="243"/>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128270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365760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EXPLANATORY NOTE</w:t>
      </w:r>
    </w:p>
    <w:p>
      <w:pPr>
        <w:sectPr>
          <w:pgSz w:w="11900" w:h="16838" w:orient="portrait"/>
          <w:cols w:equalWidth="0" w:num="1">
            <w:col w:w="11420"/>
          </w:cols>
          <w:pgMar w:left="240" w:top="233" w:right="239" w:bottom="0" w:gutter="0" w:footer="0" w:header="0"/>
          <w:type w:val="continuous"/>
        </w:sectPr>
      </w:pPr>
    </w:p>
    <w:bookmarkStart w:id="1" w:name="page2"/>
    <w:bookmarkEnd w:id="1"/>
    <w:p>
      <w:pPr>
        <w:ind w:right="100" w:firstLine="648"/>
        <w:spacing w:after="0" w:line="297" w:lineRule="auto"/>
        <w:rPr>
          <w:sz w:val="20"/>
          <w:szCs w:val="20"/>
          <w:color w:val="auto"/>
        </w:rPr>
      </w:pPr>
      <w:r>
        <w:rPr>
          <w:rFonts w:ascii="Arial" w:cs="Arial" w:eastAsia="Arial" w:hAnsi="Arial"/>
          <w:sz w:val="16"/>
          <w:szCs w:val="16"/>
          <w:color w:val="auto"/>
        </w:rPr>
        <w:t>We initially registered on Form S-3 (File No. 333-204368) for resale by the selling stockholders identified in the prospectus the offer and sale of up to 4,907,975 shares of our common stock. Due to the late filing of our Annual Report on Form 10-K for the year ended December 31, 2014 and our Quarterly Reports on Form 10-Q for the quarters ended March 31, 2015 and June 30, 2015, under applicable Securities and Exchange Commission rules, we no longer qualify for the use of a registration statement on Form S-3. To assure that the shares of our common stock held by the selling stockholders may be sold pursuant to an effective registration statement, we have filed this post-effective amendment on Form S-1 to the registration statement described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FF4040"/>
        </w:rPr>
        <w:t>The information in this prospectus is not complete and may be changed. The selling stockholders may not sell these securities until the registration statement filed with Securities and Exchange Commission is effective. This prospectus is not an offer to sell these securities and is not soliciting an offer to buy these securities in any state where the offer or sale is not permitted.</w:t>
      </w:r>
    </w:p>
    <w:p>
      <w:pPr>
        <w:spacing w:after="0" w:line="1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FF4040"/>
        </w:rPr>
        <w:t>Subject to Completion, Dated March 14,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4,907,975 Shares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selling stockholders identified in this prospectus may sell up to an aggregate of 4,907,975 shares of our common stock.</w:t>
      </w:r>
    </w:p>
    <w:p>
      <w:pPr>
        <w:spacing w:after="0" w:line="22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Our registration of the shares of our common stock covered by this prospectus does not mean that the selling stockholders will offer or sell any of the shares of our common stock. The selling stockholders may sell the shares of our common stock covered by this prospectus in a number of different ways and at varying prices. For additional information on the possible methods of sale that may be used by the selling stockholders, you should refer to the information under the heading “Plan of Distribution” on page 4 of this prospectus. We will not receive any of the proceeds from the sale of the shares of our common stock by the selling stockholders.</w:t>
      </w:r>
    </w:p>
    <w:p>
      <w:pPr>
        <w:spacing w:after="0" w:line="188" w:lineRule="exact"/>
        <w:rPr>
          <w:sz w:val="20"/>
          <w:szCs w:val="20"/>
          <w:color w:val="auto"/>
        </w:rPr>
      </w:pPr>
    </w:p>
    <w:p>
      <w:pPr>
        <w:ind w:right="440" w:firstLine="648"/>
        <w:spacing w:after="0" w:line="277" w:lineRule="auto"/>
        <w:rPr>
          <w:sz w:val="20"/>
          <w:szCs w:val="20"/>
          <w:color w:val="auto"/>
        </w:rPr>
      </w:pPr>
      <w:r>
        <w:rPr>
          <w:rFonts w:ascii="Arial" w:cs="Arial" w:eastAsia="Arial" w:hAnsi="Arial"/>
          <w:sz w:val="18"/>
          <w:szCs w:val="18"/>
          <w:color w:val="auto"/>
        </w:rPr>
        <w:t>Our common stock is listed on The NASDAQ Global Market under the symbol “VCYT.” On March 14, 2016, the last reported sale price of our common stock on The NASDAQ Global Market was $5.61 per share.</w:t>
      </w:r>
    </w:p>
    <w:p>
      <w:pPr>
        <w:spacing w:after="0" w:line="157" w:lineRule="exact"/>
        <w:rPr>
          <w:sz w:val="20"/>
          <w:szCs w:val="20"/>
          <w:color w:val="auto"/>
        </w:rPr>
      </w:pPr>
    </w:p>
    <w:p>
      <w:pPr>
        <w:ind w:right="560" w:firstLine="648"/>
        <w:spacing w:after="0" w:line="335" w:lineRule="auto"/>
        <w:rPr>
          <w:sz w:val="20"/>
          <w:szCs w:val="20"/>
          <w:color w:val="auto"/>
        </w:rPr>
      </w:pPr>
      <w:r>
        <w:rPr>
          <w:rFonts w:ascii="Arial" w:cs="Arial" w:eastAsia="Arial" w:hAnsi="Arial"/>
          <w:sz w:val="19"/>
          <w:szCs w:val="19"/>
          <w:b w:val="1"/>
          <w:bCs w:val="1"/>
          <w:color w:val="auto"/>
        </w:rPr>
        <w:t>Investing in our securities involves risks. See the section entitled “Risk Factors” beginning on page 2 and in the documents we incorporate by reference in this prospectus before making your investment decision.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144780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27" w:lineRule="exact"/>
        <w:rPr>
          <w:sz w:val="20"/>
          <w:szCs w:val="20"/>
          <w:color w:val="auto"/>
        </w:rPr>
      </w:pPr>
    </w:p>
    <w:p>
      <w:pPr>
        <w:ind w:right="380" w:firstLine="648"/>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168275</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900" w:type="dxa"/>
            <w:vAlign w:val="bottom"/>
          </w:tcPr>
          <w:p>
            <w:pPr>
              <w:ind w:left="1220"/>
              <w:spacing w:after="0"/>
              <w:rPr>
                <w:sz w:val="20"/>
                <w:szCs w:val="20"/>
                <w:color w:val="auto"/>
              </w:rPr>
            </w:pPr>
            <w:r>
              <w:rPr>
                <w:rFonts w:ascii="Arial" w:cs="Arial" w:eastAsia="Arial" w:hAnsi="Arial"/>
                <w:sz w:val="18"/>
                <w:szCs w:val="18"/>
                <w:color w:val="auto"/>
              </w:rPr>
              <w:t>The date of this prospectus is</w:t>
            </w:r>
          </w:p>
        </w:tc>
        <w:tc>
          <w:tcPr>
            <w:tcW w:w="3620" w:type="dxa"/>
            <w:vAlign w:val="bottom"/>
          </w:tcPr>
          <w:p>
            <w:pPr>
              <w:jc w:val="right"/>
              <w:ind w:right="2990"/>
              <w:spacing w:after="0"/>
              <w:rPr>
                <w:sz w:val="20"/>
                <w:szCs w:val="20"/>
                <w:color w:val="auto"/>
              </w:rPr>
            </w:pPr>
            <w:r>
              <w:rPr>
                <w:rFonts w:ascii="Arial" w:cs="Arial" w:eastAsia="Arial" w:hAnsi="Arial"/>
                <w:sz w:val="18"/>
                <w:szCs w:val="18"/>
                <w:color w:val="auto"/>
              </w:rPr>
              <w:t>, 2016</w:t>
            </w:r>
          </w:p>
        </w:tc>
        <w:tc>
          <w:tcPr>
            <w:tcW w:w="10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348"/>
        </w:trPr>
        <w:tc>
          <w:tcPr>
            <w:tcW w:w="56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3900" w:type="dxa"/>
            <w:vAlign w:val="bottom"/>
            <w:tcBorders>
              <w:bottom w:val="single" w:sz="8" w:color="808080"/>
            </w:tcBorders>
          </w:tcPr>
          <w:p>
            <w:pPr>
              <w:spacing w:after="0"/>
              <w:rPr>
                <w:sz w:val="24"/>
                <w:szCs w:val="24"/>
                <w:color w:val="auto"/>
              </w:rPr>
            </w:pPr>
          </w:p>
        </w:tc>
        <w:tc>
          <w:tcPr>
            <w:tcW w:w="3620" w:type="dxa"/>
            <w:vAlign w:val="bottom"/>
            <w:tcBorders>
              <w:bottom w:val="single" w:sz="8" w:color="808080"/>
            </w:tcBorders>
          </w:tcPr>
          <w:p>
            <w:pPr>
              <w:spacing w:after="0"/>
              <w:rPr>
                <w:sz w:val="24"/>
                <w:szCs w:val="24"/>
                <w:color w:val="auto"/>
              </w:rPr>
            </w:pPr>
          </w:p>
        </w:tc>
        <w:tc>
          <w:tcPr>
            <w:tcW w:w="1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523"/>
        </w:trPr>
        <w:tc>
          <w:tcPr>
            <w:tcW w:w="6780" w:type="dxa"/>
            <w:vAlign w:val="bottom"/>
            <w:gridSpan w:val="11"/>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56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00" w:type="dxa"/>
            <w:vAlign w:val="bottom"/>
          </w:tcPr>
          <w:p>
            <w:pPr>
              <w:ind w:left="1880"/>
              <w:spacing w:after="0"/>
              <w:rPr>
                <w:sz w:val="20"/>
                <w:szCs w:val="20"/>
                <w:color w:val="auto"/>
              </w:rPr>
            </w:pPr>
            <w:r>
              <w:rPr>
                <w:rFonts w:ascii="Arial" w:cs="Arial" w:eastAsia="Arial" w:hAnsi="Arial"/>
                <w:sz w:val="18"/>
                <w:szCs w:val="18"/>
                <w:b w:val="1"/>
                <w:bCs w:val="1"/>
                <w:color w:val="auto"/>
              </w:rPr>
              <w:t>TABLE OF CONTENTS</w:t>
            </w:r>
          </w:p>
        </w:tc>
        <w:tc>
          <w:tcPr>
            <w:tcW w:w="36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10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24"/>
                <w:szCs w:val="24"/>
                <w:color w:val="auto"/>
              </w:rPr>
            </w:pPr>
          </w:p>
        </w:tc>
      </w:tr>
      <w:tr>
        <w:trPr>
          <w:trHeight w:val="385"/>
        </w:trPr>
        <w:tc>
          <w:tcPr>
            <w:tcW w:w="92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Risk Factors</w:t>
              </w:r>
            </w:hyperlink>
          </w:p>
        </w:tc>
        <w:tc>
          <w:tcPr>
            <w:tcW w:w="5860" w:type="dxa"/>
            <w:vAlign w:val="bottom"/>
            <w:gridSpan w:val="9"/>
          </w:tcPr>
          <w:p>
            <w:pPr>
              <w:spacing w:after="0"/>
              <w:rPr>
                <w:sz w:val="24"/>
                <w:szCs w:val="24"/>
                <w:color w:val="auto"/>
              </w:rPr>
            </w:pPr>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412"/>
        </w:trPr>
        <w:tc>
          <w:tcPr>
            <w:tcW w:w="678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Veracyte, Inc.</w:t>
              </w:r>
            </w:hyperlink>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5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r>
      <w:tr>
        <w:trPr>
          <w:trHeight w:val="412"/>
        </w:trPr>
        <w:tc>
          <w:tcPr>
            <w:tcW w:w="6780" w:type="dxa"/>
            <w:vAlign w:val="bottom"/>
            <w:gridSpan w:val="1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412"/>
        </w:trPr>
        <w:tc>
          <w:tcPr>
            <w:tcW w:w="11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Use of Proceeds</w:t>
              </w:r>
            </w:hyperlink>
          </w:p>
        </w:tc>
        <w:tc>
          <w:tcPr>
            <w:tcW w:w="940" w:type="dxa"/>
            <w:vAlign w:val="bottom"/>
            <w:tcBorders>
              <w:top w:val="single" w:sz="8" w:color="0000EE"/>
            </w:tcBorders>
            <w:gridSpan w:val="4"/>
          </w:tcPr>
          <w:p>
            <w:pPr>
              <w:spacing w:after="0"/>
              <w:rPr>
                <w:sz w:val="24"/>
                <w:szCs w:val="24"/>
                <w:color w:val="auto"/>
              </w:rPr>
            </w:pPr>
          </w:p>
        </w:tc>
        <w:tc>
          <w:tcPr>
            <w:tcW w:w="4660" w:type="dxa"/>
            <w:vAlign w:val="bottom"/>
            <w:gridSpan w:val="2"/>
          </w:tcPr>
          <w:p>
            <w:pPr>
              <w:spacing w:after="0"/>
              <w:rPr>
                <w:sz w:val="24"/>
                <w:szCs w:val="24"/>
                <w:color w:val="auto"/>
              </w:rPr>
            </w:pPr>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r>
      <w:tr>
        <w:trPr>
          <w:trHeight w:val="412"/>
        </w:trPr>
        <w:tc>
          <w:tcPr>
            <w:tcW w:w="6780" w:type="dxa"/>
            <w:vAlign w:val="bottom"/>
            <w:gridSpan w:val="11"/>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Selling Stockholders</w:t>
              </w:r>
            </w:hyperlink>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3</w:t>
            </w:r>
          </w:p>
        </w:tc>
      </w:tr>
      <w:tr>
        <w:trPr>
          <w:trHeight w:val="412"/>
        </w:trPr>
        <w:tc>
          <w:tcPr>
            <w:tcW w:w="1440" w:type="dxa"/>
            <w:vAlign w:val="bottom"/>
            <w:tcBorders>
              <w:top w:val="single" w:sz="8" w:color="0000EE"/>
              <w:bottom w:val="single" w:sz="8" w:color="0000EE"/>
            </w:tcBorders>
            <w:gridSpan w:val="7"/>
          </w:tcPr>
          <w:p>
            <w:pPr>
              <w:spacing w:after="0"/>
              <w:rPr>
                <w:rFonts w:ascii="Arial" w:cs="Arial" w:eastAsia="Arial" w:hAnsi="Arial"/>
                <w:sz w:val="18"/>
                <w:szCs w:val="18"/>
                <w:color w:val="0000EE"/>
                <w:w w:val="93"/>
              </w:rPr>
            </w:pPr>
            <w:hyperlink w:anchor="page5">
              <w:r>
                <w:rPr>
                  <w:rFonts w:ascii="Arial" w:cs="Arial" w:eastAsia="Arial" w:hAnsi="Arial"/>
                  <w:sz w:val="18"/>
                  <w:szCs w:val="18"/>
                  <w:color w:val="0000EE"/>
                  <w:w w:val="93"/>
                </w:rPr>
                <w:t>Plan of Distribution</w:t>
              </w:r>
            </w:hyperlink>
          </w:p>
        </w:tc>
        <w:tc>
          <w:tcPr>
            <w:tcW w:w="60" w:type="dxa"/>
            <w:vAlign w:val="bottom"/>
            <w:tcBorders>
              <w:top w:val="single" w:sz="8" w:color="0000EE"/>
            </w:tcBorders>
          </w:tcPr>
          <w:p>
            <w:pPr>
              <w:spacing w:after="0"/>
              <w:rPr>
                <w:sz w:val="24"/>
                <w:szCs w:val="24"/>
                <w:color w:val="auto"/>
              </w:rPr>
            </w:pPr>
          </w:p>
        </w:tc>
        <w:tc>
          <w:tcPr>
            <w:tcW w:w="5280" w:type="dxa"/>
            <w:vAlign w:val="bottom"/>
            <w:gridSpan w:val="3"/>
          </w:tcPr>
          <w:p>
            <w:pPr>
              <w:spacing w:after="0"/>
              <w:rPr>
                <w:sz w:val="24"/>
                <w:szCs w:val="24"/>
                <w:color w:val="auto"/>
              </w:rPr>
            </w:pPr>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4</w:t>
            </w:r>
          </w:p>
        </w:tc>
      </w:tr>
      <w:tr>
        <w:trPr>
          <w:trHeight w:val="412"/>
        </w:trPr>
        <w:tc>
          <w:tcPr>
            <w:tcW w:w="102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Legal Matters</w:t>
              </w:r>
            </w:hyperlink>
          </w:p>
        </w:tc>
        <w:tc>
          <w:tcPr>
            <w:tcW w:w="5760" w:type="dxa"/>
            <w:vAlign w:val="bottom"/>
            <w:gridSpan w:val="7"/>
          </w:tcPr>
          <w:p>
            <w:pPr>
              <w:spacing w:after="0"/>
              <w:rPr>
                <w:sz w:val="24"/>
                <w:szCs w:val="24"/>
                <w:color w:val="auto"/>
              </w:rPr>
            </w:pPr>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r>
      <w:tr>
        <w:trPr>
          <w:trHeight w:val="412"/>
        </w:trPr>
        <w:tc>
          <w:tcPr>
            <w:tcW w:w="560" w:type="dxa"/>
            <w:vAlign w:val="bottom"/>
            <w:tcBorders>
              <w:bottom w:val="single" w:sz="8" w:color="0000EE"/>
            </w:tcBorders>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Experts</w:t>
              </w:r>
            </w:hyperlink>
          </w:p>
        </w:tc>
        <w:tc>
          <w:tcPr>
            <w:tcW w:w="6220" w:type="dxa"/>
            <w:vAlign w:val="bottom"/>
            <w:gridSpan w:val="10"/>
          </w:tcPr>
          <w:p>
            <w:pPr>
              <w:spacing w:after="0"/>
              <w:rPr>
                <w:sz w:val="24"/>
                <w:szCs w:val="24"/>
                <w:color w:val="auto"/>
              </w:rPr>
            </w:pPr>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r>
      <w:tr>
        <w:trPr>
          <w:trHeight w:val="412"/>
        </w:trPr>
        <w:tc>
          <w:tcPr>
            <w:tcW w:w="288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6">
              <w:r>
                <w:rPr>
                  <w:rFonts w:ascii="Arial" w:cs="Arial" w:eastAsia="Arial" w:hAnsi="Arial"/>
                  <w:sz w:val="18"/>
                  <w:szCs w:val="18"/>
                  <w:color w:val="0000EE"/>
                  <w:w w:val="92"/>
                </w:rPr>
                <w:t>Where You Can Find More Information</w:t>
              </w:r>
            </w:hyperlink>
          </w:p>
        </w:tc>
        <w:tc>
          <w:tcPr>
            <w:tcW w:w="3900" w:type="dxa"/>
            <w:vAlign w:val="bottom"/>
          </w:tcPr>
          <w:p>
            <w:pPr>
              <w:spacing w:after="0"/>
              <w:rPr>
                <w:sz w:val="24"/>
                <w:szCs w:val="24"/>
                <w:color w:val="auto"/>
              </w:rPr>
            </w:pPr>
          </w:p>
        </w:tc>
        <w:tc>
          <w:tcPr>
            <w:tcW w:w="4680" w:type="dxa"/>
            <w:vAlign w:val="bottom"/>
            <w:gridSpan w:val="3"/>
          </w:tcPr>
          <w:p>
            <w:pPr>
              <w:jc w:val="right"/>
              <w:ind w:right="40"/>
              <w:spacing w:after="0"/>
              <w:rPr>
                <w:sz w:val="20"/>
                <w:szCs w:val="20"/>
                <w:color w:val="auto"/>
              </w:rPr>
            </w:pPr>
            <w:r>
              <w:rPr>
                <w:rFonts w:ascii="Arial" w:cs="Arial" w:eastAsia="Arial" w:hAnsi="Arial"/>
                <w:sz w:val="18"/>
                <w:szCs w:val="18"/>
                <w:color w:val="auto"/>
              </w:rPr>
              <w:t>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-3354705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-3354705</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2" w:name="page3"/>
    <w:bookmarkEnd w:id="2"/>
    <w:p>
      <w:pPr>
        <w:ind w:right="60" w:firstLine="64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2867660</wp:posOffset>
            </wp:positionH>
            <wp:positionV relativeFrom="page">
              <wp:posOffset>294640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t>We have not authorized anyone to provide any information other than that contained or incorporated by reference in this prospectus, any applicable prospectus supplement or any free writing prospectus prepared by or on behalf of us or to which we have referred you. We take no responsibility for, and can provide no assurance as to the reliability of, any other information that others may give you. We are not making an offer to sell these securities in any jurisdiction where the offer or sale is not permitted. You should assume that the information in this prospectus and any prospectus supplement, or incorporated by reference, is accurate only as of the dates of those documents.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200025</wp:posOffset>
            </wp:positionV>
            <wp:extent cx="18268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Unless the context otherwise requires, references in this prospectus to “Veracyte,” the “company,” “we,” “us” and “our” refer to Veracyte, Inc. and its subsidiaries.</w:t>
      </w:r>
    </w:p>
    <w:p>
      <w:pPr>
        <w:spacing w:after="0" w:line="170"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Veracyte, Afirma, Percepta, the Veracyte logo and the Afirma logo are our trademarks or registered trademarks. This prospectus and the documents incorporated by reference into this prospectus may also contain trademarks and trade names that are the property of their respective owners. We do not intend our use or display of other companies’ trade names, trademarks or service marks to imply relationships with, or endorsements or sponsorship of us by, these other companies.</w:t>
      </w:r>
    </w:p>
    <w:p>
      <w:pPr>
        <w:spacing w:after="0" w:line="187"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When we refer to the selling stockholders in this prospectus, we are referring to the stockholders identified in the table under the heading “Selling Stockholders” herein as well as their donees, pledgees, transferees or other successors-in-interest that received shares of our common stock after the date of this prospectus from the selling stockholders pursuant to a gift, a pledge, a partnership distribution or other transfer (other than a public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Investing in our common stock involves risk. Prior to making a decision about investing in our common stock, you should carefully consider all of the information appearing or incorporated by reference in this prospectus, including the risk factors incorporated by reference to our most recent Annual Report on Form 10-K, Quarterly Reports on Form 10-Q and Current Reports on Form 8-K. The occurrence of any of these risks or additional risks and uncertainties that are not currently known to us or that we currently consider immaterial may cause you to lose all or part of your investment in our common stock.</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are a molecular diagnostics company that uses novel genomics to resolve the critical healthcare problem of diagnostic ambiguity. We believe that diagnostic ambiguity results in hundreds of thousands of patients undergoing unnecessary, invasive procedures and wasting billions of healthcare dollars each year. We target diseases in which large numbers of patients undergo invasive and costly diagnostic procedures that could be avoided with a more accurate diagnosis from a cytology sample taken preoperatively. By improving diagnosis preoperatively, we help patients avoid such unnecessary invasive procedures and surgeries while reducing healthcare costs. Our first commercial solution, the Afirma Thyroid FNA Analysis, was launched in 2011 for use in thyroid cancer diagnosis, and we launched the Percepta Bronchial Genomic Classifier, designed to improve the preoperative diagnosis of lung cancer, in April 2015. We plan to expand our footprint in pulmonology with the launch of a product designed to preoperatively identify idiopathic pulmonary fibrosis, among patients presenting with a suspected interstitial lung disease, in the fourth quarter of 2016.</w:t>
      </w:r>
    </w:p>
    <w:p>
      <w:pPr>
        <w:spacing w:after="0" w:line="179"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color w:val="auto"/>
        </w:rPr>
        <w:t>We were incorporated in Delaware as Calderome, Inc. in August 2006. Calderome operated as an incubator until early 2008. We changed our name to Veracyte, Inc. in March 2008. Our principal executive offices are located at 6000 Shoreline Court, Suite 300, South San Francisco, California 94080 and our telephone number is (650) 243-6300. Our website address is www.veracyte.com. We do not incorporate the information on, or accessible through, our website into this prospectus, and you should not consider any information on, or accessible through, our website as part of this prospectus.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When used in this prospectus, the words “expects,” “believes,” “anticipates,” “estimates,” “may,” “could,” “intends,” and similar expressions are intended to identify forward-looking statements. These statements are subject to known and unknown risks and uncertainties that could cause actual results to differ materially from those projected or otherwise implied by the forward-looking statements. These forward-looking statements speak only as of the date of this prospectus. Given these risks and uncertainties, you should not place undue reliance on these forward-looking statements. We will discuss many of these risks and uncertainties in greater detail in any prospectus supplement under the heading “Risk Factors.” Additional cautionary statements or discussions of risks and uncertainties that could affect our results or the achievement of the expectations described in forward-looking statements may also be contained in the documents we incorporate by reference into this prospectus.</w:t>
      </w:r>
    </w:p>
    <w:p>
      <w:pPr>
        <w:spacing w:after="0" w:line="178" w:lineRule="exact"/>
        <w:rPr>
          <w:sz w:val="20"/>
          <w:szCs w:val="20"/>
          <w:color w:val="auto"/>
        </w:rPr>
      </w:pPr>
    </w:p>
    <w:p>
      <w:pPr>
        <w:ind w:right="360" w:firstLine="648"/>
        <w:spacing w:after="0" w:line="279" w:lineRule="auto"/>
        <w:rPr>
          <w:sz w:val="20"/>
          <w:szCs w:val="20"/>
          <w:color w:val="auto"/>
        </w:rPr>
      </w:pPr>
      <w:r>
        <w:rPr>
          <w:rFonts w:ascii="Arial" w:cs="Arial" w:eastAsia="Arial" w:hAnsi="Arial"/>
          <w:sz w:val="17"/>
          <w:szCs w:val="17"/>
          <w:color w:val="auto"/>
        </w:rPr>
        <w:t>These forward-looking statements speak only as of the date of this prospectus. We expressly disclaim any obligation or undertaking to release publicly any updates or revisions to any forward-looking statements contained herein to reflect any change in our expectations with regard thereto or any change in events, conditions or circumstances on which any such statement is based. You should, however, review additional disclosures we make in our Annual Report on Form 10-K, Quarterly Reports on Form 10-Q, and Current Reports on Form 8-K filed with the SEC.</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We will not receive any proceeds from the sale of the shares by the selling stockholders. All proceeds from the sale of the shares will be for the accounts of the selling stockholders. See “Selling Stockholders” and “Plan of Distribution.”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787" w:right="239" w:bottom="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STOCKHOLDERS</w:t>
      </w:r>
    </w:p>
    <w:p>
      <w:pPr>
        <w:spacing w:after="0" w:line="229" w:lineRule="exact"/>
        <w:rPr>
          <w:sz w:val="20"/>
          <w:szCs w:val="20"/>
          <w:color w:val="auto"/>
        </w:rPr>
      </w:pPr>
    </w:p>
    <w:p>
      <w:pPr>
        <w:ind w:right="320" w:firstLine="648"/>
        <w:spacing w:after="0" w:line="264" w:lineRule="auto"/>
        <w:rPr>
          <w:sz w:val="20"/>
          <w:szCs w:val="20"/>
          <w:color w:val="auto"/>
        </w:rPr>
      </w:pPr>
      <w:r>
        <w:rPr>
          <w:rFonts w:ascii="Arial" w:cs="Arial" w:eastAsia="Arial" w:hAnsi="Arial"/>
          <w:sz w:val="18"/>
          <w:szCs w:val="18"/>
          <w:color w:val="auto"/>
        </w:rPr>
        <w:t>On April 28, 2015, we sold to the selling stockholders 4,907,975 shares of our common stock in a private placement, pursuant to a securities purchase agreement with the selling stockholders. The registration statement to which this prospectus relates is being filed pursuant to a registration rights agreement we entered into with the selling stockholders.</w:t>
      </w:r>
    </w:p>
    <w:p>
      <w:pPr>
        <w:spacing w:after="0" w:line="18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following table sets forth, to our knowledge, certain information as of March 7, 2016 regarding the beneficial ownership of our common stock by the selling stockholders and the shares being offered by the selling stockholders. Unless otherwise indicated, information with respect to beneficial ownership is based upon information obtained from the selling stockholders as of March 11, 2016. Information with respect to shares owned beneficially after the offering assumes the sale of all of the shares offered and no other purchases or sales of our common stock. The selling stockholders may offer and sell some, all or none of their shares.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60" w:type="dxa"/>
            <w:vAlign w:val="bottom"/>
            <w:gridSpan w:val="4"/>
          </w:tcPr>
          <w:p>
            <w:pPr>
              <w:jc w:val="center"/>
              <w:ind w:left="196"/>
              <w:spacing w:after="0"/>
              <w:rPr>
                <w:sz w:val="20"/>
                <w:szCs w:val="20"/>
                <w:color w:val="auto"/>
              </w:rPr>
            </w:pPr>
            <w:r>
              <w:rPr>
                <w:rFonts w:ascii="Arial" w:cs="Arial" w:eastAsia="Arial" w:hAnsi="Arial"/>
                <w:sz w:val="14"/>
                <w:szCs w:val="14"/>
                <w:b w:val="1"/>
                <w:bCs w:val="1"/>
                <w:color w:val="auto"/>
                <w:w w:val="91"/>
              </w:rPr>
              <w:t>Shares Beneficially</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Shares</w:t>
            </w:r>
          </w:p>
        </w:tc>
        <w:tc>
          <w:tcPr>
            <w:tcW w:w="2720" w:type="dxa"/>
            <w:vAlign w:val="bottom"/>
            <w:gridSpan w:val="4"/>
            <w:vMerge w:val="restart"/>
          </w:tcPr>
          <w:p>
            <w:pPr>
              <w:jc w:val="right"/>
              <w:ind w:right="860"/>
              <w:spacing w:after="0"/>
              <w:rPr>
                <w:sz w:val="20"/>
                <w:szCs w:val="20"/>
                <w:color w:val="auto"/>
              </w:rPr>
            </w:pPr>
            <w:r>
              <w:rPr>
                <w:rFonts w:ascii="Arial" w:cs="Arial" w:eastAsia="Arial" w:hAnsi="Arial"/>
                <w:sz w:val="14"/>
                <w:szCs w:val="14"/>
                <w:b w:val="1"/>
                <w:bCs w:val="1"/>
                <w:color w:val="auto"/>
              </w:rPr>
              <w:t>Shares Beneficially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20" w:type="dxa"/>
            <w:vAlign w:val="bottom"/>
            <w:gridSpan w:val="3"/>
          </w:tcPr>
          <w:p>
            <w:pPr>
              <w:jc w:val="center"/>
              <w:ind w:left="856"/>
              <w:spacing w:after="0" w:line="149" w:lineRule="exact"/>
              <w:rPr>
                <w:sz w:val="20"/>
                <w:szCs w:val="20"/>
                <w:color w:val="auto"/>
              </w:rPr>
            </w:pPr>
            <w:r>
              <w:rPr>
                <w:rFonts w:ascii="Arial" w:cs="Arial" w:eastAsia="Arial" w:hAnsi="Arial"/>
                <w:sz w:val="14"/>
                <w:szCs w:val="14"/>
                <w:b w:val="1"/>
                <w:bCs w:val="1"/>
                <w:color w:val="auto"/>
                <w:w w:val="94"/>
              </w:rPr>
              <w:t>Owned</w:t>
            </w: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Being</w:t>
            </w:r>
          </w:p>
        </w:tc>
        <w:tc>
          <w:tcPr>
            <w:tcW w:w="27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4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Address</w:t>
            </w:r>
          </w:p>
        </w:tc>
        <w:tc>
          <w:tcPr>
            <w:tcW w:w="2260" w:type="dxa"/>
            <w:vAlign w:val="bottom"/>
            <w:gridSpan w:val="4"/>
          </w:tcPr>
          <w:p>
            <w:pPr>
              <w:jc w:val="center"/>
              <w:ind w:left="196"/>
              <w:spacing w:after="0"/>
              <w:rPr>
                <w:sz w:val="20"/>
                <w:szCs w:val="20"/>
                <w:color w:val="auto"/>
              </w:rPr>
            </w:pPr>
            <w:r>
              <w:rPr>
                <w:rFonts w:ascii="Arial" w:cs="Arial" w:eastAsia="Arial" w:hAnsi="Arial"/>
                <w:sz w:val="14"/>
                <w:szCs w:val="14"/>
                <w:b w:val="1"/>
                <w:bCs w:val="1"/>
                <w:color w:val="auto"/>
                <w:w w:val="96"/>
              </w:rPr>
              <w:t>Prior to Offering(1)(2)</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Offered</w:t>
            </w:r>
          </w:p>
        </w:tc>
        <w:tc>
          <w:tcPr>
            <w:tcW w:w="27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Owned After Offering(1)</w:t>
            </w:r>
          </w:p>
        </w:tc>
        <w:tc>
          <w:tcPr>
            <w:tcW w:w="0" w:type="dxa"/>
            <w:vAlign w:val="bottom"/>
          </w:tcPr>
          <w:p>
            <w:pPr>
              <w:spacing w:after="0"/>
              <w:rPr>
                <w:sz w:val="1"/>
                <w:szCs w:val="1"/>
                <w:color w:val="auto"/>
              </w:rPr>
            </w:pPr>
          </w:p>
        </w:tc>
      </w:tr>
      <w:tr>
        <w:trPr>
          <w:trHeight w:val="142"/>
        </w:trPr>
        <w:tc>
          <w:tcPr>
            <w:tcW w:w="4460" w:type="dxa"/>
            <w:vAlign w:val="bottom"/>
            <w:gridSpan w:val="3"/>
            <w:vMerge w:val="continue"/>
          </w:tcPr>
          <w:p>
            <w:pPr>
              <w:spacing w:after="0"/>
              <w:rPr>
                <w:sz w:val="12"/>
                <w:szCs w:val="12"/>
                <w:color w:val="auto"/>
              </w:rPr>
            </w:pPr>
          </w:p>
        </w:tc>
        <w:tc>
          <w:tcPr>
            <w:tcW w:w="1620" w:type="dxa"/>
            <w:vAlign w:val="bottom"/>
            <w:tcBorders>
              <w:top w:val="single" w:sz="8" w:color="auto"/>
            </w:tcBorders>
            <w:gridSpan w:val="3"/>
          </w:tcPr>
          <w:p>
            <w:pPr>
              <w:ind w:left="300"/>
              <w:spacing w:after="0" w:line="142" w:lineRule="exact"/>
              <w:rPr>
                <w:sz w:val="20"/>
                <w:szCs w:val="20"/>
                <w:color w:val="auto"/>
              </w:rPr>
            </w:pPr>
            <w:r>
              <w:rPr>
                <w:rFonts w:ascii="Arial" w:cs="Arial" w:eastAsia="Arial" w:hAnsi="Arial"/>
                <w:sz w:val="14"/>
                <w:szCs w:val="14"/>
                <w:b w:val="1"/>
                <w:bCs w:val="1"/>
                <w:color w:val="auto"/>
              </w:rPr>
              <w:t>Number</w:t>
            </w:r>
          </w:p>
        </w:tc>
        <w:tc>
          <w:tcPr>
            <w:tcW w:w="640" w:type="dxa"/>
            <w:vAlign w:val="bottom"/>
            <w:tcBorders>
              <w:top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97"/>
              </w:rPr>
              <w:t>Percent</w:t>
            </w:r>
          </w:p>
        </w:tc>
        <w:tc>
          <w:tcPr>
            <w:tcW w:w="2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8"/>
              </w:rPr>
              <w:t>Number</w:t>
            </w:r>
          </w:p>
        </w:tc>
        <w:tc>
          <w:tcPr>
            <w:tcW w:w="280" w:type="dxa"/>
            <w:vAlign w:val="bottom"/>
          </w:tcPr>
          <w:p>
            <w:pPr>
              <w:spacing w:after="0"/>
              <w:rPr>
                <w:sz w:val="12"/>
                <w:szCs w:val="12"/>
                <w:color w:val="auto"/>
              </w:rPr>
            </w:pPr>
          </w:p>
        </w:tc>
        <w:tc>
          <w:tcPr>
            <w:tcW w:w="1420" w:type="dxa"/>
            <w:vAlign w:val="bottom"/>
            <w:tcBorders>
              <w:top w:val="single" w:sz="8" w:color="auto"/>
            </w:tcBorders>
            <w:gridSpan w:val="2"/>
          </w:tcPr>
          <w:p>
            <w:pPr>
              <w:jc w:val="right"/>
              <w:ind w:right="600"/>
              <w:spacing w:after="0" w:line="142" w:lineRule="exact"/>
              <w:rPr>
                <w:sz w:val="20"/>
                <w:szCs w:val="20"/>
                <w:color w:val="auto"/>
              </w:rPr>
            </w:pPr>
            <w:r>
              <w:rPr>
                <w:rFonts w:ascii="Arial" w:cs="Arial" w:eastAsia="Arial" w:hAnsi="Arial"/>
                <w:sz w:val="14"/>
                <w:szCs w:val="14"/>
                <w:b w:val="1"/>
                <w:bCs w:val="1"/>
                <w:color w:val="auto"/>
              </w:rPr>
              <w:t>Number</w:t>
            </w:r>
          </w:p>
        </w:tc>
        <w:tc>
          <w:tcPr>
            <w:tcW w:w="1140" w:type="dxa"/>
            <w:vAlign w:val="bottom"/>
            <w:tcBorders>
              <w:top w:val="single" w:sz="8" w:color="auto"/>
            </w:tcBorders>
          </w:tcPr>
          <w:p>
            <w:pPr>
              <w:jc w:val="right"/>
              <w:ind w:right="252"/>
              <w:spacing w:after="0" w:line="142" w:lineRule="exact"/>
              <w:rPr>
                <w:sz w:val="20"/>
                <w:szCs w:val="20"/>
                <w:color w:val="auto"/>
              </w:rPr>
            </w:pPr>
            <w:r>
              <w:rPr>
                <w:rFonts w:ascii="Arial" w:cs="Arial" w:eastAsia="Arial" w:hAnsi="Arial"/>
                <w:sz w:val="14"/>
                <w:szCs w:val="14"/>
                <w:b w:val="1"/>
                <w:bCs w:val="1"/>
                <w:color w:val="auto"/>
              </w:rPr>
              <w:t>Percent</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Deerfield Special Situations Fund, L.P. (3)</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736,196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736,196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Entities affiliated with Acuta Capital Partners, LLC (4)</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2,394,964</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8.6%</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613,497</w:t>
            </w:r>
          </w:p>
        </w:tc>
        <w:tc>
          <w:tcPr>
            <w:tcW w:w="1140" w:type="dxa"/>
            <w:vAlign w:val="bottom"/>
          </w:tcPr>
          <w:p>
            <w:pPr>
              <w:jc w:val="right"/>
              <w:spacing w:after="0"/>
              <w:rPr>
                <w:sz w:val="20"/>
                <w:szCs w:val="20"/>
                <w:color w:val="auto"/>
              </w:rPr>
            </w:pPr>
            <w:r>
              <w:rPr>
                <w:rFonts w:ascii="Arial" w:cs="Arial" w:eastAsia="Arial" w:hAnsi="Arial"/>
                <w:sz w:val="18"/>
                <w:szCs w:val="18"/>
                <w:color w:val="auto"/>
              </w:rPr>
              <w:t>1,781,467</w:t>
            </w:r>
          </w:p>
        </w:tc>
        <w:tc>
          <w:tcPr>
            <w:tcW w:w="2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2B LLC (5)</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45,988</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42,945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3,043</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venBio Select Fund LLC (6)</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663,684</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570,552</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93,132</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Entities affiliated with Camber Capital Management,</w:t>
            </w:r>
          </w:p>
        </w:tc>
        <w:tc>
          <w:tcPr>
            <w:tcW w:w="1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LLC (7)</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1,226,994</w:t>
            </w:r>
          </w:p>
        </w:tc>
        <w:tc>
          <w:tcPr>
            <w:tcW w:w="2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1,226,994</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P Consonance Opportunities LTD (8)</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61,350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61,350</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Altairis Offshore Levered (9)</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429,447</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429,447</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tcPr>
          <w:p>
            <w:pPr>
              <w:spacing w:after="0"/>
              <w:rPr>
                <w:sz w:val="20"/>
                <w:szCs w:val="20"/>
                <w:color w:val="auto"/>
              </w:rPr>
            </w:pPr>
            <w:r>
              <w:rPr>
                <w:rFonts w:ascii="Arial" w:cs="Arial" w:eastAsia="Arial" w:hAnsi="Arial"/>
                <w:sz w:val="18"/>
                <w:szCs w:val="18"/>
                <w:color w:val="auto"/>
              </w:rPr>
              <w:t>Eventide Asset Management, LLC (10)</w:t>
            </w:r>
          </w:p>
        </w:tc>
        <w:tc>
          <w:tcPr>
            <w:tcW w:w="1400" w:type="dxa"/>
            <w:vAlign w:val="bottom"/>
            <w:gridSpan w:val="2"/>
          </w:tcPr>
          <w:p>
            <w:pPr>
              <w:jc w:val="right"/>
              <w:ind w:right="280"/>
              <w:spacing w:after="0"/>
              <w:rPr>
                <w:sz w:val="20"/>
                <w:szCs w:val="20"/>
                <w:color w:val="auto"/>
              </w:rPr>
            </w:pPr>
            <w:r>
              <w:rPr>
                <w:rFonts w:ascii="Arial" w:cs="Arial" w:eastAsia="Arial" w:hAnsi="Arial"/>
                <w:sz w:val="18"/>
                <w:szCs w:val="18"/>
                <w:color w:val="auto"/>
              </w:rPr>
              <w:t>2,252,000</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8.1%</w:t>
            </w:r>
          </w:p>
        </w:tc>
        <w:tc>
          <w:tcPr>
            <w:tcW w:w="1420" w:type="dxa"/>
            <w:vAlign w:val="bottom"/>
            <w:gridSpan w:val="2"/>
          </w:tcPr>
          <w:p>
            <w:pPr>
              <w:jc w:val="right"/>
              <w:ind w:right="280"/>
              <w:spacing w:after="0"/>
              <w:rPr>
                <w:sz w:val="20"/>
                <w:szCs w:val="20"/>
                <w:color w:val="auto"/>
              </w:rPr>
            </w:pPr>
            <w:r>
              <w:rPr>
                <w:rFonts w:ascii="Arial" w:cs="Arial" w:eastAsia="Arial" w:hAnsi="Arial"/>
                <w:sz w:val="18"/>
                <w:szCs w:val="18"/>
                <w:color w:val="auto"/>
              </w:rPr>
              <w:t>490,798</w:t>
            </w:r>
          </w:p>
        </w:tc>
        <w:tc>
          <w:tcPr>
            <w:tcW w:w="1140" w:type="dxa"/>
            <w:vAlign w:val="bottom"/>
          </w:tcPr>
          <w:p>
            <w:pPr>
              <w:jc w:val="right"/>
              <w:spacing w:after="0"/>
              <w:rPr>
                <w:sz w:val="20"/>
                <w:szCs w:val="20"/>
                <w:color w:val="auto"/>
              </w:rPr>
            </w:pPr>
            <w:r>
              <w:rPr>
                <w:rFonts w:ascii="Arial" w:cs="Arial" w:eastAsia="Arial" w:hAnsi="Arial"/>
                <w:sz w:val="18"/>
                <w:szCs w:val="18"/>
                <w:color w:val="auto"/>
              </w:rPr>
              <w:t>1,761,202</w:t>
            </w:r>
          </w:p>
        </w:tc>
        <w:tc>
          <w:tcPr>
            <w:tcW w:w="28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Broadfin Healthcare Master Fund, LTD (11)</w:t>
            </w:r>
          </w:p>
        </w:tc>
        <w:tc>
          <w:tcPr>
            <w:tcW w:w="14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736,196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736,196</w:t>
            </w:r>
          </w:p>
        </w:tc>
        <w:tc>
          <w:tcPr>
            <w:tcW w:w="14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900" w:hanging="446"/>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Based on 27,854,567 shares of our common stock outstanding as of March 7, 2016.</w:t>
      </w:r>
    </w:p>
    <w:p>
      <w:pPr>
        <w:spacing w:after="0" w:line="9" w:lineRule="exact"/>
        <w:rPr>
          <w:rFonts w:ascii="Arial" w:cs="Arial" w:eastAsia="Arial" w:hAnsi="Arial"/>
          <w:sz w:val="18"/>
          <w:szCs w:val="18"/>
          <w:color w:val="auto"/>
        </w:rPr>
      </w:pPr>
    </w:p>
    <w:p>
      <w:pPr>
        <w:ind w:left="900" w:right="180" w:hanging="446"/>
        <w:spacing w:after="0" w:line="281"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our knowledge, the persons named in the table have sole voting and investment power with respect to all shares of common stock shown as beneficially owned by them, subject to community property laws, where applicable, and the information contained in the footnotes to this table.</w:t>
      </w:r>
    </w:p>
    <w:p>
      <w:pPr>
        <w:spacing w:after="0" w:line="1" w:lineRule="exact"/>
        <w:rPr>
          <w:rFonts w:ascii="Arial" w:cs="Arial" w:eastAsia="Arial" w:hAnsi="Arial"/>
          <w:sz w:val="16"/>
          <w:szCs w:val="16"/>
          <w:color w:val="auto"/>
        </w:rPr>
      </w:pPr>
    </w:p>
    <w:p>
      <w:pPr>
        <w:ind w:left="900" w:right="180" w:hanging="446"/>
        <w:spacing w:after="0" w:line="265"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James E. Flynn has voting and investment power over of all of the shares held by Deerfield Special Situations Fund, L.P. Mr. Flynn disclaims beneficial ownership over all of the shares held by Deerfield Special Situations Fund, L.P., except to the extent of his pecuniary interest therein. The address for Deerfield Special Situations Fund, L.P. is 780 Third Avenue, 37th Floor, New York, New York 10017.</w:t>
      </w:r>
    </w:p>
    <w:p>
      <w:pPr>
        <w:ind w:left="900" w:right="60" w:hanging="446"/>
        <w:spacing w:after="0" w:line="265"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Shareholdings consist of 1,538,285 shares held by Acuta Capital Fund, LP, 459,124 shares held by Acuta Opportunity Fund, LP and 397,555 shares held by 2B LLC. Shares offered consist of 429,448 shares held by Acuta Capital Fund, LP and 184,049 shares held by Acuta Opportunity Fund, LP. Richard Lin is the Managing Member of Acuta Capital Partners, LLC, the general partner of Acuta Capital Fund, LP and Acuta Opportunity Fund, LP and an investment manager for 2B LLC and has voting and investment power over all of the shares held by Acuta Capital Fund, LP and Acuta Opportunity Fund, LP and the 397,555 shares held by 2B LLC but does not have voting or investment power over the shares held by 2B LLC described in footnote 5 below. Mr. Lin disclaims beneficial ownership over all of the shares held by Acuta Capital Fund, LP, Acuta Opportunity Fund, LP and 2B LLC, except to the extent of his pecuniary interest therein.</w:t>
      </w:r>
    </w:p>
    <w:p>
      <w:pPr>
        <w:spacing w:after="0" w:line="1" w:lineRule="exact"/>
        <w:rPr>
          <w:rFonts w:ascii="Arial" w:cs="Arial" w:eastAsia="Arial" w:hAnsi="Arial"/>
          <w:sz w:val="17"/>
          <w:szCs w:val="17"/>
          <w:color w:val="auto"/>
        </w:rPr>
      </w:pPr>
    </w:p>
    <w:p>
      <w:pPr>
        <w:ind w:left="900" w:right="280" w:hanging="446"/>
        <w:spacing w:after="0" w:line="250"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J. Darius Bikoff, a Member of 2B LLC, has voting and investment control over all the shares held by 2B LLC. Mr. Bikoff disclaims beneficial ownership over all the shares held by 2B LLC, except to the extent of his pecuniary interest therein.</w:t>
      </w:r>
    </w:p>
    <w:p>
      <w:pPr>
        <w:ind w:left="900" w:right="160" w:hanging="446"/>
        <w:spacing w:after="0" w:line="250"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Behzad Aghazadeh, the portfolio manager of venBio Select Fund LLC, has voting and investment power over all of the shares held by venBio Select Fund LLC. Mr. Aghazadeh disclaims beneficial ownership over all of the shares held by venBio Select Fund LLC, except to the extent of his pecuniary interest therein.</w:t>
      </w:r>
    </w:p>
    <w:p>
      <w:pPr>
        <w:spacing w:after="0" w:line="1" w:lineRule="exact"/>
        <w:rPr>
          <w:rFonts w:ascii="Arial" w:cs="Arial" w:eastAsia="Arial" w:hAnsi="Arial"/>
          <w:sz w:val="18"/>
          <w:szCs w:val="18"/>
          <w:color w:val="auto"/>
        </w:rPr>
      </w:pPr>
    </w:p>
    <w:p>
      <w:pPr>
        <w:ind w:left="900" w:right="220" w:hanging="446"/>
        <w:spacing w:after="0" w:line="250"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Shareholdings consist of 1,181,718 shares held by Camber Capital Master Fund, LP, 8,834 shares held by Camber Capital Fund II, LP, and 36,442 shares held by Arthur J. Remillard Jr. Trust. Camber Capital Management, LLC has voting and investment power over all of the shares held by Camber Capital Master Fund, LP, Camber Capital Fund II, LP and Arthur J. Remillard Jr. Trust. Camber Capital Management, LLC disclaims beneficial ownership over all of the shares held by Camber Capital Master Fund, LP, Camber Capital Fund II, LP and Arthur J. Remillard Jr. Trust, except to the extent of any pecuniary interest therein.</w:t>
      </w:r>
    </w:p>
    <w:p>
      <w:pPr>
        <w:spacing w:after="0" w:line="2" w:lineRule="exact"/>
        <w:rPr>
          <w:rFonts w:ascii="Arial" w:cs="Arial" w:eastAsia="Arial" w:hAnsi="Arial"/>
          <w:sz w:val="18"/>
          <w:szCs w:val="18"/>
          <w:color w:val="auto"/>
        </w:rPr>
      </w:pPr>
    </w:p>
    <w:p>
      <w:pPr>
        <w:ind w:left="900" w:right="40" w:hanging="446"/>
        <w:spacing w:after="0" w:line="290"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Consonance Capital Opportunity Fund Management LP has voting and investment power over all the shares held by P Consonance Opportunities LTD. Consonance Capital Opportunity Fund Management LP disclaims beneficial ownership over all of the shares held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by P Consonance Opportunities LTD, except to the extent of any pecuniary interest therein.</w:t>
      </w:r>
    </w:p>
    <w:p>
      <w:pPr>
        <w:spacing w:after="0" w:line="23" w:lineRule="exact"/>
        <w:rPr>
          <w:sz w:val="20"/>
          <w:szCs w:val="20"/>
          <w:color w:val="auto"/>
        </w:rPr>
      </w:pPr>
    </w:p>
    <w:p>
      <w:pPr>
        <w:jc w:val="both"/>
        <w:ind w:left="900" w:right="120" w:hanging="446"/>
        <w:spacing w:after="0" w:line="250"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Polar Securities Inc. serves as investment advisor to Altairis Offshore Levered and has voting and investment control over all the shares held by Altairis Offshore Levered. Polar Securities Inc. disclaims beneficial ownership over all of the shares held by Altairis Offshore Levered except to the extent of its pecuniary interest therein.</w:t>
      </w:r>
    </w:p>
    <w:p>
      <w:pPr>
        <w:spacing w:after="0" w:line="1" w:lineRule="exact"/>
        <w:rPr>
          <w:rFonts w:ascii="Arial" w:cs="Arial" w:eastAsia="Arial" w:hAnsi="Arial"/>
          <w:sz w:val="18"/>
          <w:szCs w:val="18"/>
          <w:color w:val="auto"/>
        </w:rPr>
      </w:pPr>
    </w:p>
    <w:p>
      <w:pPr>
        <w:ind w:left="900" w:right="180" w:hanging="446"/>
        <w:spacing w:after="0" w:line="265" w:lineRule="auto"/>
        <w:tabs>
          <w:tab w:leader="none" w:pos="900" w:val="left"/>
        </w:tabs>
        <w:numPr>
          <w:ilvl w:val="0"/>
          <w:numId w:val="3"/>
        </w:numPr>
        <w:rPr>
          <w:rFonts w:ascii="Arial" w:cs="Arial" w:eastAsia="Arial" w:hAnsi="Arial"/>
          <w:sz w:val="17"/>
          <w:szCs w:val="17"/>
          <w:color w:val="auto"/>
        </w:rPr>
      </w:pPr>
      <w:r>
        <w:rPr>
          <w:rFonts w:ascii="Arial" w:cs="Arial" w:eastAsia="Arial" w:hAnsi="Arial"/>
          <w:sz w:val="17"/>
          <w:szCs w:val="17"/>
          <w:color w:val="auto"/>
        </w:rPr>
        <w:t>Shares owned prior to the offering are based upon a Schedule 13G filed by Eventide Asset Management, LLC on February 12, 2016. As of May 11, 2015, shareholdings consist of 1,193,431 shares held by Eventide Gilead Fund and 814,867 shares held by Eventide Healthcare &amp; Life Sciences Fund, each of which is a registered investment company for which Eventide Asset Management, LLC acts as investment adviser. Eventide Asset Management, LLC has voting and investment power with respect to all of such shares. The address of Eventide Asset Management, LLC is One International Place, 35th Floor, Boston, Massachusetts 02110. Of the shares offered, Eventide Gilead Fund holds 381,731 shares and Eventide Healthcare &amp; Life Sciences Fund holds 109,067 shares.</w:t>
      </w:r>
    </w:p>
    <w:p>
      <w:pPr>
        <w:spacing w:after="0" w:line="1" w:lineRule="exact"/>
        <w:rPr>
          <w:rFonts w:ascii="Arial" w:cs="Arial" w:eastAsia="Arial" w:hAnsi="Arial"/>
          <w:sz w:val="17"/>
          <w:szCs w:val="17"/>
          <w:color w:val="auto"/>
        </w:rPr>
      </w:pPr>
    </w:p>
    <w:p>
      <w:pPr>
        <w:ind w:left="900" w:right="200" w:hanging="446"/>
        <w:spacing w:after="0" w:line="323" w:lineRule="auto"/>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Broadfin Capital, LLC serves as investment adviser to Broadfin Healthcare Master Fund, LTD with the power to direct investments and/or sole power to vote the shares owned by Broadfin Healthcare Master Fund, LTD. Kevin Kotler is the Managing Member of Broadfin Capital, LLC.</w:t>
      </w:r>
    </w:p>
    <w:p>
      <w:pPr>
        <w:sectPr>
          <w:pgSz w:w="11900" w:h="16838" w:orient="portrait"/>
          <w:cols w:equalWidth="0" w:num="1">
            <w:col w:w="11420"/>
          </w:cols>
          <w:pgMar w:left="240" w:top="368" w:right="239" w:bottom="0" w:gutter="0" w:footer="0" w:header="0"/>
        </w:sectPr>
      </w:pPr>
    </w:p>
    <w:bookmarkStart w:id="4" w:name="page5"/>
    <w:bookmarkEnd w:id="4"/>
    <w:p>
      <w:pPr>
        <w:spacing w:after="0" w:line="46" w:lineRule="exact"/>
        <w:rPr>
          <w:sz w:val="20"/>
          <w:szCs w:val="20"/>
          <w:color w:val="auto"/>
        </w:rPr>
      </w:pPr>
    </w:p>
    <w:p>
      <w:pPr>
        <w:ind w:left="900" w:right="400"/>
        <w:spacing w:after="0" w:line="277" w:lineRule="auto"/>
        <w:rPr>
          <w:sz w:val="20"/>
          <w:szCs w:val="20"/>
          <w:color w:val="auto"/>
        </w:rPr>
      </w:pPr>
      <w:r>
        <w:rPr>
          <w:rFonts w:ascii="Arial" w:cs="Arial" w:eastAsia="Arial" w:hAnsi="Arial"/>
          <w:sz w:val="18"/>
          <w:szCs w:val="18"/>
          <w:color w:val="auto"/>
        </w:rPr>
        <w:t>Mr. Kotler has voting and dispositive power over the shares held by Broadfin Healthcare Master Fund, LTD. Mr. Kotler disclaims beneficial ownership of all shares beneficially owned, except to the extent of his pecuniary interests in such shares.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ind w:right="60" w:firstLine="648"/>
        <w:spacing w:after="0" w:line="312" w:lineRule="auto"/>
        <w:rPr>
          <w:sz w:val="20"/>
          <w:szCs w:val="20"/>
          <w:color w:val="auto"/>
        </w:rPr>
      </w:pPr>
      <w:r>
        <w:rPr>
          <w:rFonts w:ascii="Arial" w:cs="Arial" w:eastAsia="Arial" w:hAnsi="Arial"/>
          <w:sz w:val="16"/>
          <w:szCs w:val="16"/>
          <w:color w:val="auto"/>
        </w:rPr>
        <w:t>We are registering the shares of common stock issued to the selling stockholders to permit the resale of these shares of common stock by the holders of the shares of common stock from time to time after the date of this prospectus. We will not receive any of the proceeds from the sale by the selling stockholders of the shares of common stock. We will bear all fees and expenses incident to our obligation to register the shares of common stock.</w:t>
      </w:r>
    </w:p>
    <w:p>
      <w:pPr>
        <w:spacing w:after="0" w:line="147"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The selling stockholders may sell all or a portion of the shares of common stock beneficially owned by them and offered hereby from time to time directly or through one or more underwriters, broker-dealers or agents. If the shares of common stock are sold through underwriters or broker-dealers, the selling stockholders will be responsible for underwriting discounts or commissions or agent’s commissions. The shares of common stock may be sold on any national securities exchange or quotation service on which the securities may be listed or quoted at the time of sale, in the over-the-counter market or in transactions otherwise than on these exchanges or systems or in the over-the-counter market and in one or more transactions at fixed prices, at prevailing market prices at the time of the sale, at varying prices determined at the time of sale, or at negotiated prices. These sales may be effected in transactions which may involve crosses or block transactions. The selling stockholders may use any one or more of the following methods when selling shares:</w:t>
      </w:r>
    </w:p>
    <w:p>
      <w:pPr>
        <w:spacing w:after="0" w:line="167" w:lineRule="exact"/>
        <w:rPr>
          <w:sz w:val="20"/>
          <w:szCs w:val="20"/>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25" w:lineRule="exact"/>
        <w:rPr>
          <w:rFonts w:ascii="Arial" w:cs="Arial" w:eastAsia="Arial" w:hAnsi="Arial"/>
          <w:sz w:val="18"/>
          <w:szCs w:val="18"/>
          <w:color w:val="auto"/>
        </w:rPr>
      </w:pPr>
    </w:p>
    <w:p>
      <w:pPr>
        <w:ind w:left="980" w:right="200" w:hanging="324"/>
        <w:spacing w:after="0" w:line="277" w:lineRule="auto"/>
        <w:tabs>
          <w:tab w:leader="none" w:pos="944" w:val="left"/>
        </w:tabs>
        <w:numPr>
          <w:ilvl w:val="0"/>
          <w:numId w:val="4"/>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shares as agent but may position and resell a portion of the block as principal to facilitate the transaction;</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broker-dealers may agree with the selling stockholders to sell a specified number of such shares at a stipulated price per share;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through the writing or settlement of options or other hedging transactions, whether such options are listed on an options exchange or otherwise;</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combination of any such methods of sale;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The selling stockholders also may resell all or a portion of the shares in open market transactions in reliance upon Rule 144 under the Securities Act, as permitted by that rule, or Section 4(1) under the Securities Act, if available, rather than under this prospectus, provided that they meet the criteria and conform to the requirements of those provisions.</w:t>
      </w:r>
    </w:p>
    <w:p>
      <w:pPr>
        <w:spacing w:after="0" w:line="18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Broker-dealers engaged by the selling stockholders may arrange for other broker-dealers to participate in sales. If the selling stockholders effect such transactions by selling shares of common stock to or through underwriters, broker-dealers or agents, such underwriters, broker-dealers or agents may receive commissions in the form of discounts, concessions or commissions from the selling stockholders or commissions from purchasers of the shares of common stock for whom they may act as agent or to whom they may sell as principal. Such commissions will be in amounts to be negotiated, but, except as set forth in a supplement to this prospectus, in the case of an agency transaction will not be in excess of a customary brokerage commission in compliance with FINRA Rule 2440; and in the case of a principal transaction a markup or markdown in compliance with FINRA IM-2440.</w:t>
      </w:r>
    </w:p>
    <w:p>
      <w:pPr>
        <w:spacing w:after="0" w:line="165"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In connection with sales of the shares of common stock or otherwise, the selling stockholders may enter into hedging transactions with broker-dealers or other financial institutions, which may in turn engage in short sales of the shares of common stock in the course of hedging in positions they assume. The selling stockholders may also sell shares of common stock short and if such short sale shall take place after the date that this registration statement is declared effective by the Securities and Exchange Commission, or SEC, the selling stockholders may deliver shares of common stock covered by this prospectus to close out short positions and to return borrowed shares in connection with such short sales. The selling stockholders may also loan or pledge shares of common stock to broker-dealers that in turn may sell such shares, to the extent permitted by applicable law.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 Notwithstanding the foregoing, the selling stockholders have been advised that they may not use shares registered on this registration statement to cover short sales of our common stock made prior to the date the registration statement, of which this prospectus forms a part, has been declared effective by the SEC.</w:t>
      </w:r>
    </w:p>
    <w:p>
      <w:pPr>
        <w:spacing w:after="0" w:line="183"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selling stockholders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stockholders to include the pledgee, transferee or other successors in interest as selling stockholders under this prospectus. The selling stockholders also may transfer and donate the shares of common stock in other circumstances in which case the transferees, donees, pledgees or other successors in interest will be the selling beneficial owners for purposes of this prospectus.</w:t>
      </w:r>
    </w:p>
    <w:p>
      <w:pPr>
        <w:spacing w:after="0" w:line="178" w:lineRule="exact"/>
        <w:rPr>
          <w:sz w:val="20"/>
          <w:szCs w:val="20"/>
          <w:color w:val="auto"/>
        </w:rPr>
      </w:pPr>
    </w:p>
    <w:p>
      <w:pPr>
        <w:ind w:right="500" w:firstLine="648"/>
        <w:spacing w:after="0" w:line="312" w:lineRule="auto"/>
        <w:rPr>
          <w:sz w:val="20"/>
          <w:szCs w:val="20"/>
          <w:color w:val="auto"/>
        </w:rPr>
      </w:pPr>
      <w:r>
        <w:rPr>
          <w:rFonts w:ascii="Arial" w:cs="Arial" w:eastAsia="Arial" w:hAnsi="Arial"/>
          <w:sz w:val="16"/>
          <w:szCs w:val="16"/>
          <w:color w:val="auto"/>
        </w:rPr>
        <w:t>The selling stockholders and any broker-dealer or agents participating in the distribution of the shares of common stock may be deemed to be “underwriters” within the meaning of Section 2(11) of the Securities Act in connection with such sales. In such event, any commissions paid, or any discounts or concessions allowed to, any such broker-dealer or agent and any profit on the resale of the shares purchased by them may be deemed to be</w:t>
      </w:r>
    </w:p>
    <w:p>
      <w:pPr>
        <w:sectPr>
          <w:pgSz w:w="11900" w:h="16885" w:orient="portrait"/>
          <w:cols w:equalWidth="0" w:num="1">
            <w:col w:w="11400"/>
          </w:cols>
          <w:pgMar w:left="240" w:top="125" w:right="259" w:bottom="0" w:gutter="0" w:footer="0" w:header="0"/>
        </w:sectPr>
      </w:pPr>
    </w:p>
    <w:bookmarkStart w:id="5" w:name="page6"/>
    <w:bookmarkEnd w:id="5"/>
    <w:p>
      <w:pPr>
        <w:ind w:right="160"/>
        <w:spacing w:after="0" w:line="259" w:lineRule="auto"/>
        <w:rPr>
          <w:sz w:val="20"/>
          <w:szCs w:val="20"/>
          <w:color w:val="auto"/>
        </w:rPr>
      </w:pPr>
      <w:r>
        <w:rPr>
          <w:rFonts w:ascii="Arial" w:cs="Arial" w:eastAsia="Arial" w:hAnsi="Arial"/>
          <w:sz w:val="18"/>
          <w:szCs w:val="18"/>
          <w:color w:val="auto"/>
        </w:rPr>
        <w:t>underwriting commissions or discounts under the Securities Act. Selling stockholders who are “underwriters” within the meaning of Section 2(11) of the Securities Act will be subject to the applicable prospectus delivery requirements of the Securities Act including Rule 172 thereunder and may be subject to certain statutory liabilities of, including but not limited to, Sections 11, 12 and 17 of the Securities Act and Rule 10b-5 under the Securities Exchange Act of 1934, or the Exchange Act.</w:t>
      </w:r>
    </w:p>
    <w:p>
      <w:pPr>
        <w:spacing w:after="0" w:line="18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Each selling stockholder has informed us that it is not a registered broker-dealer and does not have any written or oral agreement or understanding, directly or indirectly, with any person to distribute the common stock. Upon a selling stockholder notifying us in writing that any material arrangement has been entered into with a broker-dealer for the sale of common stock through a block trade, special offering, exchange distribution or secondary distribution or a purchase by a broker or dealer, a supplement to this prospectus will be filed, if required, pursuant to Rule 424(b) under the Securities Act, disclosing (i) the name of each such selling stockholder and of the participating broker-dealer(s), (ii) the number of shares involved, (iii) the price at which such the shares of common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312" w:lineRule="auto"/>
        <w:rPr>
          <w:sz w:val="20"/>
          <w:szCs w:val="20"/>
          <w:color w:val="auto"/>
        </w:rPr>
      </w:pPr>
      <w:r>
        <w:rPr>
          <w:rFonts w:ascii="Arial" w:cs="Arial" w:eastAsia="Arial" w:hAnsi="Arial"/>
          <w:sz w:val="16"/>
          <w:szCs w:val="16"/>
          <w:color w:val="auto"/>
        </w:rPr>
        <w:t>stock were sold, (iv) the commissions paid or discounts or concessions allowed to such broker-dealer(s), where applicable, (v) that such broker-dealer(s) did not conduct any investigation to verify the information set out or incorporated by reference in this prospectus, and (vi) other facts material to the transaction. In no event shall any broker-dealer receive fees, commissions and markups, which, in the aggregate, would exceed eight percent (8.0%).</w:t>
      </w:r>
    </w:p>
    <w:p>
      <w:pPr>
        <w:spacing w:after="0" w:line="147"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spacing w:after="0" w:line="18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There can be no assurance that any selling stockholder will sell any or all of the shares of common stock registered pursuant to the shelf registration statement, of which this prospectus forms a part.</w:t>
      </w:r>
    </w:p>
    <w:p>
      <w:pPr>
        <w:spacing w:after="0" w:line="17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Each selling stockholder and any other person participating in such distribution will be subject to applicable provisions of the Exchange Act and the rules and regulations thereunder, including, without limitation, to the extent applicable, Regulation M of the Exchange Act, which may limit the timing of purchases and sales of any of the shares of common stock by the selling stockholder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spacing w:after="0" w:line="193"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will pay all expenses of the registration of the shares of common stock pursuant to the registration rights agreement, including, without limitation, SEC filing fees and expenses of compliance with state securities or “blue sky” laws; provided, however, that each selling stockholder will pay all underwriting discounts and selling commissions, if any and any related legal expenses incurred by it. We will indemnify the selling stockholders against certain liabilities, including some liabilities under the Securities Act, in accordance with the registration rights agreement, or the selling stockholders will be entitled to contribution. We may be indemnified by the selling stockholders against civil liabilities, including liabilities under the Securities Act, that may arise from any written information furnished to us by the selling stockholders specifically for use in this prospectus, in accordance with the registration rights agreement, or we may be entitled to contribution.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validity of the common stock offered by this prospectus is being passed upon for us by Pillsbury Winthrop Shaw Pittman LLP, San Francisco and Palo Alto, California.</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Ernst &amp; Young LLP, independent registered public accounting firm, has audited our financial statements as of and for each of the two years in the period ended December 31, 2015 included in our Annual Report on Form 10-K for the year ended December 31, 2015, as set forth in their report, which is incorporated by reference in this prospectus and elsewhere in the registration statement. Our financial statements are incorporated by reference in reliance on Ernst &amp; Young LLP’s report, given on their authority as experts in accounting and auditing.</w:t>
      </w:r>
    </w:p>
    <w:p>
      <w:pPr>
        <w:spacing w:after="0" w:line="187"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The financial statements for the year ended December 31, 2013 incorporated in this prospectus by reference to the Annual Report on Form 10-K for the year ended December 31, 2015 have been so incorporated in reliance on the report of PricewaterhouseCoopers LLP, an independent registered public accounting firm, given on the authority of said firm as experts in auditing and accounting.</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We have filed a registration statement on Form S-3 with the SEC under the Securities Act. This prospectus is part of the registration statement but the registration statement includes and incorporates by reference additional information and exhibits. We file annual, quarterly and current reports, proxy statements and other information with</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SEC. You may read and copy the registration statement and any other document we file with the SEC at the public reference room maintained by the SEC at 100 F Street, N.E., Washington, D.C. 20549. You may obtain information on the operation of the public reference room by calling the SEC at 1-800-SEC-0330. The SEC also maintains a web site that contains reports, proxy and information statements and other information regarding companies, such as ours, that file documents electronically with the SEC. The address of that site on the world wide web is http://www.sec.gov. The information on the SEC’s web site is not part of this prospectus, and any references to this web site or any other web site are inactive textual references only.</w:t>
      </w:r>
    </w:p>
    <w:p>
      <w:pPr>
        <w:sectPr>
          <w:pgSz w:w="11900" w:h="16838" w:orient="portrait"/>
          <w:cols w:equalWidth="0" w:num="1">
            <w:col w:w="11420"/>
          </w:cols>
          <w:pgMar w:left="240" w:top="125" w:right="239" w:bottom="0" w:gutter="0" w:footer="0" w:header="0"/>
        </w:sectPr>
      </w:pPr>
    </w:p>
    <w:bookmarkStart w:id="6" w:name="page7"/>
    <w:bookmarkEnd w:id="6"/>
    <w:p>
      <w:pPr>
        <w:ind w:right="80" w:firstLine="648"/>
        <w:spacing w:after="0" w:line="259" w:lineRule="auto"/>
        <w:rPr>
          <w:sz w:val="20"/>
          <w:szCs w:val="20"/>
          <w:color w:val="auto"/>
        </w:rPr>
      </w:pPr>
      <w:r>
        <w:rPr>
          <w:rFonts w:ascii="Arial" w:cs="Arial" w:eastAsia="Arial" w:hAnsi="Arial"/>
          <w:sz w:val="18"/>
          <w:szCs w:val="18"/>
          <w:color w:val="auto"/>
        </w:rPr>
        <w:t>The SEC permits us to “incorporate by reference” the information contained in documents we file with the SEC, which means that we can disclose important information to you by referring you to those documents rather than by including them in this prospectus. Information that is incorporated by reference is considered to be part of this prospectus and you should read it with the same care that you read this prospectus. We have filed with the SEC, and incorporate by reference in this prospectus:</w:t>
      </w:r>
    </w:p>
    <w:p>
      <w:pPr>
        <w:spacing w:after="0" w:line="187" w:lineRule="exact"/>
        <w:rPr>
          <w:sz w:val="20"/>
          <w:szCs w:val="20"/>
          <w:color w:val="auto"/>
        </w:rPr>
      </w:pPr>
    </w:p>
    <w:p>
      <w:pPr>
        <w:ind w:left="1020" w:hanging="36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2015 filed with the SEC on March 14, 2016;</w:t>
      </w:r>
    </w:p>
    <w:p>
      <w:pPr>
        <w:spacing w:after="0" w:line="225" w:lineRule="exact"/>
        <w:rPr>
          <w:rFonts w:ascii="Arial" w:cs="Arial" w:eastAsia="Arial" w:hAnsi="Arial"/>
          <w:sz w:val="18"/>
          <w:szCs w:val="18"/>
          <w:color w:val="auto"/>
        </w:rPr>
      </w:pPr>
    </w:p>
    <w:p>
      <w:pPr>
        <w:ind w:left="1020" w:hanging="364"/>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March 4, 2016; and</w:t>
      </w:r>
    </w:p>
    <w:p>
      <w:pPr>
        <w:spacing w:after="0" w:line="225" w:lineRule="exact"/>
        <w:rPr>
          <w:rFonts w:ascii="Arial" w:cs="Arial" w:eastAsia="Arial" w:hAnsi="Arial"/>
          <w:sz w:val="18"/>
          <w:szCs w:val="18"/>
          <w:color w:val="auto"/>
        </w:rPr>
      </w:pPr>
    </w:p>
    <w:p>
      <w:pPr>
        <w:ind w:left="1040" w:right="60" w:hanging="384"/>
        <w:spacing w:after="0" w:line="277" w:lineRule="auto"/>
        <w:tabs>
          <w:tab w:leader="none" w:pos="1007"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on October 28, 2013 including any amendment or report filed for the purpose of updating such description.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not, however, incorporating any documents or information that we are deemed to furnish and not file in accordance with SEC rules.</w:t>
      </w:r>
    </w:p>
    <w:p>
      <w:pPr>
        <w:spacing w:after="0" w:line="225" w:lineRule="exact"/>
        <w:rPr>
          <w:sz w:val="20"/>
          <w:szCs w:val="20"/>
          <w:color w:val="auto"/>
        </w:rPr>
      </w:pPr>
    </w:p>
    <w:p>
      <w:pPr>
        <w:jc w:val="both"/>
        <w:ind w:right="340" w:firstLine="648"/>
        <w:spacing w:after="0" w:line="259" w:lineRule="auto"/>
        <w:rPr>
          <w:sz w:val="20"/>
          <w:szCs w:val="20"/>
          <w:color w:val="auto"/>
        </w:rPr>
      </w:pPr>
      <w:r>
        <w:rPr>
          <w:rFonts w:ascii="Arial" w:cs="Arial" w:eastAsia="Arial" w:hAnsi="Arial"/>
          <w:sz w:val="18"/>
          <w:szCs w:val="18"/>
          <w:color w:val="auto"/>
        </w:rPr>
        <w:t>You may request a copy of any or all of the documents incorporated by reference but not delivered with this prospectus, at no cost, by writing or telephoning us at the following address and number: Investor Relations, Veracyte, Inc., 6000 Shoreline Court, Suite 300, South San Francisco, California 94080. We will not, however, send exhibits to those documents, unless the exhibits are specifically incorporated by reference in those documents. These documents are also available on our website at www.veracyte.com.</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229" w:lineRule="exact"/>
        <w:rPr>
          <w:sz w:val="20"/>
          <w:szCs w:val="20"/>
          <w:color w:val="auto"/>
        </w:rPr>
      </w:pPr>
    </w:p>
    <w:p>
      <w:pPr>
        <w:ind w:right="380" w:firstLine="648"/>
        <w:spacing w:after="0" w:line="342" w:lineRule="auto"/>
        <w:rPr>
          <w:sz w:val="20"/>
          <w:szCs w:val="20"/>
          <w:color w:val="auto"/>
        </w:rPr>
      </w:pPr>
      <w:r>
        <w:rPr>
          <w:rFonts w:ascii="Arial" w:cs="Arial" w:eastAsia="Arial" w:hAnsi="Arial"/>
          <w:sz w:val="16"/>
          <w:szCs w:val="16"/>
          <w:color w:val="auto"/>
        </w:rPr>
        <w:t>The following is a statement of estimated expenses in connection with the issuance and distribution of the securities being registered. Normal commission expenses and brokerage fees are payable individually by the selling stockholders. All amounts are estimated except the SEC registration fee.</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5,775</w:t>
            </w: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20,000</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w:t>
            </w: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Printing and miscellaneous fees and expenses</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14,225</w:t>
            </w:r>
          </w:p>
        </w:tc>
      </w:tr>
      <w:tr>
        <w:trPr>
          <w:trHeight w:val="210"/>
        </w:trPr>
        <w:tc>
          <w:tcPr>
            <w:tcW w:w="996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Section 145 of the General Corporation Law of the State of Delaware (the “DGCL”) provides for the indemnification of officers, directors, and other corporate agents in terms sufficiently broad to indemnify such persons under certain circumstances for liabilities (including reimbursement for expenses incurred) arising under the Securities Act of 1933. Article VIII of the Registrant’s Restated Certificate of Incorporation and Article 6 of the Registrant’s Amended and Restated Bylaws provide for indemnification of the Registrant’s directors, officers, employees and other agents to the extent and under the circumstances permitted by the DGCL. The Registrant has also entered into agreements with its directors and officers that will require the Registrant, among other things, to indemnify them against certain liabilities that may arise by reason of their status or service as directors or officers to the fullest extent not prohibited by law.</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sets forth information regarding all unregistered securities sold since January 1, 2012 through March 11, 2016.</w:t>
      </w:r>
    </w:p>
    <w:p>
      <w:pPr>
        <w:spacing w:after="0" w:line="225" w:lineRule="exact"/>
        <w:rPr>
          <w:sz w:val="20"/>
          <w:szCs w:val="20"/>
          <w:color w:val="auto"/>
        </w:rPr>
      </w:pPr>
    </w:p>
    <w:p>
      <w:pPr>
        <w:ind w:right="120" w:firstLine="648"/>
        <w:spacing w:after="0" w:line="325" w:lineRule="auto"/>
        <w:rPr>
          <w:sz w:val="20"/>
          <w:szCs w:val="20"/>
          <w:color w:val="auto"/>
        </w:rPr>
      </w:pPr>
      <w:r>
        <w:rPr>
          <w:rFonts w:ascii="Arial" w:cs="Arial" w:eastAsia="Arial" w:hAnsi="Arial"/>
          <w:sz w:val="16"/>
          <w:szCs w:val="16"/>
          <w:color w:val="auto"/>
        </w:rPr>
        <w:t>From January 1, 2012 through October 29, 2013, the Registrant has granted to its directors, officers and employees options to purchase 1,626,973 shares of common stock under the Registrant’s 2008 Stock Plan, as amended, with per share exercise prices ranging from $2.68 to $12.12, and issued 90,826 shares of common stock upon exercise of such options for aggregate consideration of $264,000, at exercise prices ranging from $2.68 to $4.00.</w:t>
      </w:r>
      <w:r>
        <w:rPr>
          <w:rFonts w:ascii="Arial" w:cs="Arial" w:eastAsia="Arial" w:hAnsi="Arial"/>
          <w:sz w:val="20"/>
          <w:szCs w:val="20"/>
          <w:color w:val="auto"/>
          <w:vertAlign w:val="superscript"/>
        </w:rPr>
        <w:t>(1)</w:t>
      </w:r>
    </w:p>
    <w:p>
      <w:pPr>
        <w:spacing w:after="0" w:line="55" w:lineRule="exact"/>
        <w:rPr>
          <w:sz w:val="20"/>
          <w:szCs w:val="20"/>
          <w:color w:val="auto"/>
        </w:rPr>
      </w:pPr>
    </w:p>
    <w:p>
      <w:pPr>
        <w:ind w:right="380" w:firstLine="648"/>
        <w:spacing w:after="0" w:line="292" w:lineRule="auto"/>
        <w:rPr>
          <w:sz w:val="20"/>
          <w:szCs w:val="20"/>
          <w:color w:val="auto"/>
        </w:rPr>
      </w:pPr>
      <w:r>
        <w:rPr>
          <w:rFonts w:ascii="Arial" w:cs="Arial" w:eastAsia="Arial" w:hAnsi="Arial"/>
          <w:sz w:val="18"/>
          <w:szCs w:val="18"/>
          <w:color w:val="auto"/>
        </w:rPr>
        <w:t>From November 6, 2012 to June 27, 2013, the Registrant issued and sold an aggregate of 14,841,269 shares of its Series C convertible preferred stock at $1.89 per share to 11 accredited investors for aggregate consideration of $28.0 million.</w:t>
      </w:r>
      <w:r>
        <w:rPr>
          <w:rFonts w:ascii="Arial" w:cs="Arial" w:eastAsia="Arial" w:hAnsi="Arial"/>
          <w:sz w:val="23"/>
          <w:szCs w:val="23"/>
          <w:color w:val="auto"/>
          <w:vertAlign w:val="superscript"/>
        </w:rPr>
        <w:t>(2)</w:t>
      </w:r>
    </w:p>
    <w:p>
      <w:pPr>
        <w:spacing w:after="0" w:line="75" w:lineRule="exact"/>
        <w:rPr>
          <w:sz w:val="20"/>
          <w:szCs w:val="20"/>
          <w:color w:val="auto"/>
        </w:rPr>
      </w:pPr>
    </w:p>
    <w:p>
      <w:pPr>
        <w:ind w:right="20" w:firstLine="648"/>
        <w:spacing w:after="0" w:line="325" w:lineRule="auto"/>
        <w:rPr>
          <w:sz w:val="20"/>
          <w:szCs w:val="20"/>
          <w:color w:val="auto"/>
        </w:rPr>
      </w:pPr>
      <w:r>
        <w:rPr>
          <w:rFonts w:ascii="Arial" w:cs="Arial" w:eastAsia="Arial" w:hAnsi="Arial"/>
          <w:sz w:val="16"/>
          <w:szCs w:val="16"/>
          <w:color w:val="auto"/>
        </w:rPr>
        <w:t>On June 26, 2013, the Registrant issued a warrant to purchase up to 49,602 shares of its Series C convertible preferred stock with an exercise price of $7.56 per share, which became exercisable for 24,801 shares of common stock upon completion of the Registrant’s initial public offering. The holder exercised the warrant with respect to 24,801 shares through a cashless exercise in March 2014, resulting in the issuance of 13,739 shares common stock.</w:t>
      </w:r>
      <w:r>
        <w:rPr>
          <w:rFonts w:ascii="Arial" w:cs="Arial" w:eastAsia="Arial" w:hAnsi="Arial"/>
          <w:sz w:val="20"/>
          <w:szCs w:val="20"/>
          <w:color w:val="auto"/>
          <w:vertAlign w:val="superscript"/>
        </w:rPr>
        <w:t>(1)</w:t>
      </w:r>
    </w:p>
    <w:p>
      <w:pPr>
        <w:spacing w:after="0" w:line="55" w:lineRule="exact"/>
        <w:rPr>
          <w:sz w:val="20"/>
          <w:szCs w:val="20"/>
          <w:color w:val="auto"/>
        </w:rPr>
      </w:pPr>
    </w:p>
    <w:p>
      <w:pPr>
        <w:ind w:right="60" w:firstLine="648"/>
        <w:spacing w:after="0" w:line="316" w:lineRule="auto"/>
        <w:rPr>
          <w:sz w:val="20"/>
          <w:szCs w:val="20"/>
          <w:color w:val="auto"/>
        </w:rPr>
      </w:pPr>
      <w:r>
        <w:rPr>
          <w:rFonts w:ascii="Arial" w:cs="Arial" w:eastAsia="Arial" w:hAnsi="Arial"/>
          <w:sz w:val="17"/>
          <w:szCs w:val="17"/>
          <w:color w:val="auto"/>
        </w:rPr>
        <w:t>On April 28, 2015, the Registrant issued and sold an aggregate of 4,907,975 shares of its common stock at $8.15 per share to 14 accredited investors for net proceeds of $37.3 million, after deducting placement agent fees and other expenses payable by the Registrant of $2.7 million.</w:t>
      </w:r>
      <w:r>
        <w:rPr>
          <w:rFonts w:ascii="Arial" w:cs="Arial" w:eastAsia="Arial" w:hAnsi="Arial"/>
          <w:sz w:val="22"/>
          <w:szCs w:val="22"/>
          <w:color w:val="auto"/>
          <w:vertAlign w:val="superscript"/>
        </w:rPr>
        <w:t>(2)</w:t>
      </w:r>
    </w:p>
    <w:p>
      <w:pPr>
        <w:spacing w:after="0" w:line="58" w:lineRule="exact"/>
        <w:rPr>
          <w:sz w:val="20"/>
          <w:szCs w:val="20"/>
          <w:color w:val="auto"/>
        </w:rPr>
      </w:pPr>
    </w:p>
    <w:p>
      <w:pPr>
        <w:ind w:right="580" w:firstLine="648"/>
        <w:spacing w:after="0" w:line="342"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The Registrant believes that each transaction was exempt from the registration requirements of the Securities Act in reliance on the following exemptions: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ectPr>
          <w:pgSz w:w="11900" w:h="16838" w:orient="portrait"/>
          <w:cols w:equalWidth="0" w:num="1">
            <w:col w:w="11420"/>
          </w:cols>
          <w:pgMar w:left="240" w:top="125" w:right="239" w:bottom="194" w:gutter="0" w:footer="0" w:header="0"/>
        </w:sectPr>
      </w:pPr>
    </w:p>
    <w:bookmarkStart w:id="7" w:name="page8"/>
    <w:bookmarkEnd w:id="7"/>
    <w:p>
      <w:pPr>
        <w:spacing w:after="0" w:line="32" w:lineRule="exact"/>
        <w:rPr>
          <w:sz w:val="20"/>
          <w:szCs w:val="20"/>
          <w:color w:val="auto"/>
        </w:rPr>
      </w:pPr>
    </w:p>
    <w:p>
      <w:pPr>
        <w:ind w:right="220" w:firstLine="8"/>
        <w:spacing w:after="0" w:line="279" w:lineRule="auto"/>
        <w:tabs>
          <w:tab w:leader="none" w:pos="178"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These transactions were deemed to be exempt from registration under the Securities Act in reliance upon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73" w:lineRule="exact"/>
        <w:rPr>
          <w:rFonts w:ascii="Arial" w:cs="Arial" w:eastAsia="Arial" w:hAnsi="Arial"/>
          <w:sz w:val="20"/>
          <w:szCs w:val="20"/>
          <w:color w:val="auto"/>
          <w:vertAlign w:val="superscript"/>
        </w:rPr>
      </w:pPr>
    </w:p>
    <w:p>
      <w:pPr>
        <w:ind w:right="40" w:firstLine="8"/>
        <w:spacing w:after="0" w:line="279" w:lineRule="auto"/>
        <w:tabs>
          <w:tab w:leader="none" w:pos="178"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These transactions were deemed to be exempt from registration under the Securities Act in reliance upon Section 4(a)(2)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the Registrant or had adequate access, through their relationships with the Registrant, to information about the Registrant.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80" w:type="dxa"/>
            <w:vAlign w:val="bottom"/>
            <w:gridSpan w:val="4"/>
          </w:tcPr>
          <w:p>
            <w:pPr>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14"/>
                <w:szCs w:val="14"/>
                <w:color w:val="auto"/>
              </w:rPr>
            </w:pP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Agreement and Plan of Merger, dated September 4, 2014, by and among Veracyte, Inc., Full Moon Acquisition, Inc., Allegro Diagnostics</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4"/>
              </w:rPr>
              <w:t>Corp., Andrey Zarur, as the Stockholders’ Agent, Kodiak Venture Partners III, L.P., Kodiak III Entrepreneurs Fund, L.P. and Catalyst</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Health Ventures L.P. (incorporated by reference to Exhibit 2.1 to the Registrant’s Form 10-Q for the quarterly period ended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September 30, 2014).</w:t>
            </w:r>
          </w:p>
        </w:tc>
        <w:tc>
          <w:tcPr>
            <w:tcW w:w="40" w:type="dxa"/>
            <w:vAlign w:val="bottom"/>
          </w:tcPr>
          <w:p>
            <w:pPr>
              <w:spacing w:after="0"/>
              <w:rPr>
                <w:sz w:val="20"/>
                <w:szCs w:val="20"/>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4"/>
              </w:rPr>
              <w:t>Restated Certificate of Incorporation of the Registrant (incorporated by reference to Exhibit 3.1 to the Registrant’s Current Report on</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Form 8-K filed November 8, 2013).</w:t>
            </w:r>
          </w:p>
        </w:tc>
        <w:tc>
          <w:tcPr>
            <w:tcW w:w="40" w:type="dxa"/>
            <w:vAlign w:val="bottom"/>
          </w:tcPr>
          <w:p>
            <w:pPr>
              <w:spacing w:after="0"/>
              <w:rPr>
                <w:sz w:val="20"/>
                <w:szCs w:val="20"/>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1"/>
              </w:rPr>
              <w:t>Amended and Restated Bylaws of the Registrant (incorporated by reference to Exhibit 3.2 to the Registrant’s Current Report on Form 8-</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K filed November 8, 2013).</w:t>
            </w:r>
          </w:p>
        </w:tc>
        <w:tc>
          <w:tcPr>
            <w:tcW w:w="40" w:type="dxa"/>
            <w:vAlign w:val="bottom"/>
          </w:tcPr>
          <w:p>
            <w:pPr>
              <w:spacing w:after="0"/>
              <w:rPr>
                <w:sz w:val="20"/>
                <w:szCs w:val="20"/>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4"/>
              </w:rPr>
              <w:t>Form of Common Stock Certificate (incorporated by reference to Exhibit 4.1 to the Registrant’s Registration Statement on Form S-1</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(File No. 333-191282), as amended, declared effective on October 29, 2013).</w:t>
            </w:r>
          </w:p>
        </w:tc>
        <w:tc>
          <w:tcPr>
            <w:tcW w:w="40" w:type="dxa"/>
            <w:vAlign w:val="bottom"/>
          </w:tcPr>
          <w:p>
            <w:pPr>
              <w:spacing w:after="0"/>
              <w:rPr>
                <w:sz w:val="20"/>
                <w:szCs w:val="20"/>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3"/>
              </w:rPr>
              <w:t>Second Amended and Restated Investors Rights Agreement, dated November 6, 2012, between the Registrant and certain investors</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3"/>
              </w:rPr>
              <w:t>(incorporated by reference to Exhibit 4.2 to the Registrant’s Registration Statement on Form S-1 (File No. 333-191282), as amended,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declared effective on October 29, 2013).</w:t>
            </w:r>
          </w:p>
        </w:tc>
        <w:tc>
          <w:tcPr>
            <w:tcW w:w="40" w:type="dxa"/>
            <w:vAlign w:val="bottom"/>
          </w:tcPr>
          <w:p>
            <w:pPr>
              <w:spacing w:after="0"/>
              <w:rPr>
                <w:sz w:val="20"/>
                <w:szCs w:val="20"/>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2"/>
              </w:rPr>
              <w:t>Amendment to Second Amended and Restated Investors Rights Agreement, dated June 14, 2013, between the Registrant and certain</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4"/>
              </w:rPr>
              <w:t>investors (incorporated by reference to Exhibit 4.3 to the Registrant’s Registration Statement on Form S-1 (File No. 333-191282), as</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amended, declared effective on October 29, 2013).</w:t>
            </w:r>
          </w:p>
        </w:tc>
        <w:tc>
          <w:tcPr>
            <w:tcW w:w="40" w:type="dxa"/>
            <w:vAlign w:val="bottom"/>
          </w:tcPr>
          <w:p>
            <w:pPr>
              <w:spacing w:after="0"/>
              <w:rPr>
                <w:sz w:val="20"/>
                <w:szCs w:val="20"/>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3"/>
              </w:rPr>
              <w:t>Registration Rights Agreement, dated as of April 22, 2015, by and among the several purchasers signatory thereto and the Registrant</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(incorporated by reference to Exhibit 10.2 to the Registrant’s Current Report on Form 8-K filed April 24, 2015).</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4080"/>
              <w:spacing w:after="0"/>
              <w:rPr>
                <w:sz w:val="20"/>
                <w:szCs w:val="20"/>
                <w:color w:val="auto"/>
              </w:rPr>
            </w:pPr>
            <w:r>
              <w:rPr>
                <w:rFonts w:ascii="Arial" w:cs="Arial" w:eastAsia="Arial" w:hAnsi="Arial"/>
                <w:sz w:val="18"/>
                <w:szCs w:val="18"/>
                <w:color w:val="auto"/>
              </w:rPr>
              <w:t>II-2</w:t>
            </w:r>
          </w:p>
        </w:tc>
        <w:tc>
          <w:tcPr>
            <w:tcW w:w="40" w:type="dxa"/>
            <w:vAlign w:val="bottom"/>
          </w:tcPr>
          <w:p>
            <w:pPr>
              <w:spacing w:after="0"/>
              <w:rPr>
                <w:sz w:val="24"/>
                <w:szCs w:val="24"/>
                <w:color w:val="auto"/>
              </w:rPr>
            </w:pPr>
          </w:p>
        </w:tc>
      </w:tr>
      <w:tr>
        <w:trPr>
          <w:trHeight w:val="132"/>
        </w:trPr>
        <w:tc>
          <w:tcPr>
            <w:tcW w:w="1280" w:type="dxa"/>
            <w:vAlign w:val="bottom"/>
            <w:tcBorders>
              <w:bottom w:val="single" w:sz="8" w:color="808080"/>
            </w:tcBorders>
            <w:gridSpan w:val="3"/>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2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5.1*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9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Opinion of Pillsbury Winthrop Shaw Pittman LLP.</w:t>
            </w:r>
          </w:p>
        </w:tc>
        <w:tc>
          <w:tcPr>
            <w:tcW w:w="40" w:type="dxa"/>
            <w:vAlign w:val="bottom"/>
          </w:tcPr>
          <w:p>
            <w:pPr>
              <w:spacing w:after="0"/>
              <w:rPr>
                <w:sz w:val="19"/>
                <w:szCs w:val="19"/>
                <w:color w:val="auto"/>
              </w:rPr>
            </w:pPr>
          </w:p>
        </w:tc>
      </w:tr>
      <w:tr>
        <w:trPr>
          <w:trHeight w:val="404"/>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10.1#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3"/>
              </w:rPr>
              <w:t>Form of Indemnification Agreement between the Registrant and its officers and directors (incorporated by reference to Exhibit 10.1 to</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5"/>
              </w:rPr>
              <w:t>the Registrant’s Registration Statement on Form S-1 (File No. 333-191282), as amended, declared effective on October 29, 2013).</w:t>
            </w:r>
          </w:p>
        </w:tc>
        <w:tc>
          <w:tcPr>
            <w:tcW w:w="40" w:type="dxa"/>
            <w:vAlign w:val="bottom"/>
          </w:tcPr>
          <w:p>
            <w:pPr>
              <w:spacing w:after="0"/>
              <w:rPr>
                <w:sz w:val="20"/>
                <w:szCs w:val="20"/>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10.2#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7"/>
              </w:rPr>
              <w:t>2008 Stock Plan and forms of agreements thereunder (incorporated by reference to Exhibit 10.2 to the Registrant’s Registration</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c>
          <w:tcPr>
            <w:tcW w:w="40" w:type="dxa"/>
            <w:vAlign w:val="bottom"/>
          </w:tcPr>
          <w:p>
            <w:pPr>
              <w:spacing w:after="0"/>
              <w:rPr>
                <w:sz w:val="20"/>
                <w:szCs w:val="20"/>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10.3#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0"/>
              </w:rPr>
              <w:t>2013 Stock Incentive Plan and forms of agreements thereunder (incorporated by reference to Exhibit 10.3 to the Registrant’s Registration</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c>
          <w:tcPr>
            <w:tcW w:w="40" w:type="dxa"/>
            <w:vAlign w:val="bottom"/>
          </w:tcPr>
          <w:p>
            <w:pPr>
              <w:spacing w:after="0"/>
              <w:rPr>
                <w:sz w:val="20"/>
                <w:szCs w:val="20"/>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10.4#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0"/>
              </w:rPr>
              <w:t>Veracyte, Inc. Employee Stock Purchase Plan (incorporated by reference to Exhibit 10.1 to the Registrant’s Quarterly Report on Form 10-</w:t>
            </w:r>
          </w:p>
        </w:tc>
        <w:tc>
          <w:tcPr>
            <w:tcW w:w="4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Q for the quarterly period ended June 30, 2015, as amended).</w:t>
            </w:r>
          </w:p>
        </w:tc>
        <w:tc>
          <w:tcPr>
            <w:tcW w:w="40" w:type="dxa"/>
            <w:vAlign w:val="bottom"/>
          </w:tcPr>
          <w:p>
            <w:pPr>
              <w:spacing w:after="0"/>
              <w:rPr>
                <w:sz w:val="20"/>
                <w:szCs w:val="20"/>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0"/>
              </w:rPr>
              <w:t>Lease Agreement dated as of February 10, 2010 between ARE-San Francisco No 17, LLC and the Registrant (incorporated by reference</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6"/>
              </w:rPr>
              <w:t>to Exhibit 10.4 to the Registrant’s Registration Statement on Form S-1 (File No. 333-191282), as amended, declared effective on</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October 29, 2013).</w:t>
            </w:r>
          </w:p>
        </w:tc>
        <w:tc>
          <w:tcPr>
            <w:tcW w:w="40" w:type="dxa"/>
            <w:vAlign w:val="bottom"/>
          </w:tcPr>
          <w:p>
            <w:pPr>
              <w:spacing w:after="0"/>
              <w:rPr>
                <w:sz w:val="20"/>
                <w:szCs w:val="20"/>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4"/>
              </w:rPr>
              <w:t>First Amendment to Lease Agreement entered into as of July 11, 2012 between ARE-San Francisco No 17, LLC and the Registrant</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2"/>
              </w:rPr>
              <w:t>(incorporated by reference to Exhibit 10.5 to the Registrant’s Registration Statement on Form S-1 (File No. 333-191282), as amended,</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declared effective on October 29, 2013).</w:t>
            </w:r>
          </w:p>
        </w:tc>
        <w:tc>
          <w:tcPr>
            <w:tcW w:w="40" w:type="dxa"/>
            <w:vAlign w:val="bottom"/>
          </w:tcPr>
          <w:p>
            <w:pPr>
              <w:spacing w:after="0"/>
              <w:rPr>
                <w:sz w:val="20"/>
                <w:szCs w:val="20"/>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2"/>
              </w:rPr>
              <w:t>Lease Agreement between Riata Holdings, L.P., as landlord, and the Registrant, as tenant, dated November 28, 2012 (incorporated by</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1"/>
              </w:rPr>
              <w:t>reference to Exhibit 10.6 to the Registrant’s Registration Statement on Form S-1 (File No. 333-191282), as amended, declared effective</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on October 29, 2013).</w:t>
            </w:r>
          </w:p>
        </w:tc>
        <w:tc>
          <w:tcPr>
            <w:tcW w:w="40" w:type="dxa"/>
            <w:vAlign w:val="bottom"/>
          </w:tcPr>
          <w:p>
            <w:pPr>
              <w:spacing w:after="0"/>
              <w:rPr>
                <w:sz w:val="20"/>
                <w:szCs w:val="20"/>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0"/>
              </w:rPr>
              <w:t>First Amendment to Lease Agreement dated as of January 7, 2014 by and between Riata Holdings, L.P. and the Registrant (incorporated</w:t>
            </w:r>
          </w:p>
        </w:tc>
        <w:tc>
          <w:tcPr>
            <w:tcW w:w="4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5"/>
              </w:rPr>
              <w:t>by reference to Exhibit 10.7 to the Registrant’s Annual Report on Form 10-K for the year ended December 31, 2013 filed March 20,</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20"/>
                <w:szCs w:val="20"/>
                <w:color w:val="auto"/>
              </w:rPr>
            </w:pPr>
          </w:p>
        </w:tc>
      </w:tr>
      <w:tr>
        <w:trPr>
          <w:trHeight w:val="432"/>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w w:val="95"/>
              </w:rPr>
              <w:t>Office Building Lease by and between American Fund US Investments LP and the Registrant dated April 29, 2015 (incorporated by</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-4838065</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-4838065</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125" w:right="19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1"/>
              </w:rPr>
              <w:t>reference to Exhibit 10.2 to the Registrant’s Quarterly Report on Form 10-Q for the quarterly period ended June 30, 2015, as amended).</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10.10#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4"/>
              </w:rPr>
              <w:t>Employment Agreement, dated as of February 15, 2008, between Bonnie Anderson and the Registrant (incorporated by reference to</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7"/>
              </w:rPr>
              <w:t>Exhibit 10.10 to the Registrant’s Registration Statement on Form S-1 (File No. 333- 191282), as amended, declared effective on</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October 29, 2013).</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10.11#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0"/>
              </w:rPr>
              <w:t>Amendment to Bonnie Anderson Employment Agreement, dated as of December 22, 2008, between Bonnie Anderson and the Registrant</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(incorporated by reference to Exhibit 10.11 to the Registrant’s Registration Statement on Form S-1 (File No. 333-191282), as amended,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declared effective on October 29, 2013).</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10.12#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5"/>
              </w:rPr>
              <w:t>Amendment No. 2 to Bonnie Anderson Employment Agreement, effective as of March 11, 2009, between Bonnie Anderson and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Registrant (incorporated by reference to Exhibit 10.12 to the Registrant’s Registration Statement on Form S-1 (File No. 333-191282), as</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amended, declared effective on October 29, 2013).</w:t>
            </w: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60" w:type="dxa"/>
            <w:vAlign w:val="bottom"/>
            <w:gridSpan w:val="2"/>
          </w:tcPr>
          <w:p>
            <w:pPr>
              <w:ind w:left="4080"/>
              <w:spacing w:after="0"/>
              <w:rPr>
                <w:sz w:val="20"/>
                <w:szCs w:val="20"/>
                <w:color w:val="auto"/>
              </w:rPr>
            </w:pPr>
            <w:r>
              <w:rPr>
                <w:rFonts w:ascii="Arial" w:cs="Arial" w:eastAsia="Arial" w:hAnsi="Arial"/>
                <w:sz w:val="18"/>
                <w:szCs w:val="18"/>
                <w:color w:val="auto"/>
              </w:rPr>
              <w:t>II-3</w:t>
            </w: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60" w:type="dxa"/>
            <w:vAlign w:val="bottom"/>
            <w:gridSpan w:val="2"/>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10.13#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Amended and Restated Change of Control and Severance Agreement, effective as of May 14, 2015, between Bonnie Anderson and the</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Registrant (incorporated by reference to Exhibit 10.1 to the Registrant’s Quarterly Report on Form 10-Q for the quarterly period ended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March 31, 2015, as amended).</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10.14#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Amended and Restated Change of Control and Severance Agreement, effective as of May 14, 2015, between Christopher Hall and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Registrant (incorporated by reference to Exhibit 10.3 to the Registrant’s Quarterly Report on Form 10-Q for the quarterly period ended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March 31, 2015, as amended).</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10.15#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5"/>
              </w:rPr>
              <w:t>Amended and Restated Change of Control and Severance Agreement, effective as of May 14, 2015, between Shelly Guyer and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Registrant (incorporated by reference to Exhibit 10.2 to the Registrant’s Quarterly Report on Form 10-Q for the quarterly period ended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March 31, 2015, as amended).</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10.16#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5"/>
              </w:rPr>
              <w:t>Amended and Restated Change of Control and Severance Agreement, effective as of May 14, 2015, between Julie Brooks and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Registrant (incorporated by reference to Exhibit 10.4 to the Registrant’s Quarterly Report on Form 10-Q for the quarterly period ended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March 31, 2015, as amended).</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10.17#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4"/>
              </w:rPr>
              <w:t>Offer Letter dated as of April 8, 2013 with Shelly D. Guyer (incorporated by reference to Exhibit 10.17 to the Registrant’s Registration</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10.18#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7"/>
              </w:rPr>
              <w:t>Offer Letter dated as of January 28, 2010 with Christopher M. Hall (incorporated by reference to Exhibit 10.18 to the Registrant’s</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S-1 (File No. 333-191282), as amended, declared effective on October 29, 2013).</w:t>
            </w:r>
          </w:p>
        </w:tc>
      </w:tr>
      <w:tr>
        <w:trPr>
          <w:trHeight w:val="418"/>
        </w:trPr>
        <w:tc>
          <w:tcPr>
            <w:tcW w:w="20" w:type="dxa"/>
            <w:vAlign w:val="bottom"/>
          </w:tcPr>
          <w:p>
            <w:pPr>
              <w:spacing w:after="0"/>
              <w:rPr>
                <w:sz w:val="24"/>
                <w:szCs w:val="2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10.19†</w:t>
            </w: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0"/>
              </w:rPr>
              <w:t>Pathology Services Agreement dated as of November 12, 2010 between Brazos Valley Pathology, P.A. D/B/A Reitpath and the Registrant</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(incorporated by reference to Exhibit 10.19 to the Registrant’s Registration Statement on Form S-1 (File No. 333-191282), as amended,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declared effective on October 29, 2013).</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Approval of the Registrant to the Assignment of the Pathology Services Agreement with Brazos Valley Pathology to Thyroid</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Cytopathology Partners, P.A. as of May 18, 2011 (incorporated by reference to Exhibit 10.20 to the Registrant’s Registration Statement</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on Form S-1 (File No. 333-191282), as amended, declared effective on October 29, 2013).</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First Amendment to Pathology Services Agreement dated as of December 19, 2012 between Thyroid Cytopathology Partners, P.A. and</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1"/>
              </w:rPr>
              <w:t>the Registrant (incorporated by reference to Exhibit 10.21 to the Registrant’s Registration Statement on Form S-1 (File No. 333-191282),</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as amended, declared effective on October 29, 2013).</w:t>
            </w: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60" w:type="dxa"/>
            <w:vAlign w:val="bottom"/>
            <w:gridSpan w:val="2"/>
          </w:tcPr>
          <w:p>
            <w:pPr>
              <w:ind w:left="4080"/>
              <w:spacing w:after="0"/>
              <w:rPr>
                <w:sz w:val="20"/>
                <w:szCs w:val="20"/>
                <w:color w:val="auto"/>
              </w:rPr>
            </w:pPr>
            <w:r>
              <w:rPr>
                <w:rFonts w:ascii="Arial" w:cs="Arial" w:eastAsia="Arial" w:hAnsi="Arial"/>
                <w:sz w:val="18"/>
                <w:szCs w:val="18"/>
                <w:color w:val="auto"/>
              </w:rPr>
              <w:t>II-4</w:t>
            </w:r>
          </w:p>
        </w:tc>
      </w:tr>
      <w:tr>
        <w:trPr>
          <w:trHeight w:val="132"/>
        </w:trPr>
        <w:tc>
          <w:tcPr>
            <w:tcW w:w="1280" w:type="dxa"/>
            <w:vAlign w:val="bottom"/>
            <w:tcBorders>
              <w:bottom w:val="single" w:sz="8" w:color="808080"/>
            </w:tcBorders>
            <w:gridSpan w:val="3"/>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12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60" w:type="dxa"/>
            <w:vAlign w:val="bottom"/>
            <w:gridSpan w:val="2"/>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Second Amendment to Pathology Services Agreement dated as of January 1, 2014 by and between the Registrant and Thyroid</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Cytopathology Partners, P.A. (incorporated by reference to Exhibit 10.23 to the Registrant’s Annual Report on Form 10-K for the year</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ended December 31, 2013).</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Loan and Security Agreement dated as of June 26, 2013 between Silicon Valley Bank and the Registrant (incorporated by reference to</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9"/>
              </w:rPr>
              <w:t>Exhibit 10.9 to the Registrant’s Registration Statement on Form S-1 (File No. 333-191282), as amended, declared effective on</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October 29, 2013).</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10.24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Consent and First Amendment to Loan and Security Agreement dated as of December 18, 2014 between Silicon Valley Bank and the</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8"/>
              </w:rPr>
              <w:t>Registrant (incorporated by reference to Exhibit 10.1 to the Registrant’s Current Report on Form 8-K filed December 18, 2014).</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10.25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1"/>
              </w:rPr>
              <w:t>Consent and Second Amendment to Loan and Security Agreement dated as of November 24, 2015 between Silicon Valley Bank and the</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8"/>
              </w:rPr>
              <w:t>Registrant (incorporated by reference to Exhibit 10.1 to the Registrant’s Current Report on Form 8-K filed November 24, 2015).</w:t>
            </w:r>
          </w:p>
        </w:tc>
      </w:tr>
      <w:tr>
        <w:trPr>
          <w:trHeight w:val="418"/>
        </w:trPr>
        <w:tc>
          <w:tcPr>
            <w:tcW w:w="20" w:type="dxa"/>
            <w:vAlign w:val="bottom"/>
          </w:tcPr>
          <w:p>
            <w:pPr>
              <w:spacing w:after="0"/>
              <w:rPr>
                <w:sz w:val="24"/>
                <w:szCs w:val="2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10.26†</w:t>
            </w: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1"/>
              </w:rPr>
              <w:t>Co-promotion Agreement dated as of January 18, 2012 between Genzyme Corporation and the Registrant (incorporated by reference to</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9"/>
              </w:rPr>
              <w:t>Exhibit 10.7 to the Registrant’s Registration Statement on Form S-1 (File No. 333-191282), as amended, declared effective 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-8319770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-8319770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-2822575</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-2822575</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9" w:name="page10"/>
    <w:bookmarkEnd w:id="9"/>
    <w:tbl>
      <w:tblPr>
        <w:tblLayout w:type="fixed"/>
        <w:tblInd w:w="34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October 29, 2013).</w:t>
            </w:r>
          </w:p>
        </w:tc>
      </w:tr>
      <w:tr>
        <w:trPr>
          <w:trHeight w:val="418"/>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88"/>
              </w:rPr>
              <w:t>10.27</w:t>
            </w:r>
          </w:p>
        </w:tc>
        <w:tc>
          <w:tcPr>
            <w:tcW w:w="10140" w:type="dxa"/>
            <w:vAlign w:val="bottom"/>
          </w:tcPr>
          <w:p>
            <w:pPr>
              <w:ind w:left="340"/>
              <w:spacing w:after="0"/>
              <w:rPr>
                <w:sz w:val="20"/>
                <w:szCs w:val="20"/>
                <w:color w:val="auto"/>
              </w:rPr>
            </w:pPr>
            <w:r>
              <w:rPr>
                <w:rFonts w:ascii="Arial" w:cs="Arial" w:eastAsia="Arial" w:hAnsi="Arial"/>
                <w:sz w:val="18"/>
                <w:szCs w:val="18"/>
                <w:color w:val="auto"/>
                <w:w w:val="92"/>
              </w:rPr>
              <w:t>Amendment to Co-promotion Agreement, effective April 9, 2013, between Genzyme Corporation and the Registrant (incorporated by</w:t>
            </w:r>
          </w:p>
        </w:tc>
      </w:tr>
      <w:tr>
        <w:trPr>
          <w:trHeight w:val="216"/>
        </w:trPr>
        <w:tc>
          <w:tcPr>
            <w:tcW w:w="82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0"/>
              </w:rPr>
              <w:t>reference to Exhibit 10.8 to the Registrant’s Registration Statement on Form S-1 (File No. 333-191282), as amended, declared effective</w:t>
            </w:r>
          </w:p>
        </w:tc>
      </w:tr>
      <w:tr>
        <w:trPr>
          <w:trHeight w:val="230"/>
        </w:trPr>
        <w:tc>
          <w:tcPr>
            <w:tcW w:w="82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on October 29, 2013).</w:t>
            </w:r>
          </w:p>
        </w:tc>
      </w:tr>
      <w:tr>
        <w:trPr>
          <w:trHeight w:val="418"/>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87"/>
              </w:rPr>
              <w:t>10.28†</w:t>
            </w:r>
          </w:p>
        </w:tc>
        <w:tc>
          <w:tcPr>
            <w:tcW w:w="10140" w:type="dxa"/>
            <w:vAlign w:val="bottom"/>
          </w:tcPr>
          <w:p>
            <w:pPr>
              <w:ind w:left="340"/>
              <w:spacing w:after="0"/>
              <w:rPr>
                <w:sz w:val="20"/>
                <w:szCs w:val="20"/>
                <w:color w:val="auto"/>
              </w:rPr>
            </w:pPr>
            <w:r>
              <w:rPr>
                <w:rFonts w:ascii="Arial" w:cs="Arial" w:eastAsia="Arial" w:hAnsi="Arial"/>
                <w:sz w:val="18"/>
                <w:szCs w:val="18"/>
                <w:color w:val="auto"/>
                <w:w w:val="90"/>
              </w:rPr>
              <w:t>Amended and Restated U.S. Co-Promotion Agreement between the Registrant and Genzyme Corporation (incorporated by reference to</w:t>
            </w:r>
          </w:p>
        </w:tc>
      </w:tr>
      <w:tr>
        <w:trPr>
          <w:trHeight w:val="230"/>
        </w:trPr>
        <w:tc>
          <w:tcPr>
            <w:tcW w:w="82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Exhibit 10.1 to the Registrant’s Form 10-Q for the quarterly period ended September 30, 2014).</w:t>
            </w:r>
          </w:p>
        </w:tc>
      </w:tr>
      <w:tr>
        <w:trPr>
          <w:trHeight w:val="418"/>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87"/>
              </w:rPr>
              <w:t>10.29†</w:t>
            </w:r>
          </w:p>
        </w:tc>
        <w:tc>
          <w:tcPr>
            <w:tcW w:w="10140" w:type="dxa"/>
            <w:vAlign w:val="bottom"/>
          </w:tcPr>
          <w:p>
            <w:pPr>
              <w:ind w:left="340"/>
              <w:spacing w:after="0"/>
              <w:rPr>
                <w:sz w:val="20"/>
                <w:szCs w:val="20"/>
                <w:color w:val="auto"/>
              </w:rPr>
            </w:pPr>
            <w:r>
              <w:rPr>
                <w:rFonts w:ascii="Arial" w:cs="Arial" w:eastAsia="Arial" w:hAnsi="Arial"/>
                <w:sz w:val="18"/>
                <w:szCs w:val="18"/>
                <w:color w:val="auto"/>
                <w:w w:val="90"/>
              </w:rPr>
              <w:t>Ex-U.S. Co-Promotion Agreement between the Registrant and Genzyme Corporation. (incorporated by reference to Exhibit 10.26 to the</w:t>
            </w:r>
          </w:p>
        </w:tc>
      </w:tr>
      <w:tr>
        <w:trPr>
          <w:trHeight w:val="230"/>
        </w:trPr>
        <w:tc>
          <w:tcPr>
            <w:tcW w:w="82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Registrant’s Annual Report Form 10-K for the year ended December 31, 2015, as amended).</w:t>
            </w:r>
          </w:p>
        </w:tc>
      </w:tr>
      <w:tr>
        <w:trPr>
          <w:trHeight w:val="432"/>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95"/>
              </w:rPr>
              <w:t>23.1*</w:t>
            </w:r>
          </w:p>
        </w:tc>
        <w:tc>
          <w:tcPr>
            <w:tcW w:w="10140" w:type="dxa"/>
            <w:vAlign w:val="bottom"/>
          </w:tcPr>
          <w:p>
            <w:pPr>
              <w:ind w:left="340"/>
              <w:spacing w:after="0"/>
              <w:rPr>
                <w:sz w:val="20"/>
                <w:szCs w:val="20"/>
                <w:color w:val="auto"/>
              </w:rPr>
            </w:pPr>
            <w:r>
              <w:rPr>
                <w:rFonts w:ascii="Arial" w:cs="Arial" w:eastAsia="Arial" w:hAnsi="Arial"/>
                <w:sz w:val="18"/>
                <w:szCs w:val="18"/>
                <w:color w:val="auto"/>
              </w:rPr>
              <w:t>Consent of Pillsbury Winthrop Shaw Pittman LLP (included in Exhibit 5.1).</w:t>
            </w:r>
          </w:p>
        </w:tc>
      </w:tr>
      <w:tr>
        <w:trPr>
          <w:trHeight w:val="432"/>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97"/>
              </w:rPr>
              <w:t>23.2**</w:t>
            </w:r>
          </w:p>
        </w:tc>
        <w:tc>
          <w:tcPr>
            <w:tcW w:w="10140" w:type="dxa"/>
            <w:vAlign w:val="bottom"/>
          </w:tcPr>
          <w:p>
            <w:pPr>
              <w:ind w:left="34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432"/>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97"/>
              </w:rPr>
              <w:t>23.3**</w:t>
            </w:r>
          </w:p>
        </w:tc>
        <w:tc>
          <w:tcPr>
            <w:tcW w:w="10140" w:type="dxa"/>
            <w:vAlign w:val="bottom"/>
          </w:tcPr>
          <w:p>
            <w:pPr>
              <w:ind w:left="34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80" w:hanging="372"/>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w:t>
      </w:r>
    </w:p>
    <w:p>
      <w:pPr>
        <w:spacing w:after="0" w:line="9" w:lineRule="exact"/>
        <w:rPr>
          <w:rFonts w:ascii="Arial" w:cs="Arial" w:eastAsia="Arial" w:hAnsi="Arial"/>
          <w:sz w:val="18"/>
          <w:szCs w:val="18"/>
          <w:color w:val="auto"/>
        </w:rPr>
      </w:pPr>
    </w:p>
    <w:p>
      <w:pPr>
        <w:ind w:right="6020"/>
        <w:spacing w:after="0" w:line="261" w:lineRule="auto"/>
        <w:rPr>
          <w:rFonts w:ascii="Arial" w:cs="Arial" w:eastAsia="Arial" w:hAnsi="Arial"/>
          <w:sz w:val="18"/>
          <w:szCs w:val="18"/>
          <w:color w:val="auto"/>
        </w:rPr>
      </w:pPr>
      <w:r>
        <w:rPr>
          <w:rFonts w:ascii="Arial" w:cs="Arial" w:eastAsia="Arial" w:hAnsi="Arial"/>
          <w:sz w:val="18"/>
          <w:szCs w:val="18"/>
          <w:color w:val="auto"/>
        </w:rPr>
        <w:t># Indicates management contract or compensatory plan or arrangement. ** Filed herewith.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r>
        <w:rPr>
          <w:rFonts w:ascii="Arial" w:cs="Arial" w:eastAsia="Arial" w:hAnsi="Arial"/>
          <w:sz w:val="18"/>
          <w:szCs w:val="18"/>
          <w:i w:val="1"/>
          <w:i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undersigned registrant hereby undertakes:</w:t>
      </w:r>
    </w:p>
    <w:p>
      <w:pPr>
        <w:spacing w:after="0" w:line="225" w:lineRule="exact"/>
        <w:rPr>
          <w:sz w:val="20"/>
          <w:szCs w:val="20"/>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00" w:hanging="439"/>
        <w:spacing w:after="0"/>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ind w:left="180" w:right="120" w:firstLine="881"/>
        <w:spacing w:after="0" w:line="255" w:lineRule="auto"/>
        <w:tabs>
          <w:tab w:leader="none" w:pos="1516"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189" w:lineRule="exact"/>
        <w:rPr>
          <w:rFonts w:ascii="Arial" w:cs="Arial" w:eastAsia="Arial" w:hAnsi="Arial"/>
          <w:sz w:val="18"/>
          <w:szCs w:val="18"/>
          <w:color w:val="auto"/>
        </w:rPr>
      </w:pPr>
    </w:p>
    <w:p>
      <w:pPr>
        <w:ind w:left="180" w:right="180" w:firstLine="881"/>
        <w:spacing w:after="0" w:line="277" w:lineRule="auto"/>
        <w:tabs>
          <w:tab w:leader="none" w:pos="1521" w:val="left"/>
        </w:tabs>
        <w:numPr>
          <w:ilvl w:val="1"/>
          <w:numId w:val="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w:t>
      </w:r>
      <w:r>
        <w:rPr>
          <w:rFonts w:ascii="Arial" w:cs="Arial" w:eastAsia="Arial" w:hAnsi="Arial"/>
          <w:sz w:val="18"/>
          <w:szCs w:val="18"/>
          <w:i w:val="1"/>
          <w:iCs w:val="1"/>
          <w:color w:val="auto"/>
        </w:rPr>
        <w:t xml:space="preserve"> that </w:t>
      </w:r>
      <w:r>
        <w:rPr>
          <w:rFonts w:ascii="Arial" w:cs="Arial" w:eastAsia="Arial" w:hAnsi="Arial"/>
          <w:sz w:val="18"/>
          <w:szCs w:val="18"/>
          <w:color w:val="auto"/>
        </w:rPr>
        <w:t>(i), (ii) and (iii) do not apply if the information required to be included in a post-effective amendment by those paragraphs is</w:t>
      </w:r>
      <w:r>
        <w:rPr>
          <w:rFonts w:ascii="Arial" w:cs="Arial" w:eastAsia="Arial" w:hAnsi="Arial"/>
          <w:sz w:val="18"/>
          <w:szCs w:val="18"/>
          <w:i w:val="1"/>
          <w:iCs w:val="1"/>
          <w:color w:val="auto"/>
        </w:rPr>
        <w:t xml:space="preserve"> </w:t>
      </w:r>
      <w:r>
        <w:rPr>
          <w:rFonts w:ascii="Arial" w:cs="Arial" w:eastAsia="Arial" w:hAnsi="Arial"/>
          <w:sz w:val="18"/>
          <w:szCs w:val="18"/>
          <w:color w:val="auto"/>
        </w:rPr>
        <w:t>contained in reports filed with or furnished to the Securities and Exchange Commission by the registrant pursuant to section 13 or section 15(d) of the Securities Exchange Act of 1934 that are incorporated by reference in the registration statement.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56"/>
        <w:spacing w:after="0" w:line="264" w:lineRule="auto"/>
        <w:tabs>
          <w:tab w:leader="none" w:pos="13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380" w:firstLine="656"/>
        <w:spacing w:after="0" w:line="277" w:lineRule="auto"/>
        <w:tabs>
          <w:tab w:leader="none" w:pos="135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right="60" w:firstLine="656"/>
        <w:spacing w:after="0" w:line="293" w:lineRule="auto"/>
        <w:tabs>
          <w:tab w:leader="none" w:pos="1353" w:val="left"/>
        </w:tabs>
        <w:numPr>
          <w:ilvl w:val="0"/>
          <w:numId w:val="10"/>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liability under the Securities Act of 1933 to any purchaser each prospectus filed by the registrant pursuant to Rule 424(b) as part of a registration statement relating to an offering shall be deemed to be part of and included in the registration statement as of the date it is first used after effectiveness.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first use.</w:t>
      </w:r>
    </w:p>
    <w:p>
      <w:pPr>
        <w:spacing w:after="0" w:line="164" w:lineRule="exact"/>
        <w:rPr>
          <w:rFonts w:ascii="Arial" w:cs="Arial" w:eastAsia="Arial" w:hAnsi="Arial"/>
          <w:sz w:val="16"/>
          <w:szCs w:val="16"/>
          <w:color w:val="auto"/>
        </w:rPr>
      </w:pPr>
    </w:p>
    <w:p>
      <w:pPr>
        <w:ind w:left="1360" w:hanging="704"/>
        <w:spacing w:after="0"/>
        <w:tabs>
          <w:tab w:leader="none" w:pos="13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securities:</w:t>
      </w:r>
    </w:p>
    <w:p>
      <w:pPr>
        <w:spacing w:after="0" w:line="211" w:lineRule="exact"/>
        <w:rPr>
          <w:sz w:val="20"/>
          <w:szCs w:val="20"/>
          <w:color w:val="auto"/>
        </w:rPr>
      </w:pPr>
    </w:p>
    <w:p>
      <w:pPr>
        <w:ind w:left="660" w:firstLine="648"/>
        <w:spacing w:after="0" w:line="259" w:lineRule="auto"/>
        <w:rPr>
          <w:sz w:val="20"/>
          <w:szCs w:val="20"/>
          <w:color w:val="auto"/>
        </w:rPr>
      </w:pPr>
      <w:r>
        <w:rPr>
          <w:rFonts w:ascii="Arial" w:cs="Arial" w:eastAsia="Arial" w:hAnsi="Arial"/>
          <w:sz w:val="18"/>
          <w:szCs w:val="18"/>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87" w:lineRule="exact"/>
        <w:rPr>
          <w:sz w:val="20"/>
          <w:szCs w:val="20"/>
          <w:color w:val="auto"/>
        </w:rPr>
      </w:pPr>
    </w:p>
    <w:p>
      <w:pPr>
        <w:ind w:left="2020" w:hanging="715"/>
        <w:spacing w:after="0"/>
        <w:tabs>
          <w:tab w:leader="none" w:pos="2020" w:val="left"/>
        </w:tabs>
        <w:numPr>
          <w:ilvl w:val="0"/>
          <w:numId w:val="11"/>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w:t>
      </w:r>
    </w:p>
    <w:p>
      <w:pPr>
        <w:spacing w:after="0" w:line="34" w:lineRule="exact"/>
        <w:rPr>
          <w:rFonts w:ascii="Arial" w:cs="Arial" w:eastAsia="Arial" w:hAnsi="Arial"/>
          <w:sz w:val="17"/>
          <w:szCs w:val="17"/>
          <w:color w:val="auto"/>
        </w:rPr>
      </w:pPr>
    </w:p>
    <w:p>
      <w:pPr>
        <w:ind w:left="660"/>
        <w:spacing w:after="0"/>
        <w:rPr>
          <w:rFonts w:ascii="Arial" w:cs="Arial" w:eastAsia="Arial" w:hAnsi="Arial"/>
          <w:sz w:val="17"/>
          <w:szCs w:val="17"/>
          <w:color w:val="auto"/>
        </w:rPr>
      </w:pPr>
      <w:r>
        <w:rPr>
          <w:rFonts w:ascii="Arial" w:cs="Arial" w:eastAsia="Arial" w:hAnsi="Arial"/>
          <w:sz w:val="18"/>
          <w:szCs w:val="18"/>
          <w:color w:val="auto"/>
        </w:rPr>
        <w:t>Rule 424;</w:t>
      </w:r>
    </w:p>
    <w:p>
      <w:pPr>
        <w:sectPr>
          <w:pgSz w:w="11900" w:h="16838" w:orient="portrait"/>
          <w:cols w:equalWidth="0" w:num="1">
            <w:col w:w="11420"/>
          </w:cols>
          <w:pgMar w:left="240" w:top="125" w:right="239" w:bottom="0" w:gutter="0" w:footer="0" w:header="0"/>
        </w:sectPr>
      </w:pPr>
    </w:p>
    <w:bookmarkStart w:id="10" w:name="page11"/>
    <w:bookmarkEnd w:id="10"/>
    <w:p>
      <w:pPr>
        <w:ind w:left="660" w:firstLine="645"/>
        <w:spacing w:after="0" w:line="277" w:lineRule="auto"/>
        <w:tabs>
          <w:tab w:leader="none" w:pos="2023"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660" w:right="300" w:firstLine="645"/>
        <w:spacing w:after="0" w:line="277" w:lineRule="auto"/>
        <w:tabs>
          <w:tab w:leader="none" w:pos="2028" w:val="left"/>
        </w:tabs>
        <w:numPr>
          <w:ilvl w:val="1"/>
          <w:numId w:val="1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2020" w:hanging="715"/>
        <w:spacing w:after="0"/>
        <w:tabs>
          <w:tab w:leader="none" w:pos="202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1360" w:hanging="704"/>
        <w:spacing w:after="0"/>
        <w:tabs>
          <w:tab w:leader="none" w:pos="13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That:</w:t>
      </w:r>
    </w:p>
    <w:p>
      <w:pPr>
        <w:spacing w:after="0" w:line="225" w:lineRule="exact"/>
        <w:rPr>
          <w:rFonts w:ascii="Arial" w:cs="Arial" w:eastAsia="Arial" w:hAnsi="Arial"/>
          <w:sz w:val="18"/>
          <w:szCs w:val="18"/>
          <w:color w:val="auto"/>
        </w:rPr>
      </w:pPr>
    </w:p>
    <w:p>
      <w:pPr>
        <w:ind w:left="660" w:right="200" w:firstLine="645"/>
        <w:spacing w:after="0" w:line="259" w:lineRule="auto"/>
        <w:tabs>
          <w:tab w:leader="none" w:pos="2018"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under the Securities Act of 1933 shall be deemed to be part of this registration statement as of the time it was declared effective; and</w:t>
      </w:r>
    </w:p>
    <w:p>
      <w:pPr>
        <w:spacing w:after="0" w:line="186" w:lineRule="exact"/>
        <w:rPr>
          <w:rFonts w:ascii="Arial" w:cs="Arial" w:eastAsia="Arial" w:hAnsi="Arial"/>
          <w:sz w:val="18"/>
          <w:szCs w:val="18"/>
          <w:color w:val="auto"/>
        </w:rPr>
      </w:pPr>
    </w:p>
    <w:p>
      <w:pPr>
        <w:ind w:left="660" w:right="60" w:firstLine="645"/>
        <w:spacing w:after="0" w:line="264" w:lineRule="auto"/>
        <w:tabs>
          <w:tab w:leader="none" w:pos="2023" w:val="left"/>
        </w:tabs>
        <w:numPr>
          <w:ilvl w:val="1"/>
          <w:numId w:val="13"/>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81" w:lineRule="exact"/>
        <w:rPr>
          <w:sz w:val="20"/>
          <w:szCs w:val="20"/>
          <w:color w:val="auto"/>
        </w:rPr>
      </w:pPr>
    </w:p>
    <w:p>
      <w:pPr>
        <w:ind w:right="260" w:firstLine="648"/>
        <w:spacing w:after="0" w:line="312" w:lineRule="auto"/>
        <w:rPr>
          <w:sz w:val="20"/>
          <w:szCs w:val="20"/>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any charter provision, by law or otherwise, the registrant has been advised that in the opinion of the Securities and Exchange Commission such indemnification is against public policy as expressed in the Securities Act of 1933 and is, therefore, unenforceable. In the event that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a claim for indemnification against such liabilities (other than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firstLine="648"/>
        <w:spacing w:after="0" w:line="342" w:lineRule="auto"/>
        <w:rPr>
          <w:sz w:val="20"/>
          <w:szCs w:val="20"/>
          <w:color w:val="auto"/>
        </w:rPr>
      </w:pPr>
      <w:r>
        <w:rPr>
          <w:rFonts w:ascii="Arial" w:cs="Arial" w:eastAsia="Arial" w:hAnsi="Arial"/>
          <w:sz w:val="16"/>
          <w:szCs w:val="16"/>
          <w:color w:val="auto"/>
        </w:rPr>
        <w:t>Pursuant to the requirements of the Securities Act of 1933, the Registrant has duly caused this Post-Effective Amendment to the Registration Statement to be signed on its behalf by the undersigned, thereunto duly authorized in the City of South San Francisco, State of California, on March 14, 2016.</w:t>
      </w:r>
    </w:p>
    <w:p>
      <w:pPr>
        <w:spacing w:after="0" w:line="12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Bonnie H. Anderson</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Bonnie H. Anderson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to the Registration Statement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Name</w:t>
            </w:r>
          </w:p>
        </w:tc>
        <w:tc>
          <w:tcPr>
            <w:tcW w:w="240" w:type="dxa"/>
            <w:vAlign w:val="bottom"/>
          </w:tcPr>
          <w:p>
            <w:pPr>
              <w:spacing w:after="0"/>
              <w:rPr>
                <w:sz w:val="14"/>
                <w:szCs w:val="14"/>
                <w:color w:val="auto"/>
              </w:rPr>
            </w:pPr>
          </w:p>
        </w:tc>
        <w:tc>
          <w:tcPr>
            <w:tcW w:w="364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Title</w:t>
            </w:r>
          </w:p>
        </w:tc>
        <w:tc>
          <w:tcPr>
            <w:tcW w:w="220" w:type="dxa"/>
            <w:vAlign w:val="bottom"/>
          </w:tcPr>
          <w:p>
            <w:pPr>
              <w:spacing w:after="0"/>
              <w:rPr>
                <w:sz w:val="14"/>
                <w:szCs w:val="14"/>
                <w:color w:val="auto"/>
              </w:rPr>
            </w:pPr>
          </w:p>
        </w:tc>
        <w:tc>
          <w:tcPr>
            <w:tcW w:w="3640" w:type="dxa"/>
            <w:vAlign w:val="bottom"/>
            <w:tcBorders>
              <w:bottom w:val="single" w:sz="8" w:color="auto"/>
            </w:tcBorders>
          </w:tcPr>
          <w:p>
            <w:pPr>
              <w:ind w:left="1680"/>
              <w:spacing w:after="0"/>
              <w:rPr>
                <w:sz w:val="20"/>
                <w:szCs w:val="20"/>
                <w:color w:val="auto"/>
              </w:rPr>
            </w:pPr>
            <w:r>
              <w:rPr>
                <w:rFonts w:ascii="Arial" w:cs="Arial" w:eastAsia="Arial" w:hAnsi="Arial"/>
                <w:sz w:val="14"/>
                <w:szCs w:val="14"/>
                <w:b w:val="1"/>
                <w:bCs w:val="1"/>
                <w:color w:val="auto"/>
              </w:rPr>
              <w:t>Date</w:t>
            </w:r>
          </w:p>
        </w:tc>
      </w:tr>
      <w:tr>
        <w:trPr>
          <w:trHeight w:val="426"/>
        </w:trPr>
        <w:tc>
          <w:tcPr>
            <w:tcW w:w="2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/s/Bonnie H. Anderson</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President, Chief Executive Officer</w:t>
            </w:r>
          </w:p>
        </w:tc>
        <w:tc>
          <w:tcPr>
            <w:tcW w:w="3640" w:type="dxa"/>
            <w:vAlign w:val="bottom"/>
          </w:tcPr>
          <w:p>
            <w:pPr>
              <w:spacing w:after="0"/>
              <w:rPr>
                <w:sz w:val="20"/>
                <w:szCs w:val="20"/>
                <w:color w:val="auto"/>
              </w:rPr>
            </w:pPr>
            <w:r>
              <w:rPr>
                <w:rFonts w:ascii="Arial" w:cs="Arial" w:eastAsia="Arial" w:hAnsi="Arial"/>
                <w:sz w:val="18"/>
                <w:szCs w:val="18"/>
                <w:color w:val="auto"/>
              </w:rPr>
              <w:t>March 14, 2016</w:t>
            </w:r>
          </w:p>
        </w:tc>
      </w:tr>
      <w:tr>
        <w:trPr>
          <w:trHeight w:val="195"/>
        </w:trPr>
        <w:tc>
          <w:tcPr>
            <w:tcW w:w="20" w:type="dxa"/>
            <w:vAlign w:val="bottom"/>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rPr>
              <w:t>Bonnie H. Anderson</w:t>
            </w:r>
          </w:p>
        </w:tc>
        <w:tc>
          <w:tcPr>
            <w:tcW w:w="4100" w:type="dxa"/>
            <w:vAlign w:val="bottom"/>
            <w:gridSpan w:val="3"/>
          </w:tcPr>
          <w:p>
            <w:pPr>
              <w:ind w:left="240"/>
              <w:spacing w:after="0" w:line="195" w:lineRule="exact"/>
              <w:rPr>
                <w:sz w:val="20"/>
                <w:szCs w:val="20"/>
                <w:color w:val="auto"/>
              </w:rPr>
            </w:pPr>
            <w:r>
              <w:rPr>
                <w:rFonts w:ascii="Arial" w:cs="Arial" w:eastAsia="Arial" w:hAnsi="Arial"/>
                <w:sz w:val="18"/>
                <w:szCs w:val="18"/>
                <w:color w:val="auto"/>
              </w:rPr>
              <w:t>(Principal Executive Officer) and</w:t>
            </w:r>
          </w:p>
        </w:tc>
        <w:tc>
          <w:tcPr>
            <w:tcW w:w="36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/s/Shelly D. Guyer</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 (Principal</w:t>
            </w:r>
          </w:p>
        </w:tc>
        <w:tc>
          <w:tcPr>
            <w:tcW w:w="3640" w:type="dxa"/>
            <w:vAlign w:val="bottom"/>
          </w:tcPr>
          <w:p>
            <w:pPr>
              <w:spacing w:after="0"/>
              <w:rPr>
                <w:sz w:val="20"/>
                <w:szCs w:val="20"/>
                <w:color w:val="auto"/>
              </w:rPr>
            </w:pPr>
            <w:r>
              <w:rPr>
                <w:rFonts w:ascii="Arial" w:cs="Arial" w:eastAsia="Arial" w:hAnsi="Arial"/>
                <w:sz w:val="18"/>
                <w:szCs w:val="18"/>
                <w:color w:val="auto"/>
              </w:rPr>
              <w:t>March 14, 2016</w:t>
            </w:r>
          </w:p>
        </w:tc>
      </w:tr>
      <w:tr>
        <w:trPr>
          <w:trHeight w:val="224"/>
        </w:trPr>
        <w:tc>
          <w:tcPr>
            <w:tcW w:w="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Shelly D. Guyer</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Financial and Accounting Officer)</w:t>
            </w:r>
          </w:p>
        </w:tc>
        <w:tc>
          <w:tcPr>
            <w:tcW w:w="3640" w:type="dxa"/>
            <w:vAlign w:val="bottom"/>
          </w:tcPr>
          <w:p>
            <w:pPr>
              <w:spacing w:after="0"/>
              <w:rPr>
                <w:sz w:val="19"/>
                <w:szCs w:val="19"/>
                <w:color w:val="auto"/>
              </w:rPr>
            </w:pPr>
          </w:p>
        </w:tc>
      </w:tr>
      <w:tr>
        <w:trPr>
          <w:trHeight w:val="418"/>
        </w:trPr>
        <w:tc>
          <w:tcPr>
            <w:tcW w:w="368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Chairman of Board of Directors</w:t>
            </w:r>
          </w:p>
        </w:tc>
        <w:tc>
          <w:tcPr>
            <w:tcW w:w="3640" w:type="dxa"/>
            <w:vAlign w:val="bottom"/>
          </w:tcPr>
          <w:p>
            <w:pPr>
              <w:spacing w:after="0"/>
              <w:rPr>
                <w:sz w:val="20"/>
                <w:szCs w:val="20"/>
                <w:color w:val="auto"/>
              </w:rPr>
            </w:pPr>
            <w:r>
              <w:rPr>
                <w:rFonts w:ascii="Arial" w:cs="Arial" w:eastAsia="Arial" w:hAnsi="Arial"/>
                <w:sz w:val="18"/>
                <w:szCs w:val="18"/>
                <w:color w:val="auto"/>
              </w:rPr>
              <w:t>March 14, 2016</w:t>
            </w:r>
          </w:p>
        </w:tc>
      </w:tr>
      <w:tr>
        <w:trPr>
          <w:trHeight w:val="224"/>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Brian G. Atwood</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8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March 14, 2016</w:t>
            </w:r>
          </w:p>
        </w:tc>
      </w:tr>
      <w:tr>
        <w:trPr>
          <w:trHeight w:val="224"/>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John L. Bishop</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8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March 14, 2016</w:t>
            </w:r>
          </w:p>
        </w:tc>
      </w:tr>
      <w:tr>
        <w:trPr>
          <w:trHeight w:val="224"/>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Fred E. Cohen, M.D., D.Phil.</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r>
        <w:trPr>
          <w:trHeight w:val="418"/>
        </w:trPr>
        <w:tc>
          <w:tcPr>
            <w:tcW w:w="3680" w:type="dxa"/>
            <w:vAlign w:val="bottom"/>
            <w:gridSpan w:val="2"/>
          </w:tcPr>
          <w:p>
            <w:pPr>
              <w:jc w:val="center"/>
              <w:spacing w:after="0"/>
              <w:rPr>
                <w:sz w:val="20"/>
                <w:szCs w:val="20"/>
                <w:color w:val="auto"/>
              </w:rPr>
            </w:pPr>
            <w:r>
              <w:rPr>
                <w:rFonts w:ascii="Arial" w:cs="Arial" w:eastAsia="Arial" w:hAnsi="Arial"/>
                <w:sz w:val="18"/>
                <w:szCs w:val="18"/>
                <w:color w:val="auto"/>
              </w:rPr>
              <w:t>*</w:t>
            </w:r>
          </w:p>
        </w:tc>
        <w:tc>
          <w:tcPr>
            <w:tcW w:w="410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3640" w:type="dxa"/>
            <w:vAlign w:val="bottom"/>
          </w:tcPr>
          <w:p>
            <w:pPr>
              <w:spacing w:after="0"/>
              <w:rPr>
                <w:sz w:val="20"/>
                <w:szCs w:val="20"/>
                <w:color w:val="auto"/>
              </w:rPr>
            </w:pPr>
            <w:r>
              <w:rPr>
                <w:rFonts w:ascii="Arial" w:cs="Arial" w:eastAsia="Arial" w:hAnsi="Arial"/>
                <w:sz w:val="18"/>
                <w:szCs w:val="18"/>
                <w:color w:val="auto"/>
              </w:rPr>
              <w:t>March 14, 2016</w:t>
            </w:r>
          </w:p>
        </w:tc>
      </w:tr>
      <w:tr>
        <w:trPr>
          <w:trHeight w:val="224"/>
        </w:trPr>
        <w:tc>
          <w:tcPr>
            <w:tcW w:w="20" w:type="dxa"/>
            <w:vAlign w:val="bottom"/>
          </w:tcPr>
          <w:p>
            <w:pPr>
              <w:spacing w:after="0"/>
              <w:rPr>
                <w:sz w:val="19"/>
                <w:szCs w:val="19"/>
                <w:color w:val="auto"/>
              </w:rPr>
            </w:pPr>
          </w:p>
        </w:tc>
        <w:tc>
          <w:tcPr>
            <w:tcW w:w="3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Karin Eastham</w:t>
            </w:r>
          </w:p>
        </w:tc>
        <w:tc>
          <w:tcPr>
            <w:tcW w:w="24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40" w:type="dxa"/>
            <w:vAlign w:val="bottom"/>
          </w:tcPr>
          <w:p>
            <w:pPr>
              <w:spacing w:after="0"/>
              <w:rPr>
                <w:sz w:val="19"/>
                <w:szCs w:val="19"/>
                <w:color w:val="auto"/>
              </w:rPr>
            </w:pPr>
          </w:p>
        </w:tc>
      </w:tr>
    </w:tbl>
    <w:p>
      <w:pPr>
        <w:sectPr>
          <w:pgSz w:w="11900" w:h="16838" w:orient="portrait"/>
          <w:cols w:equalWidth="0" w:num="1">
            <w:col w:w="11420"/>
          </w:cols>
          <w:pgMar w:left="240" w:top="341" w:right="239" w:bottom="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3"/>
          </w:tcPr>
          <w:p>
            <w:pPr>
              <w:jc w:val="right"/>
              <w:ind w:right="1710"/>
              <w:spacing w:after="0"/>
              <w:rPr>
                <w:sz w:val="20"/>
                <w:szCs w:val="20"/>
                <w:color w:val="auto"/>
              </w:rPr>
            </w:pPr>
            <w:r>
              <w:rPr>
                <w:rFonts w:ascii="Arial" w:cs="Arial" w:eastAsia="Arial" w:hAnsi="Arial"/>
                <w:sz w:val="18"/>
                <w:szCs w:val="18"/>
                <w:color w:val="auto"/>
              </w:rPr>
              <w:t>*</w:t>
            </w:r>
          </w:p>
        </w:tc>
        <w:tc>
          <w:tcPr>
            <w:tcW w:w="3740" w:type="dxa"/>
            <w:vAlign w:val="bottom"/>
          </w:tcPr>
          <w:p>
            <w:pPr>
              <w:ind w:left="240"/>
              <w:spacing w:after="0"/>
              <w:rPr>
                <w:sz w:val="20"/>
                <w:szCs w:val="20"/>
                <w:color w:val="auto"/>
              </w:rPr>
            </w:pPr>
            <w:r>
              <w:rPr>
                <w:rFonts w:ascii="Arial" w:cs="Arial" w:eastAsia="Arial" w:hAnsi="Arial"/>
                <w:sz w:val="18"/>
                <w:szCs w:val="18"/>
                <w:color w:val="auto"/>
              </w:rPr>
              <w:t>Director</w:t>
            </w:r>
          </w:p>
        </w:tc>
        <w:tc>
          <w:tcPr>
            <w:tcW w:w="4040" w:type="dxa"/>
            <w:vAlign w:val="bottom"/>
            <w:gridSpan w:val="2"/>
          </w:tcPr>
          <w:p>
            <w:pPr>
              <w:ind w:left="360"/>
              <w:spacing w:after="0"/>
              <w:rPr>
                <w:sz w:val="20"/>
                <w:szCs w:val="20"/>
                <w:color w:val="auto"/>
              </w:rPr>
            </w:pPr>
            <w:r>
              <w:rPr>
                <w:rFonts w:ascii="Arial" w:cs="Arial" w:eastAsia="Arial" w:hAnsi="Arial"/>
                <w:sz w:val="18"/>
                <w:szCs w:val="18"/>
                <w:color w:val="auto"/>
              </w:rPr>
              <w:t>March 14, 2016</w:t>
            </w:r>
          </w:p>
        </w:tc>
      </w:tr>
      <w:tr>
        <w:trPr>
          <w:trHeight w:val="224"/>
        </w:trPr>
        <w:tc>
          <w:tcPr>
            <w:tcW w:w="20" w:type="dxa"/>
            <w:vAlign w:val="bottom"/>
          </w:tcPr>
          <w:p>
            <w:pPr>
              <w:spacing w:after="0"/>
              <w:rPr>
                <w:sz w:val="19"/>
                <w:szCs w:val="19"/>
                <w:color w:val="auto"/>
              </w:rPr>
            </w:pPr>
          </w:p>
        </w:tc>
        <w:tc>
          <w:tcPr>
            <w:tcW w:w="3660" w:type="dxa"/>
            <w:vAlign w:val="bottom"/>
            <w:gridSpan w:val="5"/>
          </w:tcPr>
          <w:p>
            <w:pPr>
              <w:spacing w:after="0"/>
              <w:rPr>
                <w:sz w:val="20"/>
                <w:szCs w:val="20"/>
                <w:color w:val="auto"/>
              </w:rPr>
            </w:pPr>
            <w:r>
              <w:rPr>
                <w:rFonts w:ascii="Arial" w:cs="Arial" w:eastAsia="Arial" w:hAnsi="Arial"/>
                <w:sz w:val="18"/>
                <w:szCs w:val="18"/>
                <w:color w:val="auto"/>
              </w:rPr>
              <w:t>Robert S. Epstein, M.D., M.S.</w:t>
            </w:r>
          </w:p>
        </w:tc>
        <w:tc>
          <w:tcPr>
            <w:tcW w:w="37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1710"/>
              <w:spacing w:after="0"/>
              <w:rPr>
                <w:sz w:val="20"/>
                <w:szCs w:val="20"/>
                <w:color w:val="auto"/>
              </w:rPr>
            </w:pPr>
            <w:r>
              <w:rPr>
                <w:rFonts w:ascii="Arial" w:cs="Arial" w:eastAsia="Arial" w:hAnsi="Arial"/>
                <w:sz w:val="18"/>
                <w:szCs w:val="18"/>
                <w:color w:val="auto"/>
              </w:rPr>
              <w:t>*</w:t>
            </w:r>
          </w:p>
        </w:tc>
        <w:tc>
          <w:tcPr>
            <w:tcW w:w="3740" w:type="dxa"/>
            <w:vAlign w:val="bottom"/>
          </w:tcPr>
          <w:p>
            <w:pPr>
              <w:ind w:left="240"/>
              <w:spacing w:after="0"/>
              <w:rPr>
                <w:sz w:val="20"/>
                <w:szCs w:val="20"/>
                <w:color w:val="auto"/>
              </w:rPr>
            </w:pPr>
            <w:r>
              <w:rPr>
                <w:rFonts w:ascii="Arial" w:cs="Arial" w:eastAsia="Arial" w:hAnsi="Arial"/>
                <w:sz w:val="18"/>
                <w:szCs w:val="18"/>
                <w:color w:val="auto"/>
              </w:rPr>
              <w:t>Director</w:t>
            </w:r>
          </w:p>
        </w:tc>
        <w:tc>
          <w:tcPr>
            <w:tcW w:w="4040" w:type="dxa"/>
            <w:vAlign w:val="bottom"/>
            <w:gridSpan w:val="2"/>
          </w:tcPr>
          <w:p>
            <w:pPr>
              <w:ind w:left="360"/>
              <w:spacing w:after="0"/>
              <w:rPr>
                <w:sz w:val="20"/>
                <w:szCs w:val="20"/>
                <w:color w:val="auto"/>
              </w:rPr>
            </w:pPr>
            <w:r>
              <w:rPr>
                <w:rFonts w:ascii="Arial" w:cs="Arial" w:eastAsia="Arial" w:hAnsi="Arial"/>
                <w:sz w:val="18"/>
                <w:szCs w:val="18"/>
                <w:color w:val="auto"/>
              </w:rPr>
              <w:t>March 14, 2016</w:t>
            </w:r>
          </w:p>
        </w:tc>
      </w:tr>
      <w:tr>
        <w:trPr>
          <w:trHeight w:val="224"/>
        </w:trPr>
        <w:tc>
          <w:tcPr>
            <w:tcW w:w="20" w:type="dxa"/>
            <w:vAlign w:val="bottom"/>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Evan Jones</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37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3740" w:type="dxa"/>
            <w:vAlign w:val="bottom"/>
          </w:tcPr>
          <w:p>
            <w:pPr>
              <w:ind w:left="240"/>
              <w:spacing w:after="0"/>
              <w:rPr>
                <w:sz w:val="20"/>
                <w:szCs w:val="20"/>
                <w:color w:val="auto"/>
              </w:rPr>
            </w:pPr>
            <w:r>
              <w:rPr>
                <w:rFonts w:ascii="Arial" w:cs="Arial" w:eastAsia="Arial" w:hAnsi="Arial"/>
                <w:sz w:val="18"/>
                <w:szCs w:val="18"/>
                <w:color w:val="auto"/>
              </w:rPr>
              <w:t>Director</w:t>
            </w:r>
          </w:p>
        </w:tc>
        <w:tc>
          <w:tcPr>
            <w:tcW w:w="4040" w:type="dxa"/>
            <w:vAlign w:val="bottom"/>
            <w:gridSpan w:val="2"/>
          </w:tcPr>
          <w:p>
            <w:pPr>
              <w:ind w:left="360"/>
              <w:spacing w:after="0"/>
              <w:rPr>
                <w:sz w:val="20"/>
                <w:szCs w:val="20"/>
                <w:color w:val="auto"/>
              </w:rPr>
            </w:pPr>
            <w:r>
              <w:rPr>
                <w:rFonts w:ascii="Arial" w:cs="Arial" w:eastAsia="Arial" w:hAnsi="Arial"/>
                <w:sz w:val="18"/>
                <w:szCs w:val="18"/>
                <w:color w:val="auto"/>
              </w:rPr>
              <w:t>March  , 2016</w:t>
            </w:r>
          </w:p>
        </w:tc>
      </w:tr>
      <w:tr>
        <w:trPr>
          <w:trHeight w:val="224"/>
        </w:trPr>
        <w:tc>
          <w:tcPr>
            <w:tcW w:w="20" w:type="dxa"/>
            <w:vAlign w:val="bottom"/>
          </w:tcPr>
          <w:p>
            <w:pPr>
              <w:spacing w:after="0"/>
              <w:rPr>
                <w:sz w:val="19"/>
                <w:szCs w:val="19"/>
                <w:color w:val="auto"/>
              </w:rPr>
            </w:pPr>
          </w:p>
        </w:tc>
        <w:tc>
          <w:tcPr>
            <w:tcW w:w="3660" w:type="dxa"/>
            <w:vAlign w:val="bottom"/>
            <w:gridSpan w:val="5"/>
          </w:tcPr>
          <w:p>
            <w:pPr>
              <w:spacing w:after="0"/>
              <w:rPr>
                <w:sz w:val="20"/>
                <w:szCs w:val="20"/>
                <w:color w:val="auto"/>
              </w:rPr>
            </w:pPr>
            <w:r>
              <w:rPr>
                <w:rFonts w:ascii="Arial" w:cs="Arial" w:eastAsia="Arial" w:hAnsi="Arial"/>
                <w:sz w:val="18"/>
                <w:szCs w:val="18"/>
                <w:color w:val="auto"/>
              </w:rPr>
              <w:t>Tina S. Nova, Ph.D.</w:t>
            </w:r>
          </w:p>
        </w:tc>
        <w:tc>
          <w:tcPr>
            <w:tcW w:w="37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1710"/>
              <w:spacing w:after="0"/>
              <w:rPr>
                <w:sz w:val="20"/>
                <w:szCs w:val="20"/>
                <w:color w:val="auto"/>
              </w:rPr>
            </w:pPr>
            <w:r>
              <w:rPr>
                <w:rFonts w:ascii="Arial" w:cs="Arial" w:eastAsia="Arial" w:hAnsi="Arial"/>
                <w:sz w:val="18"/>
                <w:szCs w:val="18"/>
                <w:color w:val="auto"/>
              </w:rPr>
              <w:t>*</w:t>
            </w:r>
          </w:p>
        </w:tc>
        <w:tc>
          <w:tcPr>
            <w:tcW w:w="3740" w:type="dxa"/>
            <w:vAlign w:val="bottom"/>
          </w:tcPr>
          <w:p>
            <w:pPr>
              <w:ind w:left="240"/>
              <w:spacing w:after="0"/>
              <w:rPr>
                <w:sz w:val="20"/>
                <w:szCs w:val="20"/>
                <w:color w:val="auto"/>
              </w:rPr>
            </w:pPr>
            <w:r>
              <w:rPr>
                <w:rFonts w:ascii="Arial" w:cs="Arial" w:eastAsia="Arial" w:hAnsi="Arial"/>
                <w:sz w:val="18"/>
                <w:szCs w:val="18"/>
                <w:color w:val="auto"/>
              </w:rPr>
              <w:t>Director</w:t>
            </w:r>
          </w:p>
        </w:tc>
        <w:tc>
          <w:tcPr>
            <w:tcW w:w="4040" w:type="dxa"/>
            <w:vAlign w:val="bottom"/>
            <w:gridSpan w:val="2"/>
          </w:tcPr>
          <w:p>
            <w:pPr>
              <w:ind w:left="360"/>
              <w:spacing w:after="0"/>
              <w:rPr>
                <w:sz w:val="20"/>
                <w:szCs w:val="20"/>
                <w:color w:val="auto"/>
              </w:rPr>
            </w:pPr>
            <w:r>
              <w:rPr>
                <w:rFonts w:ascii="Arial" w:cs="Arial" w:eastAsia="Arial" w:hAnsi="Arial"/>
                <w:sz w:val="18"/>
                <w:szCs w:val="18"/>
                <w:color w:val="auto"/>
              </w:rPr>
              <w:t>March 14, 2016</w:t>
            </w:r>
          </w:p>
        </w:tc>
      </w:tr>
      <w:tr>
        <w:trPr>
          <w:trHeight w:val="224"/>
        </w:trPr>
        <w:tc>
          <w:tcPr>
            <w:tcW w:w="20" w:type="dxa"/>
            <w:vAlign w:val="bottom"/>
          </w:tcPr>
          <w:p>
            <w:pPr>
              <w:spacing w:after="0"/>
              <w:rPr>
                <w:sz w:val="19"/>
                <w:szCs w:val="19"/>
                <w:color w:val="auto"/>
              </w:rPr>
            </w:pPr>
          </w:p>
        </w:tc>
        <w:tc>
          <w:tcPr>
            <w:tcW w:w="3660" w:type="dxa"/>
            <w:vAlign w:val="bottom"/>
            <w:gridSpan w:val="5"/>
          </w:tcPr>
          <w:p>
            <w:pPr>
              <w:spacing w:after="0"/>
              <w:rPr>
                <w:sz w:val="20"/>
                <w:szCs w:val="20"/>
                <w:color w:val="auto"/>
              </w:rPr>
            </w:pPr>
            <w:r>
              <w:rPr>
                <w:rFonts w:ascii="Arial" w:cs="Arial" w:eastAsia="Arial" w:hAnsi="Arial"/>
                <w:sz w:val="18"/>
                <w:szCs w:val="18"/>
                <w:color w:val="auto"/>
              </w:rPr>
              <w:t>Jesse I. Treu, Ph.D.</w:t>
            </w:r>
          </w:p>
        </w:tc>
        <w:tc>
          <w:tcPr>
            <w:tcW w:w="374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418"/>
        </w:trPr>
        <w:tc>
          <w:tcPr>
            <w:tcW w:w="1160" w:type="dxa"/>
            <w:vAlign w:val="bottom"/>
            <w:gridSpan w:val="3"/>
          </w:tcPr>
          <w:p>
            <w:pPr>
              <w:spacing w:after="0"/>
              <w:rPr>
                <w:sz w:val="20"/>
                <w:szCs w:val="20"/>
                <w:color w:val="auto"/>
              </w:rPr>
            </w:pPr>
            <w:r>
              <w:rPr>
                <w:rFonts w:ascii="Arial" w:cs="Arial" w:eastAsia="Arial" w:hAnsi="Arial"/>
                <w:sz w:val="18"/>
                <w:szCs w:val="18"/>
                <w:color w:val="auto"/>
              </w:rPr>
              <w:t>*By:</w:t>
            </w:r>
          </w:p>
        </w:tc>
        <w:tc>
          <w:tcPr>
            <w:tcW w:w="2520" w:type="dxa"/>
            <w:vAlign w:val="bottom"/>
            <w:gridSpan w:val="3"/>
          </w:tcPr>
          <w:p>
            <w:pPr>
              <w:jc w:val="right"/>
              <w:ind w:right="650"/>
              <w:spacing w:after="0"/>
              <w:rPr>
                <w:sz w:val="20"/>
                <w:szCs w:val="20"/>
                <w:color w:val="auto"/>
              </w:rPr>
            </w:pPr>
            <w:r>
              <w:rPr>
                <w:rFonts w:ascii="Arial" w:cs="Arial" w:eastAsia="Arial" w:hAnsi="Arial"/>
                <w:sz w:val="18"/>
                <w:szCs w:val="18"/>
                <w:color w:val="auto"/>
                <w:w w:val="95"/>
              </w:rPr>
              <w:t>/s/ Bonnie H. Anderson</w:t>
            </w:r>
          </w:p>
        </w:tc>
        <w:tc>
          <w:tcPr>
            <w:tcW w:w="37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80" w:type="dxa"/>
            <w:vAlign w:val="bottom"/>
            <w:tcBorders>
              <w:top w:val="single" w:sz="8" w:color="auto"/>
            </w:tcBorders>
            <w:gridSpan w:val="4"/>
          </w:tcPr>
          <w:p>
            <w:pPr>
              <w:spacing w:after="0" w:line="195" w:lineRule="exact"/>
              <w:rPr>
                <w:sz w:val="20"/>
                <w:szCs w:val="20"/>
                <w:color w:val="auto"/>
              </w:rPr>
            </w:pPr>
            <w:r>
              <w:rPr>
                <w:rFonts w:ascii="Arial" w:cs="Arial" w:eastAsia="Arial" w:hAnsi="Arial"/>
                <w:sz w:val="18"/>
                <w:szCs w:val="18"/>
                <w:color w:val="auto"/>
              </w:rPr>
              <w:t>Bonnie H. Anderson</w:t>
            </w:r>
          </w:p>
        </w:tc>
        <w:tc>
          <w:tcPr>
            <w:tcW w:w="374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3660" w:type="dxa"/>
            <w:vAlign w:val="bottom"/>
            <w:gridSpan w:val="5"/>
          </w:tcPr>
          <w:p>
            <w:pPr>
              <w:ind w:left="480"/>
              <w:spacing w:after="0"/>
              <w:rPr>
                <w:sz w:val="20"/>
                <w:szCs w:val="20"/>
                <w:color w:val="auto"/>
              </w:rPr>
            </w:pPr>
            <w:r>
              <w:rPr>
                <w:rFonts w:ascii="Arial" w:cs="Arial" w:eastAsia="Arial" w:hAnsi="Arial"/>
                <w:sz w:val="18"/>
                <w:szCs w:val="18"/>
                <w:color w:val="auto"/>
              </w:rPr>
              <w:t>Attorney-in-Fact</w:t>
            </w:r>
          </w:p>
        </w:tc>
        <w:tc>
          <w:tcPr>
            <w:tcW w:w="37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740" w:type="dxa"/>
            <w:vAlign w:val="bottom"/>
          </w:tcPr>
          <w:p>
            <w:pPr>
              <w:ind w:left="1900"/>
              <w:spacing w:after="0"/>
              <w:rPr>
                <w:sz w:val="20"/>
                <w:szCs w:val="20"/>
                <w:color w:val="auto"/>
              </w:rPr>
            </w:pPr>
            <w:r>
              <w:rPr>
                <w:rFonts w:ascii="Arial" w:cs="Arial" w:eastAsia="Arial" w:hAnsi="Arial"/>
                <w:sz w:val="18"/>
                <w:szCs w:val="18"/>
                <w:color w:val="auto"/>
              </w:rPr>
              <w:t>II-8</w:t>
            </w:r>
          </w:p>
        </w:tc>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808080"/>
            </w:tcBorders>
            <w:gridSpan w:val="4"/>
          </w:tcPr>
          <w:p>
            <w:pPr>
              <w:spacing w:after="0"/>
              <w:rPr>
                <w:sz w:val="11"/>
                <w:szCs w:val="11"/>
                <w:color w:val="auto"/>
              </w:rPr>
            </w:pPr>
          </w:p>
        </w:tc>
        <w:tc>
          <w:tcPr>
            <w:tcW w:w="220" w:type="dxa"/>
            <w:vAlign w:val="bottom"/>
            <w:tcBorders>
              <w:bottom w:val="single" w:sz="8" w:color="808080"/>
            </w:tcBorders>
          </w:tcPr>
          <w:p>
            <w:pPr>
              <w:spacing w:after="0"/>
              <w:rPr>
                <w:sz w:val="11"/>
                <w:szCs w:val="11"/>
                <w:color w:val="auto"/>
              </w:rPr>
            </w:pPr>
          </w:p>
        </w:tc>
        <w:tc>
          <w:tcPr>
            <w:tcW w:w="2180" w:type="dxa"/>
            <w:vAlign w:val="bottom"/>
            <w:tcBorders>
              <w:bottom w:val="single" w:sz="8" w:color="808080"/>
            </w:tcBorders>
          </w:tcPr>
          <w:p>
            <w:pPr>
              <w:spacing w:after="0"/>
              <w:rPr>
                <w:sz w:val="11"/>
                <w:szCs w:val="11"/>
                <w:color w:val="auto"/>
              </w:rPr>
            </w:pPr>
          </w:p>
        </w:tc>
        <w:tc>
          <w:tcPr>
            <w:tcW w:w="3740" w:type="dxa"/>
            <w:vAlign w:val="bottom"/>
            <w:tcBorders>
              <w:bottom w:val="single" w:sz="8" w:color="808080"/>
            </w:tcBorders>
          </w:tcPr>
          <w:p>
            <w:pPr>
              <w:spacing w:after="0"/>
              <w:rPr>
                <w:sz w:val="11"/>
                <w:szCs w:val="11"/>
                <w:color w:val="auto"/>
              </w:rPr>
            </w:pPr>
          </w:p>
        </w:tc>
        <w:tc>
          <w:tcPr>
            <w:tcW w:w="400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523"/>
        </w:trPr>
        <w:tc>
          <w:tcPr>
            <w:tcW w:w="368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7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20" w:type="dxa"/>
            <w:vAlign w:val="bottom"/>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6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740" w:type="dxa"/>
            <w:vAlign w:val="bottom"/>
          </w:tcPr>
          <w:p>
            <w:pPr>
              <w:ind w:left="1340"/>
              <w:spacing w:after="0"/>
              <w:rPr>
                <w:sz w:val="20"/>
                <w:szCs w:val="20"/>
                <w:color w:val="auto"/>
              </w:rPr>
            </w:pPr>
            <w:r>
              <w:rPr>
                <w:rFonts w:ascii="Arial" w:cs="Arial" w:eastAsia="Arial" w:hAnsi="Arial"/>
                <w:sz w:val="18"/>
                <w:szCs w:val="18"/>
                <w:b w:val="1"/>
                <w:bCs w:val="1"/>
                <w:color w:val="auto"/>
              </w:rPr>
              <w:t>EXHIBIT INDEX</w:t>
            </w:r>
          </w:p>
        </w:tc>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65"/>
        </w:trPr>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740" w:type="dxa"/>
            <w:vAlign w:val="bottom"/>
          </w:tcPr>
          <w:p>
            <w:pPr>
              <w:ind w:left="2420"/>
              <w:spacing w:after="0"/>
              <w:rPr>
                <w:sz w:val="20"/>
                <w:szCs w:val="20"/>
                <w:color w:val="auto"/>
              </w:rPr>
            </w:pPr>
            <w:r>
              <w:rPr>
                <w:rFonts w:ascii="Arial" w:cs="Arial" w:eastAsia="Arial" w:hAnsi="Arial"/>
                <w:sz w:val="14"/>
                <w:szCs w:val="14"/>
                <w:b w:val="1"/>
                <w:bCs w:val="1"/>
                <w:color w:val="auto"/>
              </w:rPr>
              <w:t>Description</w:t>
            </w:r>
          </w:p>
        </w:tc>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gridSpan w:val="2"/>
          </w:tcPr>
          <w:p>
            <w:pPr>
              <w:jc w:val="center"/>
              <w:spacing w:after="0" w:line="195" w:lineRule="exact"/>
              <w:rPr>
                <w:sz w:val="20"/>
                <w:szCs w:val="20"/>
                <w:color w:val="auto"/>
              </w:rPr>
            </w:pPr>
            <w:r>
              <w:rPr>
                <w:rFonts w:ascii="Arial" w:cs="Arial" w:eastAsia="Arial" w:hAnsi="Arial"/>
                <w:sz w:val="18"/>
                <w:szCs w:val="18"/>
                <w:color w:val="auto"/>
                <w:w w:val="95"/>
              </w:rPr>
              <w:t>2.1</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20" w:type="dxa"/>
            <w:vAlign w:val="bottom"/>
            <w:tcBorders>
              <w:top w:val="single" w:sz="8" w:color="auto"/>
            </w:tcBorders>
            <w:gridSpan w:val="3"/>
          </w:tcPr>
          <w:p>
            <w:pPr>
              <w:spacing w:after="0" w:line="195" w:lineRule="exact"/>
              <w:rPr>
                <w:sz w:val="20"/>
                <w:szCs w:val="20"/>
                <w:color w:val="auto"/>
              </w:rPr>
            </w:pPr>
            <w:r>
              <w:rPr>
                <w:rFonts w:ascii="Arial" w:cs="Arial" w:eastAsia="Arial" w:hAnsi="Arial"/>
                <w:sz w:val="18"/>
                <w:szCs w:val="18"/>
                <w:color w:val="auto"/>
                <w:w w:val="91"/>
              </w:rPr>
              <w:t>Agreement and Plan of Merger, dated September 4, 2014, by and among Veracyte, Inc., Full Moon Acquisition, Inc., Allegro Diagnostics</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4"/>
              </w:rPr>
              <w:t>Corp., Andrey Zarur, as the Stockholders’ Agent, Kodiak Venture Partners III, L.P., Kodiak III Entrepreneurs Fund, L.P. and Catalyst</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rPr>
              <w:t>Health Ventures L.P. (incorporated by reference to Exhibit 2.1 to the Registrant’s Form 10-Q for the quarterly period ended</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September 30, 2014).</w:t>
            </w:r>
          </w:p>
        </w:tc>
        <w:tc>
          <w:tcPr>
            <w:tcW w:w="37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160" w:type="dxa"/>
            <w:vAlign w:val="bottom"/>
            <w:gridSpan w:val="3"/>
          </w:tcPr>
          <w:p>
            <w:pPr>
              <w:jc w:val="center"/>
              <w:spacing w:after="0"/>
              <w:rPr>
                <w:sz w:val="20"/>
                <w:szCs w:val="20"/>
                <w:color w:val="auto"/>
              </w:rPr>
            </w:pPr>
            <w:r>
              <w:rPr>
                <w:rFonts w:ascii="Arial" w:cs="Arial" w:eastAsia="Arial" w:hAnsi="Arial"/>
                <w:sz w:val="18"/>
                <w:szCs w:val="18"/>
                <w:color w:val="auto"/>
                <w:w w:val="95"/>
              </w:rPr>
              <w:t>3.1</w:t>
            </w:r>
          </w:p>
        </w:tc>
        <w:tc>
          <w:tcPr>
            <w:tcW w:w="120" w:type="dxa"/>
            <w:vAlign w:val="bottom"/>
          </w:tcPr>
          <w:p>
            <w:pPr>
              <w:spacing w:after="0"/>
              <w:rPr>
                <w:sz w:val="24"/>
                <w:szCs w:val="24"/>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4"/>
              </w:rPr>
              <w:t>Restated Certificate of Incorporation of the Registrant (incorporated by reference to Exhibit 3.1 to the Registrant’s Current Report on</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Form 8-K filed November 8, 2013).</w:t>
            </w:r>
          </w:p>
        </w:tc>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160" w:type="dxa"/>
            <w:vAlign w:val="bottom"/>
            <w:gridSpan w:val="3"/>
          </w:tcPr>
          <w:p>
            <w:pPr>
              <w:jc w:val="center"/>
              <w:spacing w:after="0"/>
              <w:rPr>
                <w:sz w:val="20"/>
                <w:szCs w:val="20"/>
                <w:color w:val="auto"/>
              </w:rPr>
            </w:pPr>
            <w:r>
              <w:rPr>
                <w:rFonts w:ascii="Arial" w:cs="Arial" w:eastAsia="Arial" w:hAnsi="Arial"/>
                <w:sz w:val="18"/>
                <w:szCs w:val="18"/>
                <w:color w:val="auto"/>
                <w:w w:val="95"/>
              </w:rPr>
              <w:t>3.2</w:t>
            </w:r>
          </w:p>
        </w:tc>
        <w:tc>
          <w:tcPr>
            <w:tcW w:w="120" w:type="dxa"/>
            <w:vAlign w:val="bottom"/>
          </w:tcPr>
          <w:p>
            <w:pPr>
              <w:spacing w:after="0"/>
              <w:rPr>
                <w:sz w:val="24"/>
                <w:szCs w:val="24"/>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1"/>
              </w:rPr>
              <w:t>Amended and Restated Bylaws of the Registrant (incorporated by reference to Exhibit 3.2 to the Registrant’s Current Report on Form 8-</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K filed November 8, 2013).</w:t>
            </w:r>
          </w:p>
        </w:tc>
        <w:tc>
          <w:tcPr>
            <w:tcW w:w="37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160" w:type="dxa"/>
            <w:vAlign w:val="bottom"/>
            <w:gridSpan w:val="3"/>
          </w:tcPr>
          <w:p>
            <w:pPr>
              <w:jc w:val="center"/>
              <w:spacing w:after="0"/>
              <w:rPr>
                <w:sz w:val="20"/>
                <w:szCs w:val="20"/>
                <w:color w:val="auto"/>
              </w:rPr>
            </w:pPr>
            <w:r>
              <w:rPr>
                <w:rFonts w:ascii="Arial" w:cs="Arial" w:eastAsia="Arial" w:hAnsi="Arial"/>
                <w:sz w:val="18"/>
                <w:szCs w:val="18"/>
                <w:color w:val="auto"/>
                <w:w w:val="95"/>
              </w:rPr>
              <w:t>4.1</w:t>
            </w:r>
          </w:p>
        </w:tc>
        <w:tc>
          <w:tcPr>
            <w:tcW w:w="120" w:type="dxa"/>
            <w:vAlign w:val="bottom"/>
          </w:tcPr>
          <w:p>
            <w:pPr>
              <w:spacing w:after="0"/>
              <w:rPr>
                <w:sz w:val="24"/>
                <w:szCs w:val="24"/>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5"/>
              </w:rPr>
              <w:t>Form of Common Stock Certificate (incorporated by reference to Exhibit 4.1 to the Registrant’s Registration Statement on Form S-1</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w w:val="95"/>
              </w:rPr>
              <w:t>(File No. 333-191282), as amended, declared effective on October 29, 2013).</w:t>
            </w:r>
          </w:p>
        </w:tc>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160" w:type="dxa"/>
            <w:vAlign w:val="bottom"/>
            <w:gridSpan w:val="3"/>
          </w:tcPr>
          <w:p>
            <w:pPr>
              <w:jc w:val="center"/>
              <w:spacing w:after="0"/>
              <w:rPr>
                <w:sz w:val="20"/>
                <w:szCs w:val="20"/>
                <w:color w:val="auto"/>
              </w:rPr>
            </w:pPr>
            <w:r>
              <w:rPr>
                <w:rFonts w:ascii="Arial" w:cs="Arial" w:eastAsia="Arial" w:hAnsi="Arial"/>
                <w:sz w:val="18"/>
                <w:szCs w:val="18"/>
                <w:color w:val="auto"/>
                <w:w w:val="95"/>
              </w:rPr>
              <w:t>4.2</w:t>
            </w:r>
          </w:p>
        </w:tc>
        <w:tc>
          <w:tcPr>
            <w:tcW w:w="120" w:type="dxa"/>
            <w:vAlign w:val="bottom"/>
          </w:tcPr>
          <w:p>
            <w:pPr>
              <w:spacing w:after="0"/>
              <w:rPr>
                <w:sz w:val="24"/>
                <w:szCs w:val="24"/>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4"/>
              </w:rPr>
              <w:t>Second Amended and Restated Investors Rights Agreement, dated November 6, 2012, between the Registrant and certain investors</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3"/>
              </w:rPr>
              <w:t>(incorporated by reference to Exhibit 4.2 to the Registrant’s Registration Statement on Form S-1 (File No. 333-191282), as amended,</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declared effective on October 29, 2013).</w:t>
            </w:r>
          </w:p>
        </w:tc>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160" w:type="dxa"/>
            <w:vAlign w:val="bottom"/>
            <w:gridSpan w:val="3"/>
          </w:tcPr>
          <w:p>
            <w:pPr>
              <w:jc w:val="center"/>
              <w:spacing w:after="0"/>
              <w:rPr>
                <w:sz w:val="20"/>
                <w:szCs w:val="20"/>
                <w:color w:val="auto"/>
              </w:rPr>
            </w:pPr>
            <w:r>
              <w:rPr>
                <w:rFonts w:ascii="Arial" w:cs="Arial" w:eastAsia="Arial" w:hAnsi="Arial"/>
                <w:sz w:val="18"/>
                <w:szCs w:val="18"/>
                <w:color w:val="auto"/>
                <w:w w:val="95"/>
              </w:rPr>
              <w:t>4.3</w:t>
            </w:r>
          </w:p>
        </w:tc>
        <w:tc>
          <w:tcPr>
            <w:tcW w:w="120" w:type="dxa"/>
            <w:vAlign w:val="bottom"/>
          </w:tcPr>
          <w:p>
            <w:pPr>
              <w:spacing w:after="0"/>
              <w:rPr>
                <w:sz w:val="24"/>
                <w:szCs w:val="24"/>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3"/>
              </w:rPr>
              <w:t>Amendment to Second Amended and Restated Investors Rights Agreement, dated June 14, 2013, between the Registrant and certain</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4"/>
              </w:rPr>
              <w:t>investors (incorporated by reference to Exhibit 4.3 to the Registrant’s Registration Statement on Form S-1 (File No. 333-191282), as</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amended, declared effective on October 29, 2013).</w:t>
            </w:r>
          </w:p>
        </w:tc>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160" w:type="dxa"/>
            <w:vAlign w:val="bottom"/>
            <w:gridSpan w:val="3"/>
          </w:tcPr>
          <w:p>
            <w:pPr>
              <w:jc w:val="center"/>
              <w:spacing w:after="0"/>
              <w:rPr>
                <w:sz w:val="20"/>
                <w:szCs w:val="20"/>
                <w:color w:val="auto"/>
              </w:rPr>
            </w:pPr>
            <w:r>
              <w:rPr>
                <w:rFonts w:ascii="Arial" w:cs="Arial" w:eastAsia="Arial" w:hAnsi="Arial"/>
                <w:sz w:val="18"/>
                <w:szCs w:val="18"/>
                <w:color w:val="auto"/>
                <w:w w:val="95"/>
              </w:rPr>
              <w:t>4.4</w:t>
            </w:r>
          </w:p>
        </w:tc>
        <w:tc>
          <w:tcPr>
            <w:tcW w:w="120" w:type="dxa"/>
            <w:vAlign w:val="bottom"/>
          </w:tcPr>
          <w:p>
            <w:pPr>
              <w:spacing w:after="0"/>
              <w:rPr>
                <w:sz w:val="24"/>
                <w:szCs w:val="24"/>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3"/>
              </w:rPr>
              <w:t>Registration Rights Agreement, dated as of April 22, 2015, by and among the several purchasers signatory thereto and the Registrant</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rPr>
              <w:t>(incorporated by reference to Exhibit 10.2 to the Registrant’s Current Report on Form 8-K filed April 24, 2015).</w:t>
            </w:r>
          </w:p>
        </w:tc>
      </w:tr>
      <w:tr>
        <w:trPr>
          <w:trHeight w:val="348"/>
        </w:trPr>
        <w:tc>
          <w:tcPr>
            <w:tcW w:w="1280" w:type="dxa"/>
            <w:vAlign w:val="bottom"/>
            <w:tcBorders>
              <w:bottom w:val="single" w:sz="8" w:color="808080"/>
            </w:tcBorders>
            <w:gridSpan w:val="4"/>
          </w:tcPr>
          <w:p>
            <w:pPr>
              <w:spacing w:after="0"/>
              <w:rPr>
                <w:sz w:val="24"/>
                <w:szCs w:val="24"/>
                <w:color w:val="auto"/>
              </w:rPr>
            </w:pPr>
          </w:p>
        </w:tc>
        <w:tc>
          <w:tcPr>
            <w:tcW w:w="2400" w:type="dxa"/>
            <w:vAlign w:val="bottom"/>
            <w:tcBorders>
              <w:bottom w:val="single" w:sz="8" w:color="808080"/>
            </w:tcBorders>
            <w:gridSpan w:val="2"/>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523"/>
        </w:trPr>
        <w:tc>
          <w:tcPr>
            <w:tcW w:w="3680" w:type="dxa"/>
            <w:vAlign w:val="bottom"/>
            <w:gridSpan w:val="6"/>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7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18"/>
        </w:trPr>
        <w:tc>
          <w:tcPr>
            <w:tcW w:w="116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Exhibit No.</w:t>
            </w:r>
          </w:p>
        </w:tc>
        <w:tc>
          <w:tcPr>
            <w:tcW w:w="12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3740" w:type="dxa"/>
            <w:vAlign w:val="bottom"/>
          </w:tcPr>
          <w:p>
            <w:pPr>
              <w:ind w:left="2420"/>
              <w:spacing w:after="0"/>
              <w:rPr>
                <w:sz w:val="20"/>
                <w:szCs w:val="20"/>
                <w:color w:val="auto"/>
              </w:rPr>
            </w:pPr>
            <w:r>
              <w:rPr>
                <w:rFonts w:ascii="Arial" w:cs="Arial" w:eastAsia="Arial" w:hAnsi="Arial"/>
                <w:sz w:val="14"/>
                <w:szCs w:val="14"/>
                <w:b w:val="1"/>
                <w:bCs w:val="1"/>
                <w:color w:val="auto"/>
              </w:rPr>
              <w:t>Description</w:t>
            </w:r>
          </w:p>
        </w:tc>
        <w:tc>
          <w:tcPr>
            <w:tcW w:w="40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9"/>
              </w:rPr>
              <w:t>5.1*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Opinion of Pillsbury Winthrop Shaw Pittman LLP.</w:t>
            </w:r>
          </w:p>
        </w:tc>
        <w:tc>
          <w:tcPr>
            <w:tcW w:w="400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404"/>
        </w:trPr>
        <w:tc>
          <w:tcPr>
            <w:tcW w:w="1160" w:type="dxa"/>
            <w:vAlign w:val="bottom"/>
            <w:gridSpan w:val="3"/>
          </w:tcPr>
          <w:p>
            <w:pPr>
              <w:jc w:val="center"/>
              <w:spacing w:after="0"/>
              <w:rPr>
                <w:sz w:val="20"/>
                <w:szCs w:val="20"/>
                <w:color w:val="auto"/>
              </w:rPr>
            </w:pPr>
            <w:r>
              <w:rPr>
                <w:rFonts w:ascii="Arial" w:cs="Arial" w:eastAsia="Arial" w:hAnsi="Arial"/>
                <w:sz w:val="18"/>
                <w:szCs w:val="18"/>
                <w:color w:val="auto"/>
                <w:w w:val="88"/>
              </w:rPr>
              <w:t>10.1#</w:t>
            </w:r>
          </w:p>
        </w:tc>
        <w:tc>
          <w:tcPr>
            <w:tcW w:w="120" w:type="dxa"/>
            <w:vAlign w:val="bottom"/>
          </w:tcPr>
          <w:p>
            <w:pPr>
              <w:spacing w:after="0"/>
              <w:rPr>
                <w:sz w:val="24"/>
                <w:szCs w:val="24"/>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4"/>
              </w:rPr>
              <w:t>Form of Indemnification Agreement between the Registrant and its officers and directors (incorporated by reference to Exhibit 10.1 to</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5"/>
              </w:rPr>
              <w:t>the Registrant’s Registration Statement on Form S-1 (File No. 333-191282), as amended, declared effective on October 29, 2013).</w:t>
            </w:r>
          </w:p>
        </w:tc>
      </w:tr>
      <w:tr>
        <w:trPr>
          <w:trHeight w:val="418"/>
        </w:trPr>
        <w:tc>
          <w:tcPr>
            <w:tcW w:w="1160" w:type="dxa"/>
            <w:vAlign w:val="bottom"/>
            <w:gridSpan w:val="3"/>
          </w:tcPr>
          <w:p>
            <w:pPr>
              <w:jc w:val="center"/>
              <w:spacing w:after="0"/>
              <w:rPr>
                <w:sz w:val="20"/>
                <w:szCs w:val="20"/>
                <w:color w:val="auto"/>
              </w:rPr>
            </w:pPr>
            <w:r>
              <w:rPr>
                <w:rFonts w:ascii="Arial" w:cs="Arial" w:eastAsia="Arial" w:hAnsi="Arial"/>
                <w:sz w:val="18"/>
                <w:szCs w:val="18"/>
                <w:color w:val="auto"/>
                <w:w w:val="88"/>
              </w:rPr>
              <w:t>10.2#</w:t>
            </w:r>
          </w:p>
        </w:tc>
        <w:tc>
          <w:tcPr>
            <w:tcW w:w="120" w:type="dxa"/>
            <w:vAlign w:val="bottom"/>
          </w:tcPr>
          <w:p>
            <w:pPr>
              <w:spacing w:after="0"/>
              <w:rPr>
                <w:sz w:val="24"/>
                <w:szCs w:val="24"/>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7"/>
              </w:rPr>
              <w:t>2008 Stock Plan and forms of agreements thereunder (incorporated by reference to Exhibit 10.2 to the Registrant’s Registration</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r>
      <w:tr>
        <w:trPr>
          <w:trHeight w:val="418"/>
        </w:trPr>
        <w:tc>
          <w:tcPr>
            <w:tcW w:w="1160" w:type="dxa"/>
            <w:vAlign w:val="bottom"/>
            <w:gridSpan w:val="3"/>
          </w:tcPr>
          <w:p>
            <w:pPr>
              <w:jc w:val="center"/>
              <w:spacing w:after="0"/>
              <w:rPr>
                <w:sz w:val="20"/>
                <w:szCs w:val="20"/>
                <w:color w:val="auto"/>
              </w:rPr>
            </w:pPr>
            <w:r>
              <w:rPr>
                <w:rFonts w:ascii="Arial" w:cs="Arial" w:eastAsia="Arial" w:hAnsi="Arial"/>
                <w:sz w:val="18"/>
                <w:szCs w:val="18"/>
                <w:color w:val="auto"/>
                <w:w w:val="88"/>
              </w:rPr>
              <w:t>10.3#</w:t>
            </w:r>
          </w:p>
        </w:tc>
        <w:tc>
          <w:tcPr>
            <w:tcW w:w="120" w:type="dxa"/>
            <w:vAlign w:val="bottom"/>
          </w:tcPr>
          <w:p>
            <w:pPr>
              <w:spacing w:after="0"/>
              <w:rPr>
                <w:sz w:val="24"/>
                <w:szCs w:val="24"/>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1"/>
              </w:rPr>
              <w:t>2013 Stock Incentive Plan and forms of agreements thereunder (incorporated by reference to Exhibit 10.3 to the Registrant’s Registration</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r>
      <w:tr>
        <w:trPr>
          <w:trHeight w:val="418"/>
        </w:trPr>
        <w:tc>
          <w:tcPr>
            <w:tcW w:w="1160" w:type="dxa"/>
            <w:vAlign w:val="bottom"/>
            <w:gridSpan w:val="3"/>
          </w:tcPr>
          <w:p>
            <w:pPr>
              <w:jc w:val="center"/>
              <w:spacing w:after="0"/>
              <w:rPr>
                <w:sz w:val="20"/>
                <w:szCs w:val="20"/>
                <w:color w:val="auto"/>
              </w:rPr>
            </w:pPr>
            <w:r>
              <w:rPr>
                <w:rFonts w:ascii="Arial" w:cs="Arial" w:eastAsia="Arial" w:hAnsi="Arial"/>
                <w:sz w:val="18"/>
                <w:szCs w:val="18"/>
                <w:color w:val="auto"/>
                <w:w w:val="88"/>
              </w:rPr>
              <w:t>10.4#</w:t>
            </w:r>
          </w:p>
        </w:tc>
        <w:tc>
          <w:tcPr>
            <w:tcW w:w="120" w:type="dxa"/>
            <w:vAlign w:val="bottom"/>
          </w:tcPr>
          <w:p>
            <w:pPr>
              <w:spacing w:after="0"/>
              <w:rPr>
                <w:sz w:val="24"/>
                <w:szCs w:val="24"/>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0"/>
              </w:rPr>
              <w:t>Veracyte, Inc. Employee Stock Purchase Plan (incorporated by reference to Exhibit 10.1 to the Registrant’s Quarterly Report on Form 10-</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Q for the quarterly period ended June 30, 2015, as amended).</w:t>
            </w:r>
          </w:p>
        </w:tc>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160" w:type="dxa"/>
            <w:vAlign w:val="bottom"/>
            <w:gridSpan w:val="3"/>
          </w:tcPr>
          <w:p>
            <w:pPr>
              <w:jc w:val="center"/>
              <w:spacing w:after="0"/>
              <w:rPr>
                <w:sz w:val="20"/>
                <w:szCs w:val="20"/>
                <w:color w:val="auto"/>
              </w:rPr>
            </w:pPr>
            <w:r>
              <w:rPr>
                <w:rFonts w:ascii="Arial" w:cs="Arial" w:eastAsia="Arial" w:hAnsi="Arial"/>
                <w:sz w:val="18"/>
                <w:szCs w:val="18"/>
                <w:color w:val="auto"/>
                <w:w w:val="91"/>
              </w:rPr>
              <w:t>10.5</w:t>
            </w:r>
          </w:p>
        </w:tc>
        <w:tc>
          <w:tcPr>
            <w:tcW w:w="120" w:type="dxa"/>
            <w:vAlign w:val="bottom"/>
          </w:tcPr>
          <w:p>
            <w:pPr>
              <w:spacing w:after="0"/>
              <w:rPr>
                <w:sz w:val="24"/>
                <w:szCs w:val="24"/>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1"/>
              </w:rPr>
              <w:t>Lease Agreement dated as of February 10, 2010 between ARE-San Francisco No 17, LLC and the Registrant (incorporated by reference</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7"/>
              </w:rPr>
              <w:t>to Exhibit 10.4 to the Registrant’s Registration Statement on Form S-1 (File No. 333-191282), as amended, declared effective on</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2"/>
          </w:tcPr>
          <w:p>
            <w:pPr>
              <w:ind w:left="220"/>
              <w:spacing w:after="0"/>
              <w:rPr>
                <w:sz w:val="20"/>
                <w:szCs w:val="20"/>
                <w:color w:val="auto"/>
              </w:rPr>
            </w:pPr>
            <w:r>
              <w:rPr>
                <w:rFonts w:ascii="Arial" w:cs="Arial" w:eastAsia="Arial" w:hAnsi="Arial"/>
                <w:sz w:val="18"/>
                <w:szCs w:val="18"/>
                <w:color w:val="auto"/>
              </w:rPr>
              <w:t>October 29, 2013).</w:t>
            </w:r>
          </w:p>
        </w:tc>
        <w:tc>
          <w:tcPr>
            <w:tcW w:w="37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1160" w:type="dxa"/>
            <w:vAlign w:val="bottom"/>
            <w:gridSpan w:val="3"/>
          </w:tcPr>
          <w:p>
            <w:pPr>
              <w:jc w:val="center"/>
              <w:spacing w:after="0"/>
              <w:rPr>
                <w:sz w:val="20"/>
                <w:szCs w:val="20"/>
                <w:color w:val="auto"/>
              </w:rPr>
            </w:pPr>
            <w:r>
              <w:rPr>
                <w:rFonts w:ascii="Arial" w:cs="Arial" w:eastAsia="Arial" w:hAnsi="Arial"/>
                <w:sz w:val="18"/>
                <w:szCs w:val="18"/>
                <w:color w:val="auto"/>
                <w:w w:val="91"/>
              </w:rPr>
              <w:t>10.6</w:t>
            </w:r>
          </w:p>
        </w:tc>
        <w:tc>
          <w:tcPr>
            <w:tcW w:w="120" w:type="dxa"/>
            <w:vAlign w:val="bottom"/>
          </w:tcPr>
          <w:p>
            <w:pPr>
              <w:spacing w:after="0"/>
              <w:rPr>
                <w:sz w:val="24"/>
                <w:szCs w:val="24"/>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5"/>
              </w:rPr>
              <w:t>First Amendment to Lease Agreement entered into as of July 11, 2012 between ARE-San Francisco No 17, LLC and the Registrant</w:t>
            </w: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80" w:type="dxa"/>
            <w:vAlign w:val="bottom"/>
            <w:gridSpan w:val="5"/>
          </w:tcPr>
          <w:p>
            <w:pPr>
              <w:ind w:left="220"/>
              <w:spacing w:after="0"/>
              <w:rPr>
                <w:sz w:val="20"/>
                <w:szCs w:val="20"/>
                <w:color w:val="auto"/>
              </w:rPr>
            </w:pPr>
            <w:r>
              <w:rPr>
                <w:rFonts w:ascii="Arial" w:cs="Arial" w:eastAsia="Arial" w:hAnsi="Arial"/>
                <w:sz w:val="18"/>
                <w:szCs w:val="18"/>
                <w:color w:val="auto"/>
                <w:w w:val="93"/>
              </w:rPr>
              <w:t>(incorporated by reference to Exhibit 10.5 to the Registrant’s Registration Statement on Form S-1 (File No. 333-191282), as amended,</w:t>
            </w:r>
          </w:p>
        </w:tc>
      </w:tr>
      <w:tr>
        <w:trPr>
          <w:trHeight w:val="230"/>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140" w:type="dxa"/>
            <w:vAlign w:val="bottom"/>
            <w:gridSpan w:val="3"/>
          </w:tcPr>
          <w:p>
            <w:pPr>
              <w:ind w:left="220"/>
              <w:spacing w:after="0"/>
              <w:rPr>
                <w:sz w:val="20"/>
                <w:szCs w:val="20"/>
                <w:color w:val="auto"/>
              </w:rPr>
            </w:pPr>
            <w:r>
              <w:rPr>
                <w:rFonts w:ascii="Arial" w:cs="Arial" w:eastAsia="Arial" w:hAnsi="Arial"/>
                <w:sz w:val="18"/>
                <w:szCs w:val="18"/>
                <w:color w:val="auto"/>
              </w:rPr>
              <w:t>declared effective on October 29, 2013).</w:t>
            </w:r>
          </w:p>
        </w:tc>
        <w:tc>
          <w:tcPr>
            <w:tcW w:w="4000" w:type="dxa"/>
            <w:vAlign w:val="bottom"/>
          </w:tcPr>
          <w:p>
            <w:pPr>
              <w:spacing w:after="0"/>
              <w:rPr>
                <w:sz w:val="20"/>
                <w:szCs w:val="20"/>
                <w:color w:val="auto"/>
              </w:rPr>
            </w:pPr>
          </w:p>
        </w:tc>
        <w:tc>
          <w:tcPr>
            <w:tcW w:w="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-7865745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-7865745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-3465830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-3465830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10.7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Lease Agreement between Riata Holdings, L.P., as landlord, and the Registrant, as tenant, dated November 28, 2012 (incorporated by</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reference to Exhibit 10.6 to the Registrant’s Registration Statement on Form S-1 (File No. 333-191282), as amended, declared effective</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on October 29, 2013).</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10.8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1"/>
              </w:rPr>
              <w:t>First Amendment to Lease Agreement dated as of January 7, 2014 by and between Riata Holdings, L.P. and the Registrant (incorporated</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5"/>
              </w:rPr>
              <w:t>by reference to Exhibit 10.7 to the Registrant’s Annual Report on Form 10-K for the year ended December 31, 2013 filed March 20,</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40" w:type="dxa"/>
            <w:vAlign w:val="bottom"/>
            <w:gridSpan w:val="2"/>
          </w:tcPr>
          <w:p>
            <w:pPr>
              <w:ind w:left="120"/>
              <w:spacing w:after="0"/>
              <w:rPr>
                <w:sz w:val="20"/>
                <w:szCs w:val="20"/>
                <w:color w:val="auto"/>
              </w:rPr>
            </w:pPr>
            <w:r>
              <w:rPr>
                <w:rFonts w:ascii="Arial" w:cs="Arial" w:eastAsia="Arial" w:hAnsi="Arial"/>
                <w:sz w:val="18"/>
                <w:szCs w:val="18"/>
                <w:color w:val="auto"/>
              </w:rPr>
              <w:t>2014).</w:t>
            </w:r>
          </w:p>
        </w:tc>
        <w:tc>
          <w:tcPr>
            <w:tcW w:w="40" w:type="dxa"/>
            <w:vAlign w:val="bottom"/>
          </w:tcPr>
          <w:p>
            <w:pPr>
              <w:spacing w:after="0"/>
              <w:rPr>
                <w:sz w:val="20"/>
                <w:szCs w:val="20"/>
                <w:color w:val="auto"/>
              </w:rPr>
            </w:pP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91"/>
              </w:rPr>
              <w:t>10.9</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5"/>
              </w:rPr>
              <w:t>Office Building Lease by and between American Fund US Investments LP and the Registrant dated April 29, 2015 (incorporated by</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1"/>
              </w:rPr>
              <w:t>reference to Exhibit 10.2 to the Registrant’s Quarterly Report on Form 10-Q for the quarterly period ended June 30, 2015, as amended).</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10.10#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4"/>
              </w:rPr>
              <w:t>Employment Agreement, dated as of February 15, 2008, between Bonnie Anderson and the Registrant (incorporated by reference to</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7"/>
              </w:rPr>
              <w:t>Exhibit 10.10 to the Registrant’s Registration Statement on Form S-1 (File No. 333- 191282), as amended, declared effective on</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October 29, 2013).</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10.11#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0"/>
              </w:rPr>
              <w:t>Amendment to Bonnie Anderson Employment Agreement, dated as of December 22, 2008, between Bonnie Anderson and the Registrant</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(incorporated by reference to Exhibit 10.11 to the Registrant’s Registration Statement on Form S-1 (File No. 333-191282), as amended,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declared effective on October 29, 2013).</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10.12#</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5"/>
              </w:rPr>
              <w:t>Amendment No. 2 to Bonnie Anderson Employment Agreement, effective as of March 11, 2009, between Bonnie Anderson and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Registrant (incorporated by reference to Exhibit 10.12 to the Registrant’s Registration Statement on Form S-1 (File No. 333-191282), as</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amended, declared effective on October 29, 2013).</w:t>
            </w:r>
          </w:p>
        </w:tc>
      </w:tr>
      <w:tr>
        <w:trPr>
          <w:trHeight w:val="348"/>
        </w:trPr>
        <w:tc>
          <w:tcPr>
            <w:tcW w:w="2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60" w:type="dxa"/>
            <w:vAlign w:val="bottom"/>
            <w:gridSpan w:val="2"/>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7"/>
              </w:rPr>
              <w:t>10.13#</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1"/>
              </w:rPr>
              <w:t>Amended and Restated Change of Control and Severance Agreement, effective as of May 14, 2015, between Bonnie Anderson and the</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Registrant (incorporated by reference to Exhibit 10.1 to the Registrant’s Quarterly Report on Form 10-Q for the quarterly period ended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March 31, 2015, as amended).</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10.14#</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Amended and Restated Change of Control and Severance Agreement, effective as of May 14, 2015, between Christopher Hall and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Registrant (incorporated by reference to Exhibit 10.3 to the Registrant’s Quarterly Report on Form 10-Q for the quarterly period ended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March 31, 2015, as amended).</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10.15#</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5"/>
              </w:rPr>
              <w:t>Amended and Restated Change of Control and Severance Agreement, effective as of May 14, 2015, between Shelly Guyer and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Registrant (incorporated by reference to Exhibit 10.2 to the Registrant’s Quarterly Report on Form 10-Q for the quarterly period ended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March 31, 2015, as amended).</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10.16#</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5"/>
              </w:rPr>
              <w:t>Amended and Restated Change of Control and Severance Agreement, effective as of May 14, 2015, between Julie Brooks and the</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Registrant (incorporated by reference to Exhibit 10.4 to the Registrant’s Quarterly Report on Form 10-Q for the quarterly period ended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March 31, 2015, as amended).</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10.17#</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4"/>
              </w:rPr>
              <w:t>Offer Letter dated as of April 8, 2013 with Shelly D. Guyer (incorporated by reference to Exhibit 10.17 to the Registrant’s Registration</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Statement on Form S-1 (File No. 333-191282), as amended, declared effective on October 29, 2013).</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7"/>
              </w:rPr>
              <w:t>10.18#</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7"/>
              </w:rPr>
              <w:t>Offer Letter dated as of January 28, 2010 with Christopher M. Hall (incorporated by reference to Exhibit 10.18 to the Registrant’s</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Registration Statement on Form S-1 (File No. 333-191282), as amended, declared effective on October 29, 2013).</w:t>
            </w:r>
          </w:p>
        </w:tc>
      </w:tr>
      <w:tr>
        <w:trPr>
          <w:trHeight w:val="418"/>
        </w:trPr>
        <w:tc>
          <w:tcPr>
            <w:tcW w:w="20" w:type="dxa"/>
            <w:vAlign w:val="bottom"/>
          </w:tcPr>
          <w:p>
            <w:pPr>
              <w:spacing w:after="0"/>
              <w:rPr>
                <w:sz w:val="24"/>
                <w:szCs w:val="24"/>
                <w:color w:val="auto"/>
              </w:rPr>
            </w:pPr>
          </w:p>
        </w:tc>
        <w:tc>
          <w:tcPr>
            <w:tcW w:w="136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10.19†</w:t>
            </w: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0"/>
              </w:rPr>
              <w:t>Pathology Services Agreement dated as of November 12, 2010 between Brazos Valley Pathology, P.A. D/B/A Reitpath and the Registrant</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(incorporated by reference to Exhibit 10.19 to the Registrant’s Registration Statement on Form S-1 (File No. 333-191282), as amended,</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declared effective on October 29, 2013).</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10.20</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Approval of the Registrant to the Assignment of the Pathology Services Agreement with Brazos Valley Pathology to Thyroid</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Cytopathology Partners, P.A. as of May 18, 2011 (incorporated by reference to Exhibit 10.20 to the Registrant’s Registration Statement</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on Form S-1 (File No. 333-191282), as amended, declared effective on October 29, 2013).</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10.21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First Amendment to Pathology Services Agreement dated as of December 19, 2012 between Thyroid Cytopathology Partners, P.A. and</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1"/>
              </w:rPr>
              <w:t>the Registrant (incorporated by reference to Exhibit 10.21 to the Registrant’s Registration Statement on Form S-1 (File No. 333-191282),</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as amended, declared effective on October 29, 2013).</w:t>
            </w:r>
          </w:p>
        </w:tc>
      </w:tr>
      <w:tr>
        <w:trPr>
          <w:trHeight w:val="348"/>
        </w:trPr>
        <w:tc>
          <w:tcPr>
            <w:tcW w:w="1280" w:type="dxa"/>
            <w:vAlign w:val="bottom"/>
            <w:tcBorders>
              <w:bottom w:val="single" w:sz="8" w:color="808080"/>
            </w:tcBorders>
            <w:gridSpan w:val="3"/>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99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r>
        <w:trPr>
          <w:trHeight w:val="523"/>
        </w:trPr>
        <w:tc>
          <w:tcPr>
            <w:tcW w:w="1380" w:type="dxa"/>
            <w:vAlign w:val="bottom"/>
            <w:gridSpan w:val="4"/>
          </w:tcPr>
          <w:p>
            <w:pPr>
              <w:spacing w:after="0"/>
              <w:rPr>
                <w:rFonts w:ascii="Arial" w:cs="Arial" w:eastAsia="Arial" w:hAnsi="Arial"/>
                <w:sz w:val="18"/>
                <w:szCs w:val="18"/>
                <w:color w:val="0000EE"/>
                <w:w w:val="95"/>
              </w:rPr>
            </w:pPr>
            <w:hyperlink w:anchor="page2">
              <w:r>
                <w:rPr>
                  <w:rFonts w:ascii="Arial" w:cs="Arial" w:eastAsia="Arial" w:hAnsi="Arial"/>
                  <w:sz w:val="18"/>
                  <w:szCs w:val="18"/>
                  <w:color w:val="0000EE"/>
                  <w:w w:val="95"/>
                </w:rPr>
                <w:t>Table of Contents</w:t>
              </w:r>
            </w:hyperlink>
          </w:p>
        </w:tc>
        <w:tc>
          <w:tcPr>
            <w:tcW w:w="120" w:type="dxa"/>
            <w:vAlign w:val="bottom"/>
          </w:tcPr>
          <w:p>
            <w:pPr>
              <w:spacing w:after="0"/>
              <w:rPr>
                <w:sz w:val="24"/>
                <w:szCs w:val="24"/>
                <w:color w:val="auto"/>
              </w:rPr>
            </w:pPr>
          </w:p>
        </w:tc>
        <w:tc>
          <w:tcPr>
            <w:tcW w:w="99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5"/>
        </w:trPr>
        <w:tc>
          <w:tcPr>
            <w:tcW w:w="1280" w:type="dxa"/>
            <w:vAlign w:val="bottom"/>
            <w:tcBorders>
              <w:top w:val="single" w:sz="8" w:color="0000EE"/>
            </w:tcBorders>
            <w:gridSpan w:val="3"/>
          </w:tcPr>
          <w:p>
            <w:pPr>
              <w:spacing w:after="0"/>
              <w:rPr>
                <w:sz w:val="20"/>
                <w:szCs w:val="20"/>
                <w:color w:val="auto"/>
              </w:rPr>
            </w:pPr>
            <w:r>
              <w:rPr>
                <w:rFonts w:ascii="Arial" w:cs="Arial" w:eastAsia="Arial" w:hAnsi="Arial"/>
                <w:sz w:val="14"/>
                <w:szCs w:val="14"/>
                <w:b w:val="1"/>
                <w:bCs w:val="1"/>
                <w:color w:val="auto"/>
              </w:rPr>
              <w:t>Exhibit No.</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60" w:type="dxa"/>
            <w:vAlign w:val="bottom"/>
            <w:gridSpan w:val="2"/>
          </w:tcPr>
          <w:p>
            <w:pPr>
              <w:ind w:left="4600"/>
              <w:spacing w:after="0"/>
              <w:rPr>
                <w:sz w:val="20"/>
                <w:szCs w:val="20"/>
                <w:color w:val="auto"/>
              </w:rPr>
            </w:pPr>
            <w:r>
              <w:rPr>
                <w:rFonts w:ascii="Arial" w:cs="Arial" w:eastAsia="Arial" w:hAnsi="Arial"/>
                <w:sz w:val="14"/>
                <w:szCs w:val="14"/>
                <w:b w:val="1"/>
                <w:bCs w:val="1"/>
                <w:color w:val="auto"/>
              </w:rPr>
              <w:t>Description</w:t>
            </w:r>
          </w:p>
        </w:tc>
      </w:tr>
      <w:tr>
        <w:trPr>
          <w:trHeight w:val="195"/>
        </w:trPr>
        <w:tc>
          <w:tcPr>
            <w:tcW w:w="20" w:type="dxa"/>
            <w:vAlign w:val="bottom"/>
          </w:tcPr>
          <w:p>
            <w:pPr>
              <w:spacing w:after="0"/>
              <w:rPr>
                <w:sz w:val="16"/>
                <w:szCs w:val="16"/>
                <w:color w:val="auto"/>
              </w:rPr>
            </w:pPr>
          </w:p>
        </w:tc>
        <w:tc>
          <w:tcPr>
            <w:tcW w:w="11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8"/>
              </w:rPr>
              <w:t>10.22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9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97"/>
              </w:rPr>
              <w:t>Second Amendment to Pathology Services Agreement dated as of January 1, 2014 by and between the Registrant and Thyroid</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3"/>
              </w:rPr>
              <w:t>Cytopathology Partners, P.A. (incorporated by reference to Exhibit 10.23 to the Registrant’s Annual Report on Form 10-K for the year</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ended December 31, 2013).</w:t>
            </w:r>
          </w:p>
        </w:tc>
      </w:tr>
      <w:tr>
        <w:trPr>
          <w:trHeight w:val="418"/>
        </w:trPr>
        <w:tc>
          <w:tcPr>
            <w:tcW w:w="1160" w:type="dxa"/>
            <w:vAlign w:val="bottom"/>
            <w:gridSpan w:val="2"/>
          </w:tcPr>
          <w:p>
            <w:pPr>
              <w:jc w:val="center"/>
              <w:spacing w:after="0"/>
              <w:rPr>
                <w:sz w:val="20"/>
                <w:szCs w:val="20"/>
                <w:color w:val="auto"/>
              </w:rPr>
            </w:pPr>
            <w:r>
              <w:rPr>
                <w:rFonts w:ascii="Arial" w:cs="Arial" w:eastAsia="Arial" w:hAnsi="Arial"/>
                <w:sz w:val="18"/>
                <w:szCs w:val="18"/>
                <w:color w:val="auto"/>
                <w:w w:val="88"/>
              </w:rPr>
              <w:t>10.23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2"/>
              </w:rPr>
              <w:t>Loan and Security Agreement dated as of June 26, 2013 between Silicon Valley Bank and the Registrant (incorporated by reference to</w:t>
            </w: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w w:val="99"/>
              </w:rPr>
              <w:t>Exhibit 10.9 to the Registrant’s Registration Statement on Form S-1 (File No. 333-191282), as amended, declared effective on</w:t>
            </w: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80" w:type="dxa"/>
            <w:vAlign w:val="bottom"/>
            <w:gridSpan w:val="3"/>
          </w:tcPr>
          <w:p>
            <w:pPr>
              <w:ind w:left="120"/>
              <w:spacing w:after="0"/>
              <w:rPr>
                <w:sz w:val="20"/>
                <w:szCs w:val="20"/>
                <w:color w:val="auto"/>
              </w:rPr>
            </w:pPr>
            <w:r>
              <w:rPr>
                <w:rFonts w:ascii="Arial" w:cs="Arial" w:eastAsia="Arial" w:hAnsi="Arial"/>
                <w:sz w:val="18"/>
                <w:szCs w:val="18"/>
                <w:color w:val="auto"/>
              </w:rPr>
              <w:t>October 29, 2013).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-6947535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-6947535</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-1588135</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-1588135</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0" w:gutter="0" w:footer="0" w:header="0"/>
        </w:sectPr>
      </w:pPr>
    </w:p>
    <w:bookmarkStart w:id="13" w:name="page14"/>
    <w:bookmarkEnd w:id="13"/>
    <w:tbl>
      <w:tblPr>
        <w:tblLayout w:type="fixed"/>
        <w:tblInd w:w="340" w:type="dxa"/>
        <w:tblCellMar>
          <w:top w:w="0" w:type="dxa"/>
          <w:left w:w="0" w:type="dxa"/>
          <w:bottom w:w="0" w:type="dxa"/>
          <w:right w:w="0" w:type="dxa"/>
        </w:tblCellMar>
      </w:tblPr>
      <w:tr>
        <w:trPr>
          <w:trHeight w:val="216"/>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88"/>
              </w:rPr>
              <w:t>10.24</w:t>
            </w:r>
          </w:p>
        </w:tc>
        <w:tc>
          <w:tcPr>
            <w:tcW w:w="10140" w:type="dxa"/>
            <w:vAlign w:val="bottom"/>
          </w:tcPr>
          <w:p>
            <w:pPr>
              <w:ind w:left="340"/>
              <w:spacing w:after="0"/>
              <w:rPr>
                <w:sz w:val="20"/>
                <w:szCs w:val="20"/>
                <w:color w:val="auto"/>
              </w:rPr>
            </w:pPr>
            <w:r>
              <w:rPr>
                <w:rFonts w:ascii="Arial" w:cs="Arial" w:eastAsia="Arial" w:hAnsi="Arial"/>
                <w:sz w:val="18"/>
                <w:szCs w:val="18"/>
                <w:color w:val="auto"/>
                <w:w w:val="92"/>
              </w:rPr>
              <w:t>Consent and First Amendment to Loan and Security Agreement dated as of December 18, 2014 between Silicon Valley Bank and the</w:t>
            </w:r>
          </w:p>
        </w:tc>
      </w:tr>
      <w:tr>
        <w:trPr>
          <w:trHeight w:val="230"/>
        </w:trPr>
        <w:tc>
          <w:tcPr>
            <w:tcW w:w="82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6"/>
              </w:rPr>
              <w:t>Registrant (incorporated by reference to Exhibit 10.1 to the Registrant’s Current Report on Form 8-K filed December 18, 2014).</w:t>
            </w:r>
          </w:p>
        </w:tc>
      </w:tr>
      <w:tr>
        <w:trPr>
          <w:trHeight w:val="418"/>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88"/>
              </w:rPr>
              <w:t>10.25</w:t>
            </w:r>
          </w:p>
        </w:tc>
        <w:tc>
          <w:tcPr>
            <w:tcW w:w="10140" w:type="dxa"/>
            <w:vAlign w:val="bottom"/>
          </w:tcPr>
          <w:p>
            <w:pPr>
              <w:ind w:left="340"/>
              <w:spacing w:after="0"/>
              <w:rPr>
                <w:sz w:val="20"/>
                <w:szCs w:val="20"/>
                <w:color w:val="auto"/>
              </w:rPr>
            </w:pPr>
            <w:r>
              <w:rPr>
                <w:rFonts w:ascii="Arial" w:cs="Arial" w:eastAsia="Arial" w:hAnsi="Arial"/>
                <w:sz w:val="18"/>
                <w:szCs w:val="18"/>
                <w:color w:val="auto"/>
                <w:w w:val="90"/>
              </w:rPr>
              <w:t>Consent and Second Amendment to Loan and Security Agreement dated as of November 24, 2015 between Silicon Valley Bank and the</w:t>
            </w:r>
          </w:p>
        </w:tc>
      </w:tr>
      <w:tr>
        <w:trPr>
          <w:trHeight w:val="230"/>
        </w:trPr>
        <w:tc>
          <w:tcPr>
            <w:tcW w:w="82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6"/>
              </w:rPr>
              <w:t>Registrant (incorporated by reference to Exhibit 10.1 to the Registrant’s Current Report on Form 8-K filed November 24, 2015).</w:t>
            </w:r>
          </w:p>
        </w:tc>
      </w:tr>
      <w:tr>
        <w:trPr>
          <w:trHeight w:val="418"/>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87"/>
              </w:rPr>
              <w:t>10.26†</w:t>
            </w:r>
          </w:p>
        </w:tc>
        <w:tc>
          <w:tcPr>
            <w:tcW w:w="10140" w:type="dxa"/>
            <w:vAlign w:val="bottom"/>
          </w:tcPr>
          <w:p>
            <w:pPr>
              <w:ind w:left="340"/>
              <w:spacing w:after="0"/>
              <w:rPr>
                <w:sz w:val="20"/>
                <w:szCs w:val="20"/>
                <w:color w:val="auto"/>
              </w:rPr>
            </w:pPr>
            <w:r>
              <w:rPr>
                <w:rFonts w:ascii="Arial" w:cs="Arial" w:eastAsia="Arial" w:hAnsi="Arial"/>
                <w:sz w:val="18"/>
                <w:szCs w:val="18"/>
                <w:color w:val="auto"/>
                <w:w w:val="90"/>
              </w:rPr>
              <w:t>Co-promotion Agreement dated as of January 18, 2012 between Genzyme Corporation and the Registrant (incorporated by reference to</w:t>
            </w:r>
          </w:p>
        </w:tc>
      </w:tr>
      <w:tr>
        <w:trPr>
          <w:trHeight w:val="216"/>
        </w:trPr>
        <w:tc>
          <w:tcPr>
            <w:tcW w:w="82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7"/>
              </w:rPr>
              <w:t>Exhibit 10.7 to the Registrant’s Registration Statement on Form S-1 (File No. 333-191282), as amended, declared effective on</w:t>
            </w:r>
          </w:p>
        </w:tc>
      </w:tr>
      <w:tr>
        <w:trPr>
          <w:trHeight w:val="230"/>
        </w:trPr>
        <w:tc>
          <w:tcPr>
            <w:tcW w:w="82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October 29, 2013).</w:t>
            </w:r>
          </w:p>
        </w:tc>
      </w:tr>
      <w:tr>
        <w:trPr>
          <w:trHeight w:val="418"/>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88"/>
              </w:rPr>
              <w:t>10.27</w:t>
            </w:r>
          </w:p>
        </w:tc>
        <w:tc>
          <w:tcPr>
            <w:tcW w:w="10140" w:type="dxa"/>
            <w:vAlign w:val="bottom"/>
          </w:tcPr>
          <w:p>
            <w:pPr>
              <w:ind w:left="340"/>
              <w:spacing w:after="0"/>
              <w:rPr>
                <w:sz w:val="20"/>
                <w:szCs w:val="20"/>
                <w:color w:val="auto"/>
              </w:rPr>
            </w:pPr>
            <w:r>
              <w:rPr>
                <w:rFonts w:ascii="Arial" w:cs="Arial" w:eastAsia="Arial" w:hAnsi="Arial"/>
                <w:sz w:val="18"/>
                <w:szCs w:val="18"/>
                <w:color w:val="auto"/>
                <w:w w:val="92"/>
              </w:rPr>
              <w:t>Amendment to Co-promotion Agreement, effective April 9, 2013, between Genzyme Corporation and the Registrant (incorporated by</w:t>
            </w:r>
          </w:p>
        </w:tc>
      </w:tr>
      <w:tr>
        <w:trPr>
          <w:trHeight w:val="216"/>
        </w:trPr>
        <w:tc>
          <w:tcPr>
            <w:tcW w:w="820" w:type="dxa"/>
            <w:vAlign w:val="bottom"/>
          </w:tcPr>
          <w:p>
            <w:pPr>
              <w:spacing w:after="0"/>
              <w:rPr>
                <w:sz w:val="18"/>
                <w:szCs w:val="18"/>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w w:val="90"/>
              </w:rPr>
              <w:t>reference to Exhibit 10.8 to the Registrant’s Registration Statement on Form S-1 (File No. 333-191282), as amended, declared effective</w:t>
            </w:r>
          </w:p>
        </w:tc>
      </w:tr>
      <w:tr>
        <w:trPr>
          <w:trHeight w:val="230"/>
        </w:trPr>
        <w:tc>
          <w:tcPr>
            <w:tcW w:w="82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on October 29, 2013).</w:t>
            </w:r>
          </w:p>
        </w:tc>
      </w:tr>
      <w:tr>
        <w:trPr>
          <w:trHeight w:val="418"/>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87"/>
              </w:rPr>
              <w:t>10.28†</w:t>
            </w:r>
          </w:p>
        </w:tc>
        <w:tc>
          <w:tcPr>
            <w:tcW w:w="10140" w:type="dxa"/>
            <w:vAlign w:val="bottom"/>
          </w:tcPr>
          <w:p>
            <w:pPr>
              <w:ind w:left="340"/>
              <w:spacing w:after="0"/>
              <w:rPr>
                <w:sz w:val="20"/>
                <w:szCs w:val="20"/>
                <w:color w:val="auto"/>
              </w:rPr>
            </w:pPr>
            <w:r>
              <w:rPr>
                <w:rFonts w:ascii="Arial" w:cs="Arial" w:eastAsia="Arial" w:hAnsi="Arial"/>
                <w:sz w:val="18"/>
                <w:szCs w:val="18"/>
                <w:color w:val="auto"/>
                <w:w w:val="90"/>
              </w:rPr>
              <w:t>Amended and Restated U.S. Co-Promotion Agreement between the Registrant and Genzyme Corporation (incorporated by reference to</w:t>
            </w:r>
          </w:p>
        </w:tc>
      </w:tr>
      <w:tr>
        <w:trPr>
          <w:trHeight w:val="230"/>
        </w:trPr>
        <w:tc>
          <w:tcPr>
            <w:tcW w:w="82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Exhibit 10.1 to the Registrant’s Form 10-Q for the quarterly period ended September 30, 2014).</w:t>
            </w:r>
          </w:p>
        </w:tc>
      </w:tr>
      <w:tr>
        <w:trPr>
          <w:trHeight w:val="418"/>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87"/>
              </w:rPr>
              <w:t>10.29†</w:t>
            </w:r>
          </w:p>
        </w:tc>
        <w:tc>
          <w:tcPr>
            <w:tcW w:w="10140" w:type="dxa"/>
            <w:vAlign w:val="bottom"/>
          </w:tcPr>
          <w:p>
            <w:pPr>
              <w:ind w:left="340"/>
              <w:spacing w:after="0"/>
              <w:rPr>
                <w:sz w:val="20"/>
                <w:szCs w:val="20"/>
                <w:color w:val="auto"/>
              </w:rPr>
            </w:pPr>
            <w:r>
              <w:rPr>
                <w:rFonts w:ascii="Arial" w:cs="Arial" w:eastAsia="Arial" w:hAnsi="Arial"/>
                <w:sz w:val="18"/>
                <w:szCs w:val="18"/>
                <w:color w:val="auto"/>
                <w:w w:val="90"/>
              </w:rPr>
              <w:t>Ex-U.S. Co-Promotion Agreement between the Registrant and Genzyme Corporation. (incorporated by reference to Exhibit 10.26 to the</w:t>
            </w:r>
          </w:p>
        </w:tc>
      </w:tr>
      <w:tr>
        <w:trPr>
          <w:trHeight w:val="230"/>
        </w:trPr>
        <w:tc>
          <w:tcPr>
            <w:tcW w:w="820" w:type="dxa"/>
            <w:vAlign w:val="bottom"/>
          </w:tcPr>
          <w:p>
            <w:pPr>
              <w:spacing w:after="0"/>
              <w:rPr>
                <w:sz w:val="20"/>
                <w:szCs w:val="20"/>
                <w:color w:val="auto"/>
              </w:rPr>
            </w:pPr>
          </w:p>
        </w:tc>
        <w:tc>
          <w:tcPr>
            <w:tcW w:w="10140" w:type="dxa"/>
            <w:vAlign w:val="bottom"/>
          </w:tcPr>
          <w:p>
            <w:pPr>
              <w:ind w:left="340"/>
              <w:spacing w:after="0"/>
              <w:rPr>
                <w:sz w:val="20"/>
                <w:szCs w:val="20"/>
                <w:color w:val="auto"/>
              </w:rPr>
            </w:pPr>
            <w:r>
              <w:rPr>
                <w:rFonts w:ascii="Arial" w:cs="Arial" w:eastAsia="Arial" w:hAnsi="Arial"/>
                <w:sz w:val="18"/>
                <w:szCs w:val="18"/>
                <w:color w:val="auto"/>
              </w:rPr>
              <w:t>Registrant’s Annual Report Form 10-K for the year ended December 31, 2015, as amended).</w:t>
            </w:r>
          </w:p>
        </w:tc>
      </w:tr>
      <w:tr>
        <w:trPr>
          <w:trHeight w:val="432"/>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95"/>
              </w:rPr>
              <w:t>23.1*</w:t>
            </w:r>
          </w:p>
        </w:tc>
        <w:tc>
          <w:tcPr>
            <w:tcW w:w="10140" w:type="dxa"/>
            <w:vAlign w:val="bottom"/>
          </w:tcPr>
          <w:p>
            <w:pPr>
              <w:ind w:left="340"/>
              <w:spacing w:after="0"/>
              <w:rPr>
                <w:sz w:val="20"/>
                <w:szCs w:val="20"/>
                <w:color w:val="auto"/>
              </w:rPr>
            </w:pPr>
            <w:r>
              <w:rPr>
                <w:rFonts w:ascii="Arial" w:cs="Arial" w:eastAsia="Arial" w:hAnsi="Arial"/>
                <w:sz w:val="18"/>
                <w:szCs w:val="18"/>
                <w:color w:val="auto"/>
              </w:rPr>
              <w:t>Consent of Pillsbury Winthrop Shaw Pittman LLP (included in Exhibit 5.1).</w:t>
            </w:r>
          </w:p>
        </w:tc>
      </w:tr>
      <w:tr>
        <w:trPr>
          <w:trHeight w:val="432"/>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97"/>
              </w:rPr>
              <w:t>23.2**</w:t>
            </w:r>
          </w:p>
        </w:tc>
        <w:tc>
          <w:tcPr>
            <w:tcW w:w="10140" w:type="dxa"/>
            <w:vAlign w:val="bottom"/>
          </w:tcPr>
          <w:p>
            <w:pPr>
              <w:ind w:left="340"/>
              <w:spacing w:after="0"/>
              <w:rPr>
                <w:sz w:val="20"/>
                <w:szCs w:val="20"/>
                <w:color w:val="auto"/>
              </w:rPr>
            </w:pPr>
            <w:r>
              <w:rPr>
                <w:rFonts w:ascii="Arial" w:cs="Arial" w:eastAsia="Arial" w:hAnsi="Arial"/>
                <w:sz w:val="18"/>
                <w:szCs w:val="18"/>
                <w:color w:val="auto"/>
              </w:rPr>
              <w:t>Consent of Ernst &amp; Young LLP, Independent Registered Public Accounting Firm.</w:t>
            </w:r>
          </w:p>
        </w:tc>
      </w:tr>
      <w:tr>
        <w:trPr>
          <w:trHeight w:val="432"/>
        </w:trPr>
        <w:tc>
          <w:tcPr>
            <w:tcW w:w="820" w:type="dxa"/>
            <w:vAlign w:val="bottom"/>
          </w:tcPr>
          <w:p>
            <w:pPr>
              <w:jc w:val="center"/>
              <w:ind w:right="250"/>
              <w:spacing w:after="0"/>
              <w:rPr>
                <w:sz w:val="20"/>
                <w:szCs w:val="20"/>
                <w:color w:val="auto"/>
              </w:rPr>
            </w:pPr>
            <w:r>
              <w:rPr>
                <w:rFonts w:ascii="Arial" w:cs="Arial" w:eastAsia="Arial" w:hAnsi="Arial"/>
                <w:sz w:val="18"/>
                <w:szCs w:val="18"/>
                <w:color w:val="auto"/>
                <w:w w:val="97"/>
              </w:rPr>
              <w:t>23.3**</w:t>
            </w:r>
          </w:p>
        </w:tc>
        <w:tc>
          <w:tcPr>
            <w:tcW w:w="10140" w:type="dxa"/>
            <w:vAlign w:val="bottom"/>
          </w:tcPr>
          <w:p>
            <w:pPr>
              <w:ind w:left="340"/>
              <w:spacing w:after="0"/>
              <w:rPr>
                <w:sz w:val="20"/>
                <w:szCs w:val="20"/>
                <w:color w:val="auto"/>
              </w:rPr>
            </w:pPr>
            <w:r>
              <w:rPr>
                <w:rFonts w:ascii="Arial" w:cs="Arial" w:eastAsia="Arial" w:hAnsi="Arial"/>
                <w:sz w:val="18"/>
                <w:szCs w:val="18"/>
                <w:color w:val="auto"/>
              </w:rPr>
              <w:t>Consent of PricewaterhouseCoopers LLP, Independent Registered Public Accounting Firm.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3" w:lineRule="exact"/>
        <w:rPr>
          <w:sz w:val="20"/>
          <w:szCs w:val="20"/>
          <w:color w:val="auto"/>
        </w:rPr>
      </w:pPr>
    </w:p>
    <w:p>
      <w:pPr>
        <w:ind w:left="380" w:hanging="372"/>
        <w:spacing w:after="0"/>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Confidential treatment has been granted with respect to certain portions of this Exhibit.</w:t>
      </w:r>
    </w:p>
    <w:p>
      <w:pPr>
        <w:spacing w:after="0" w:line="9" w:lineRule="exact"/>
        <w:rPr>
          <w:rFonts w:ascii="Arial" w:cs="Arial" w:eastAsia="Arial" w:hAnsi="Arial"/>
          <w:sz w:val="18"/>
          <w:szCs w:val="18"/>
          <w:color w:val="auto"/>
        </w:rPr>
      </w:pPr>
    </w:p>
    <w:p>
      <w:pPr>
        <w:ind w:right="5900"/>
        <w:spacing w:after="0" w:line="261" w:lineRule="auto"/>
        <w:rPr>
          <w:rFonts w:ascii="Arial" w:cs="Arial" w:eastAsia="Arial" w:hAnsi="Arial"/>
          <w:sz w:val="18"/>
          <w:szCs w:val="18"/>
          <w:color w:val="auto"/>
        </w:rPr>
      </w:pPr>
      <w:r>
        <w:rPr>
          <w:rFonts w:ascii="Arial" w:cs="Arial" w:eastAsia="Arial" w:hAnsi="Arial"/>
          <w:sz w:val="18"/>
          <w:szCs w:val="18"/>
          <w:color w:val="auto"/>
        </w:rPr>
        <w:t># Indicates management contract or compensatory plan or arrangement. **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192405</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14" w:name="page15"/>
    <w:bookmarkEnd w:id="14"/>
    <w:p>
      <w:pPr>
        <w:jc w:val="right"/>
        <w:spacing w:after="0"/>
        <w:rPr>
          <w:sz w:val="20"/>
          <w:szCs w:val="20"/>
          <w:color w:val="auto"/>
        </w:rPr>
      </w:pPr>
      <w:r>
        <w:rPr>
          <w:rFonts w:ascii="Arial" w:cs="Arial" w:eastAsia="Arial" w:hAnsi="Arial"/>
          <w:sz w:val="18"/>
          <w:szCs w:val="18"/>
          <w:b w:val="1"/>
          <w:bCs w:val="1"/>
          <w:color w:val="auto"/>
        </w:rPr>
        <w:t>EXHIBIT 23.2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ERNST &amp; YOUNG LLP, INDEPENDENT REGISTERED PUBLIC ACCOUNTING FIRM</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consent to the reference to our firm under the caption “Experts” in the Registration Statement (Post-Effective Amendment No. 1 to Form S-3 (No. 333-204368) on Form S-1) and related prospectus of Veracyte, Inc. for the registration of 4,907,975 shares of its common stock and to the incorporation by reference therein of our report dated March 14, 2016, with respect to the financial statements of Veracyte, Inc., included in its Annual Report (Form 10-K) for the year ended December 31, 2015, filed with the Securities and Exchange Commission.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t>EXHIBIT 23.3</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25"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We hereby consent to the incorporation by reference in this Post Effective Amendment No. 1 to Registration Statement on Form S-3 on Form S-1 of Veracyte, Inc. of our report dated March 20, 2014 relating to the financial statements, which appears in Veracyte, Inc.’s Annual Report on Form 10-K for the year ended December 31, 2015. We also consent to the reference to us under the heading “Experts” in such Registration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14,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abstractNum>
  <w:abstractNum w:abstractNumId="2">
    <w:nsid w:val="5BD062C2"/>
    <w:multiLevelType w:val="hybridMultilevel"/>
    <w:lvl w:ilvl="0">
      <w:lvlJc w:val="left"/>
      <w:lvlText w:val="(%1)"/>
      <w:numFmt w:val="decimal"/>
      <w:start w:val="9"/>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lvl w:ilvl="1">
      <w:lvlJc w:val="left"/>
      <w:lvlText w:val="(%2)"/>
      <w:numFmt w:val="lowerRoman"/>
      <w:start w:val="1"/>
    </w:lvl>
  </w:abstractNum>
  <w:abstractNum w:abstractNumId="9">
    <w:nsid w:val="140E0F76"/>
    <w:multiLevelType w:val="hybridMultilevel"/>
    <w:lvl w:ilvl="0">
      <w:lvlJc w:val="left"/>
      <w:lvlText w:val="(%1)"/>
      <w:numFmt w:val="decimal"/>
      <w:start w:val="2"/>
    </w:lvl>
  </w:abstractNum>
  <w:abstractNum w:abstractNumId="10">
    <w:nsid w:val="3352255A"/>
    <w:multiLevelType w:val="hybridMultilevel"/>
    <w:lvl w:ilvl="0">
      <w:lvlJc w:val="left"/>
      <w:lvlText w:val="(%1)"/>
      <w:numFmt w:val="lowerRoman"/>
      <w:start w:val="1"/>
    </w:lvl>
  </w:abstractNum>
  <w:abstractNum w:abstractNumId="11">
    <w:nsid w:val="109CF92E"/>
    <w:multiLevelType w:val="hybridMultilevel"/>
    <w:lvl w:ilvl="0">
      <w:lvlJc w:val="left"/>
      <w:lvlText w:val="%1"/>
      <w:numFmt w:val="decimal"/>
      <w:start w:val="1"/>
    </w:lvl>
    <w:lvl w:ilvl="1">
      <w:lvlJc w:val="left"/>
      <w:lvlText w:val="(%2)"/>
      <w:numFmt w:val="lowerRoman"/>
      <w:start w:val="2"/>
    </w:lvl>
  </w:abstractNum>
  <w:abstractNum w:abstractNumId="12">
    <w:nsid w:val="DED7263"/>
    <w:multiLevelType w:val="hybridMultilevel"/>
    <w:lvl w:ilvl="0">
      <w:lvlJc w:val="left"/>
      <w:lvlText w:val="(%1)"/>
      <w:numFmt w:val="decimal"/>
      <w:start w:val="6"/>
    </w:lvl>
    <w:lvl w:ilvl="1">
      <w:lvlJc w:val="left"/>
      <w:lvlText w:val="(%2)"/>
      <w:numFmt w:val="lowerRoman"/>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2019-12-08T12:52:10Z</dcterms:created>
  <dcterms:modified xsi:type="dcterms:W3CDTF">2019-12-08T12:52:10Z</dcterms:modified>
</cp:coreProperties>
</file>