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2832769.xml.htm"/>
      <w:bookmarkStart w:id="1" w:name="kswkform4_177283276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Leite John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6000 SHORELINE COURT, SUITE 300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VERACYTE,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VCYT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Commercial Officer-CLIA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5"/>
        <w:gridCol w:w="913"/>
        <w:gridCol w:w="782"/>
        <w:gridCol w:w="606"/>
        <w:gridCol w:w="347"/>
        <w:gridCol w:w="835"/>
        <w:gridCol w:w="443"/>
        <w:gridCol w:w="981"/>
        <w:gridCol w:w="1149"/>
        <w:gridCol w:w="98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5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03/04/2026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5,260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35.1868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107,580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on this Form 4 were made pursuant to a Rule 10b5-1 plan adopted by the reporting person on June 9,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weighted average sales price. Sale prices for the transactions range from $35.00 to $35.53. Detailed information regarding the number of shares sold at each separate price will be provided to the SEC, the issuer or a shareholder upon request.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Wygant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91536" TargetMode="External"/><Relationship Id="rId5" Type="http://schemas.openxmlformats.org/officeDocument/2006/relationships/hyperlink" Target="http://www.sec.gov/cgi-bin/browse-edgar?action=getcompany&amp;CIK=000138410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628</Words>
  <Characters>3400</Characters>
  <CharactersWithSpaces>3967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