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6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7211060</wp:posOffset>
            </wp:positionH>
            <wp:positionV relativeFrom="paragraph">
              <wp:posOffset>-525145</wp:posOffset>
            </wp:positionV>
            <wp:extent cx="52705" cy="538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5842000</wp:posOffset>
            </wp:positionH>
            <wp:positionV relativeFrom="paragraph">
              <wp:posOffset>-525145</wp:posOffset>
            </wp:positionV>
            <wp:extent cx="52705" cy="538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10160</wp:posOffset>
            </wp:positionV>
            <wp:extent cx="7299960" cy="4548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960" cy="454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8"/>
                </w:rPr>
                <w:t>Hanna John Walter JR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  <w:vMerge w:val="restart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SUITE 300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94080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VCYT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Relationship of Reporting Person(s) to Issuer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 below)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</w:t>
            </w:r>
          </w:p>
        </w:tc>
        <w:tc>
          <w:tcPr>
            <w:tcW w:w="2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2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Chief Commercial Officer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60" w:space="360"/>
            <w:col w:w="6240"/>
          </w:cols>
          <w:pgMar w:left="220" w:top="209" w:right="21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3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9"/>
        </w:trPr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2"/>
        </w:trPr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4"/>
        </w:trPr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65,357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09/19/2021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11,947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2.4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02/04/2023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53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02/18/2024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14.34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03/01/2025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30,000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8.86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02/28/2026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55,000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6.45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03/02/2027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50,000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9.05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03/01/2028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52,500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5.98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Option (right to buy)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0"/>
              </w:rPr>
              <w:t>02/27/2029</w:t>
            </w:r>
          </w:p>
        </w:tc>
        <w:tc>
          <w:tcPr>
            <w:tcW w:w="22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3"/>
              </w:rPr>
              <w:t>60,000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20.21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35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Includes 8,333 restricted stock units from a grant awarded on March 3, 2017 which vests 1/3 on each annual anniversary, 4,813 restricted stock units from a grant which vested 25% on March 2, 2019 and 3/48 on each quarterly anniversary thereafter, 32,000 restricted stock units awarded on February 28, 2019 which vest 25% on February 28, 2021 and 75% on February 28, 2022 and 8,000 restricted stock units awarded on February 28, 2019 which vests 25% on February 28, 2020 and 3/48 on each quarterly vesting date thereafter. Vesting of restricted stock units is subject to continuing employment of the Reporting person on the vest date.</w:t>
      </w:r>
    </w:p>
    <w:p>
      <w:pPr>
        <w:spacing w:after="0" w:line="27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0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 is fully vested.</w:t>
      </w:r>
    </w:p>
    <w:p>
      <w:pPr>
        <w:spacing w:after="0" w:line="3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60" w:hanging="1"/>
        <w:spacing w:after="0" w:line="243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Includes 25,000 options that vested over a 3 year period. Also includes 30,000 options that became exercisable as to 25% of the shares on March 1, 2017, and the remaining shares vest at a rate of 1/48th of the total number of shares subject to the award for each month of continuous service thereafter.</w:t>
      </w:r>
    </w:p>
    <w:p>
      <w:pPr>
        <w:spacing w:after="0" w:line="2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0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 became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3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0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3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0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/s/ Keith Kennedy as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07/01/2019</w:t>
            </w:r>
          </w:p>
        </w:tc>
      </w:tr>
      <w:tr>
        <w:trPr>
          <w:trHeight w:val="184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</w:tr>
      <w:tr>
        <w:trPr>
          <w:trHeight w:val="162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Instruction 5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18 U.S.C. 1001 and 15 U.S.C. 78ff(a).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Instruction 6 for procedure.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2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307975</wp:posOffset>
            </wp:positionV>
            <wp:extent cx="7217410" cy="948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410" cy="948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81127" TargetMode="External"/><Relationship Id="rId12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2019-12-24T07:05:43Z</dcterms:created>
  <dcterms:modified xsi:type="dcterms:W3CDTF">2019-12-24T07:05:43Z</dcterms:modified>
</cp:coreProperties>
</file>