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June 24, 2015</w:t>
      </w:r>
    </w:p>
    <w:p>
      <w:pPr>
        <w:ind w:left="99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121920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6" w:lineRule="exact"/>
        <w:rPr>
          <w:sz w:val="24"/>
          <w:szCs w:val="24"/>
          <w:color w:val="auto"/>
        </w:rPr>
      </w:pPr>
    </w:p>
    <w:tbl>
      <w:tblPr>
        <w:tblLayout w:type="fixed"/>
        <w:tblInd w:w="2020" w:type="dxa"/>
        <w:tblCellMar>
          <w:top w:w="0" w:type="dxa"/>
          <w:left w:w="0" w:type="dxa"/>
          <w:bottom w:w="0" w:type="dxa"/>
          <w:right w:w="0" w:type="dxa"/>
        </w:tblCellMar>
      </w:tblPr>
      <w:tr>
        <w:trPr>
          <w:trHeight w:val="324"/>
        </w:trPr>
        <w:tc>
          <w:tcPr>
            <w:tcW w:w="2260" w:type="dxa"/>
            <w:vAlign w:val="bottom"/>
          </w:tcPr>
          <w:p>
            <w:pPr>
              <w:spacing w:after="0"/>
              <w:rPr>
                <w:sz w:val="24"/>
                <w:szCs w:val="24"/>
                <w:color w:val="auto"/>
              </w:rPr>
            </w:pPr>
          </w:p>
        </w:tc>
        <w:tc>
          <w:tcPr>
            <w:tcW w:w="4940" w:type="dxa"/>
            <w:vAlign w:val="bottom"/>
            <w:gridSpan w:val="2"/>
          </w:tcPr>
          <w:p>
            <w:pPr>
              <w:jc w:val="center"/>
              <w:ind w:right="2017"/>
              <w:spacing w:after="0"/>
              <w:rPr>
                <w:sz w:val="20"/>
                <w:szCs w:val="20"/>
                <w:color w:val="auto"/>
              </w:rPr>
            </w:pPr>
            <w:r>
              <w:rPr>
                <w:rFonts w:ascii="Arial" w:cs="Arial" w:eastAsia="Arial" w:hAnsi="Arial"/>
                <w:sz w:val="27"/>
                <w:szCs w:val="27"/>
                <w:b w:val="1"/>
                <w:bCs w:val="1"/>
                <w:color w:val="auto"/>
              </w:rPr>
              <w:t>VERACYTE, INC.</w:t>
            </w:r>
          </w:p>
        </w:tc>
      </w:tr>
      <w:tr>
        <w:trPr>
          <w:trHeight w:val="160"/>
        </w:trPr>
        <w:tc>
          <w:tcPr>
            <w:tcW w:w="2260" w:type="dxa"/>
            <w:vAlign w:val="bottom"/>
          </w:tcPr>
          <w:p>
            <w:pPr>
              <w:spacing w:after="0"/>
              <w:rPr>
                <w:sz w:val="13"/>
                <w:szCs w:val="13"/>
                <w:color w:val="auto"/>
              </w:rPr>
            </w:pPr>
          </w:p>
        </w:tc>
        <w:tc>
          <w:tcPr>
            <w:tcW w:w="4940" w:type="dxa"/>
            <w:vAlign w:val="bottom"/>
            <w:gridSpan w:val="2"/>
          </w:tcPr>
          <w:p>
            <w:pPr>
              <w:jc w:val="center"/>
              <w:ind w:right="2017"/>
              <w:spacing w:after="0"/>
              <w:rPr>
                <w:sz w:val="20"/>
                <w:szCs w:val="20"/>
                <w:color w:val="auto"/>
              </w:rPr>
            </w:pPr>
            <w:r>
              <w:rPr>
                <w:rFonts w:ascii="Arial" w:cs="Arial" w:eastAsia="Arial" w:hAnsi="Arial"/>
                <w:sz w:val="13"/>
                <w:szCs w:val="13"/>
                <w:color w:val="auto"/>
                <w:w w:val="88"/>
              </w:rPr>
              <w:t>(Exact Name of Registrant as Specified in Its Charter)</w:t>
            </w:r>
          </w:p>
        </w:tc>
      </w:tr>
      <w:tr>
        <w:trPr>
          <w:trHeight w:val="192"/>
        </w:trPr>
        <w:tc>
          <w:tcPr>
            <w:tcW w:w="2260" w:type="dxa"/>
            <w:vAlign w:val="bottom"/>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2060" w:type="dxa"/>
            <w:vAlign w:val="bottom"/>
          </w:tcPr>
          <w:p>
            <w:pPr>
              <w:spacing w:after="0"/>
              <w:rPr>
                <w:sz w:val="16"/>
                <w:szCs w:val="16"/>
                <w:color w:val="auto"/>
              </w:rPr>
            </w:pPr>
          </w:p>
        </w:tc>
      </w:tr>
      <w:tr>
        <w:trPr>
          <w:trHeight w:val="317"/>
        </w:trPr>
        <w:tc>
          <w:tcPr>
            <w:tcW w:w="2260" w:type="dxa"/>
            <w:vAlign w:val="bottom"/>
          </w:tcPr>
          <w:p>
            <w:pPr>
              <w:jc w:val="center"/>
              <w:ind w:right="637"/>
              <w:spacing w:after="0"/>
              <w:rPr>
                <w:sz w:val="20"/>
                <w:szCs w:val="20"/>
                <w:color w:val="auto"/>
              </w:rPr>
            </w:pPr>
            <w:r>
              <w:rPr>
                <w:rFonts w:ascii="Arial" w:cs="Arial" w:eastAsia="Arial" w:hAnsi="Arial"/>
                <w:sz w:val="13"/>
                <w:szCs w:val="13"/>
                <w:b w:val="1"/>
                <w:bCs w:val="1"/>
                <w:color w:val="auto"/>
                <w:w w:val="91"/>
              </w:rPr>
              <w:t>Delaware</w:t>
            </w:r>
          </w:p>
        </w:tc>
        <w:tc>
          <w:tcPr>
            <w:tcW w:w="4940" w:type="dxa"/>
            <w:vAlign w:val="bottom"/>
            <w:gridSpan w:val="2"/>
          </w:tcPr>
          <w:p>
            <w:pPr>
              <w:jc w:val="center"/>
              <w:ind w:left="3673"/>
              <w:spacing w:after="0"/>
              <w:rPr>
                <w:sz w:val="20"/>
                <w:szCs w:val="20"/>
                <w:color w:val="auto"/>
              </w:rPr>
            </w:pPr>
            <w:r>
              <w:rPr>
                <w:rFonts w:ascii="Arial" w:cs="Arial" w:eastAsia="Arial" w:hAnsi="Arial"/>
                <w:sz w:val="13"/>
                <w:szCs w:val="13"/>
                <w:b w:val="1"/>
                <w:bCs w:val="1"/>
                <w:color w:val="auto"/>
                <w:w w:val="89"/>
              </w:rPr>
              <w:t>20-5455398</w:t>
            </w:r>
          </w:p>
        </w:tc>
      </w:tr>
      <w:tr>
        <w:trPr>
          <w:trHeight w:val="135"/>
        </w:trPr>
        <w:tc>
          <w:tcPr>
            <w:tcW w:w="2260" w:type="dxa"/>
            <w:vAlign w:val="bottom"/>
          </w:tcPr>
          <w:p>
            <w:pPr>
              <w:jc w:val="center"/>
              <w:ind w:right="617"/>
              <w:spacing w:after="0" w:line="135" w:lineRule="exact"/>
              <w:rPr>
                <w:sz w:val="20"/>
                <w:szCs w:val="20"/>
                <w:color w:val="auto"/>
              </w:rPr>
            </w:pPr>
            <w:r>
              <w:rPr>
                <w:rFonts w:ascii="Arial" w:cs="Arial" w:eastAsia="Arial" w:hAnsi="Arial"/>
                <w:sz w:val="13"/>
                <w:szCs w:val="13"/>
                <w:color w:val="auto"/>
                <w:w w:val="88"/>
              </w:rPr>
              <w:t>(State or Other Jurisdiction of</w:t>
            </w:r>
          </w:p>
        </w:tc>
        <w:tc>
          <w:tcPr>
            <w:tcW w:w="2880" w:type="dxa"/>
            <w:vAlign w:val="bottom"/>
          </w:tcPr>
          <w:p>
            <w:pPr>
              <w:spacing w:after="0"/>
              <w:rPr>
                <w:sz w:val="11"/>
                <w:szCs w:val="11"/>
                <w:color w:val="auto"/>
              </w:rPr>
            </w:pPr>
          </w:p>
        </w:tc>
        <w:tc>
          <w:tcPr>
            <w:tcW w:w="2060" w:type="dxa"/>
            <w:vAlign w:val="bottom"/>
          </w:tcPr>
          <w:p>
            <w:pPr>
              <w:jc w:val="center"/>
              <w:ind w:left="817"/>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2260" w:type="dxa"/>
            <w:vAlign w:val="bottom"/>
          </w:tcPr>
          <w:p>
            <w:pPr>
              <w:jc w:val="center"/>
              <w:ind w:right="637"/>
              <w:spacing w:after="0"/>
              <w:rPr>
                <w:sz w:val="20"/>
                <w:szCs w:val="20"/>
                <w:color w:val="auto"/>
              </w:rPr>
            </w:pPr>
            <w:r>
              <w:rPr>
                <w:rFonts w:ascii="Arial" w:cs="Arial" w:eastAsia="Arial" w:hAnsi="Arial"/>
                <w:sz w:val="13"/>
                <w:szCs w:val="13"/>
                <w:color w:val="auto"/>
                <w:w w:val="90"/>
              </w:rPr>
              <w:t>Incorporation or Organization)</w:t>
            </w:r>
          </w:p>
        </w:tc>
        <w:tc>
          <w:tcPr>
            <w:tcW w:w="2880" w:type="dxa"/>
            <w:vAlign w:val="bottom"/>
          </w:tcPr>
          <w:p>
            <w:pPr>
              <w:spacing w:after="0"/>
              <w:rPr>
                <w:sz w:val="13"/>
                <w:szCs w:val="13"/>
                <w:color w:val="auto"/>
              </w:rPr>
            </w:pPr>
          </w:p>
        </w:tc>
        <w:tc>
          <w:tcPr>
            <w:tcW w:w="2060" w:type="dxa"/>
            <w:vAlign w:val="bottom"/>
          </w:tcPr>
          <w:p>
            <w:pPr>
              <w:jc w:val="center"/>
              <w:ind w:left="817"/>
              <w:spacing w:after="0"/>
              <w:rPr>
                <w:sz w:val="20"/>
                <w:szCs w:val="20"/>
                <w:color w:val="auto"/>
              </w:rPr>
            </w:pPr>
            <w:r>
              <w:rPr>
                <w:rFonts w:ascii="Arial" w:cs="Arial" w:eastAsia="Arial" w:hAnsi="Arial"/>
                <w:sz w:val="13"/>
                <w:szCs w:val="13"/>
                <w:color w:val="auto"/>
                <w:w w:val="92"/>
              </w:rPr>
              <w:t>Identification Number)</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jc w:val="center"/>
        <w:spacing w:after="0" w:line="216" w:lineRule="auto"/>
        <w:rPr>
          <w:sz w:val="20"/>
          <w:szCs w:val="20"/>
          <w:color w:val="auto"/>
        </w:rPr>
      </w:pPr>
      <w:r>
        <w:rPr>
          <w:rFonts w:ascii="Arial" w:cs="Arial" w:eastAsia="Arial" w:hAnsi="Arial"/>
          <w:sz w:val="13"/>
          <w:szCs w:val="13"/>
          <w:b w:val="1"/>
          <w:bCs w:val="1"/>
          <w:color w:val="auto"/>
        </w:rPr>
        <w:t>South San Francisco, CA 94080</w:t>
      </w:r>
    </w:p>
    <w:p>
      <w:pPr>
        <w:jc w:val="center"/>
        <w:spacing w:after="0" w:line="217"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147955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jc w:val="center"/>
        <w:spacing w:after="0" w:line="216" w:lineRule="auto"/>
        <w:rPr>
          <w:sz w:val="20"/>
          <w:szCs w:val="20"/>
          <w:color w:val="auto"/>
        </w:rPr>
      </w:pPr>
      <w:r>
        <w:rPr>
          <w:rFonts w:ascii="Arial" w:cs="Arial" w:eastAsia="Arial" w:hAnsi="Arial"/>
          <w:sz w:val="13"/>
          <w:szCs w:val="13"/>
          <w:b w:val="1"/>
          <w:bCs w:val="1"/>
          <w:color w:val="auto"/>
        </w:rPr>
        <w:t>President and Chief Executive Officer</w:t>
      </w:r>
    </w:p>
    <w:p>
      <w:pPr>
        <w:jc w:val="center"/>
        <w:spacing w:after="0" w:line="217" w:lineRule="auto"/>
        <w:rPr>
          <w:sz w:val="20"/>
          <w:szCs w:val="20"/>
          <w:color w:val="auto"/>
        </w:rPr>
      </w:pPr>
      <w:r>
        <w:rPr>
          <w:rFonts w:ascii="Arial" w:cs="Arial" w:eastAsia="Arial" w:hAnsi="Arial"/>
          <w:sz w:val="13"/>
          <w:szCs w:val="13"/>
          <w:b w:val="1"/>
          <w:bCs w:val="1"/>
          <w:color w:val="auto"/>
        </w:rPr>
        <w:t>VERACYTE, INC.</w:t>
      </w:r>
    </w:p>
    <w:p>
      <w:pPr>
        <w:jc w:val="center"/>
        <w:spacing w:after="0" w:line="217"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17" w:lineRule="auto"/>
        <w:rPr>
          <w:sz w:val="20"/>
          <w:szCs w:val="20"/>
          <w:color w:val="auto"/>
        </w:rPr>
      </w:pPr>
      <w:r>
        <w:rPr>
          <w:rFonts w:ascii="Arial" w:cs="Arial" w:eastAsia="Arial" w:hAnsi="Arial"/>
          <w:sz w:val="13"/>
          <w:szCs w:val="13"/>
          <w:b w:val="1"/>
          <w:bCs w:val="1"/>
          <w:color w:val="auto"/>
        </w:rPr>
        <w:t>South San Francisco, CA 94080</w:t>
      </w:r>
    </w:p>
    <w:p>
      <w:pPr>
        <w:jc w:val="center"/>
        <w:spacing w:after="0" w:line="217"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147955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860" w:type="dxa"/>
        <w:tblCellMar>
          <w:top w:w="0" w:type="dxa"/>
          <w:left w:w="0" w:type="dxa"/>
          <w:bottom w:w="0" w:type="dxa"/>
          <w:right w:w="0" w:type="dxa"/>
        </w:tblCellMar>
      </w:tblPr>
      <w:tr>
        <w:trPr>
          <w:trHeight w:val="164"/>
        </w:trPr>
        <w:tc>
          <w:tcPr>
            <w:tcW w:w="300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84"/>
              </w:rPr>
              <w:t>Copies to:</w:t>
            </w:r>
          </w:p>
        </w:tc>
        <w:tc>
          <w:tcPr>
            <w:tcW w:w="3000" w:type="dxa"/>
            <w:vAlign w:val="bottom"/>
          </w:tcPr>
          <w:p>
            <w:pPr>
              <w:spacing w:after="0"/>
              <w:rPr>
                <w:sz w:val="14"/>
                <w:szCs w:val="14"/>
                <w:color w:val="auto"/>
              </w:rPr>
            </w:pPr>
          </w:p>
        </w:tc>
      </w:tr>
      <w:tr>
        <w:trPr>
          <w:trHeight w:val="245"/>
        </w:trPr>
        <w:tc>
          <w:tcPr>
            <w:tcW w:w="3000" w:type="dxa"/>
            <w:vAlign w:val="bottom"/>
          </w:tcPr>
          <w:p>
            <w:pPr>
              <w:jc w:val="center"/>
              <w:ind w:right="977"/>
              <w:spacing w:after="0"/>
              <w:rPr>
                <w:sz w:val="20"/>
                <w:szCs w:val="20"/>
                <w:color w:val="auto"/>
              </w:rPr>
            </w:pPr>
            <w:r>
              <w:rPr>
                <w:rFonts w:ascii="Arial" w:cs="Arial" w:eastAsia="Arial" w:hAnsi="Arial"/>
                <w:sz w:val="13"/>
                <w:szCs w:val="13"/>
                <w:b w:val="1"/>
                <w:bCs w:val="1"/>
                <w:color w:val="auto"/>
                <w:w w:val="87"/>
              </w:rPr>
              <w:t>Stanton D. Wong</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86"/>
              </w:rPr>
              <w:t>Julie A. Brooks</w:t>
            </w:r>
          </w:p>
        </w:tc>
        <w:tc>
          <w:tcPr>
            <w:tcW w:w="3000" w:type="dxa"/>
            <w:vAlign w:val="bottom"/>
          </w:tcPr>
          <w:p>
            <w:pPr>
              <w:jc w:val="center"/>
              <w:ind w:left="937"/>
              <w:spacing w:after="0"/>
              <w:rPr>
                <w:sz w:val="20"/>
                <w:szCs w:val="20"/>
                <w:color w:val="auto"/>
              </w:rPr>
            </w:pPr>
            <w:r>
              <w:rPr>
                <w:rFonts w:ascii="Arial" w:cs="Arial" w:eastAsia="Arial" w:hAnsi="Arial"/>
                <w:sz w:val="13"/>
                <w:szCs w:val="13"/>
                <w:b w:val="1"/>
                <w:bCs w:val="1"/>
                <w:color w:val="auto"/>
                <w:w w:val="91"/>
              </w:rPr>
              <w:t>Gabriella A. Lombardi</w:t>
            </w:r>
          </w:p>
        </w:tc>
      </w:tr>
      <w:tr>
        <w:trPr>
          <w:trHeight w:val="135"/>
        </w:trPr>
        <w:tc>
          <w:tcPr>
            <w:tcW w:w="3000" w:type="dxa"/>
            <w:vAlign w:val="bottom"/>
          </w:tcPr>
          <w:p>
            <w:pPr>
              <w:jc w:val="center"/>
              <w:ind w:right="977"/>
              <w:spacing w:after="0" w:line="135" w:lineRule="exact"/>
              <w:rPr>
                <w:sz w:val="20"/>
                <w:szCs w:val="20"/>
                <w:color w:val="auto"/>
              </w:rPr>
            </w:pPr>
            <w:r>
              <w:rPr>
                <w:rFonts w:ascii="Arial" w:cs="Arial" w:eastAsia="Arial" w:hAnsi="Arial"/>
                <w:sz w:val="13"/>
                <w:szCs w:val="13"/>
                <w:color w:val="auto"/>
                <w:w w:val="91"/>
              </w:rPr>
              <w:t>Pillsbury Winthrop Shaw Pittman LLP</w:t>
            </w:r>
          </w:p>
        </w:tc>
        <w:tc>
          <w:tcPr>
            <w:tcW w:w="3720" w:type="dxa"/>
            <w:vAlign w:val="bottom"/>
          </w:tcPr>
          <w:p>
            <w:pPr>
              <w:jc w:val="center"/>
              <w:spacing w:after="0" w:line="135" w:lineRule="exact"/>
              <w:rPr>
                <w:sz w:val="20"/>
                <w:szCs w:val="20"/>
                <w:color w:val="auto"/>
              </w:rPr>
            </w:pPr>
            <w:r>
              <w:rPr>
                <w:rFonts w:ascii="Arial" w:cs="Arial" w:eastAsia="Arial" w:hAnsi="Arial"/>
                <w:sz w:val="13"/>
                <w:szCs w:val="13"/>
                <w:color w:val="auto"/>
                <w:w w:val="88"/>
              </w:rPr>
              <w:t>Executive Vice President,</w:t>
            </w:r>
          </w:p>
        </w:tc>
        <w:tc>
          <w:tcPr>
            <w:tcW w:w="3000" w:type="dxa"/>
            <w:vAlign w:val="bottom"/>
          </w:tcPr>
          <w:p>
            <w:pPr>
              <w:jc w:val="center"/>
              <w:ind w:left="977"/>
              <w:spacing w:after="0" w:line="135" w:lineRule="exact"/>
              <w:rPr>
                <w:sz w:val="20"/>
                <w:szCs w:val="20"/>
                <w:color w:val="auto"/>
              </w:rPr>
            </w:pPr>
            <w:r>
              <w:rPr>
                <w:rFonts w:ascii="Arial" w:cs="Arial" w:eastAsia="Arial" w:hAnsi="Arial"/>
                <w:sz w:val="13"/>
                <w:szCs w:val="13"/>
                <w:color w:val="auto"/>
                <w:w w:val="91"/>
              </w:rPr>
              <w:t>Pillsbury Winthrop Shaw Pittman LLP</w:t>
            </w:r>
          </w:p>
        </w:tc>
      </w:tr>
      <w:tr>
        <w:trPr>
          <w:trHeight w:val="135"/>
        </w:trPr>
        <w:tc>
          <w:tcPr>
            <w:tcW w:w="3000" w:type="dxa"/>
            <w:vAlign w:val="bottom"/>
          </w:tcPr>
          <w:p>
            <w:pPr>
              <w:jc w:val="center"/>
              <w:ind w:right="977"/>
              <w:spacing w:after="0" w:line="135" w:lineRule="exact"/>
              <w:rPr>
                <w:sz w:val="20"/>
                <w:szCs w:val="20"/>
                <w:color w:val="auto"/>
              </w:rPr>
            </w:pPr>
            <w:r>
              <w:rPr>
                <w:rFonts w:ascii="Arial" w:cs="Arial" w:eastAsia="Arial" w:hAnsi="Arial"/>
                <w:sz w:val="13"/>
                <w:szCs w:val="13"/>
                <w:color w:val="auto"/>
                <w:w w:val="85"/>
              </w:rPr>
              <w:t>P.O. Box 2824</w:t>
            </w:r>
          </w:p>
        </w:tc>
        <w:tc>
          <w:tcPr>
            <w:tcW w:w="3720" w:type="dxa"/>
            <w:vAlign w:val="bottom"/>
          </w:tcPr>
          <w:p>
            <w:pPr>
              <w:jc w:val="center"/>
              <w:spacing w:after="0" w:line="135" w:lineRule="exact"/>
              <w:rPr>
                <w:sz w:val="20"/>
                <w:szCs w:val="20"/>
                <w:color w:val="auto"/>
              </w:rPr>
            </w:pPr>
            <w:r>
              <w:rPr>
                <w:rFonts w:ascii="Arial" w:cs="Arial" w:eastAsia="Arial" w:hAnsi="Arial"/>
                <w:sz w:val="13"/>
                <w:szCs w:val="13"/>
                <w:color w:val="auto"/>
                <w:w w:val="87"/>
              </w:rPr>
              <w:t>General Counsel &amp; Secretary</w:t>
            </w:r>
          </w:p>
        </w:tc>
        <w:tc>
          <w:tcPr>
            <w:tcW w:w="3000" w:type="dxa"/>
            <w:vAlign w:val="bottom"/>
          </w:tcPr>
          <w:p>
            <w:pPr>
              <w:jc w:val="center"/>
              <w:ind w:left="977"/>
              <w:spacing w:after="0" w:line="135" w:lineRule="exact"/>
              <w:rPr>
                <w:sz w:val="20"/>
                <w:szCs w:val="20"/>
                <w:color w:val="auto"/>
              </w:rPr>
            </w:pPr>
            <w:r>
              <w:rPr>
                <w:rFonts w:ascii="Arial" w:cs="Arial" w:eastAsia="Arial" w:hAnsi="Arial"/>
                <w:sz w:val="13"/>
                <w:szCs w:val="13"/>
                <w:color w:val="auto"/>
                <w:w w:val="86"/>
              </w:rPr>
              <w:t>2550 Hanover Street</w:t>
            </w:r>
          </w:p>
        </w:tc>
      </w:tr>
      <w:tr>
        <w:trPr>
          <w:trHeight w:val="135"/>
        </w:trPr>
        <w:tc>
          <w:tcPr>
            <w:tcW w:w="3000" w:type="dxa"/>
            <w:vAlign w:val="bottom"/>
          </w:tcPr>
          <w:p>
            <w:pPr>
              <w:jc w:val="center"/>
              <w:ind w:right="977"/>
              <w:spacing w:after="0" w:line="135" w:lineRule="exact"/>
              <w:rPr>
                <w:sz w:val="20"/>
                <w:szCs w:val="20"/>
                <w:color w:val="auto"/>
              </w:rPr>
            </w:pPr>
            <w:r>
              <w:rPr>
                <w:rFonts w:ascii="Arial" w:cs="Arial" w:eastAsia="Arial" w:hAnsi="Arial"/>
                <w:sz w:val="13"/>
                <w:szCs w:val="13"/>
                <w:color w:val="auto"/>
                <w:w w:val="86"/>
              </w:rPr>
              <w:t>San Francisco, CA 94126</w:t>
            </w:r>
          </w:p>
        </w:tc>
        <w:tc>
          <w:tcPr>
            <w:tcW w:w="3720" w:type="dxa"/>
            <w:vAlign w:val="bottom"/>
          </w:tcPr>
          <w:p>
            <w:pPr>
              <w:jc w:val="center"/>
              <w:spacing w:after="0" w:line="135" w:lineRule="exact"/>
              <w:rPr>
                <w:sz w:val="20"/>
                <w:szCs w:val="20"/>
                <w:color w:val="auto"/>
              </w:rPr>
            </w:pPr>
            <w:r>
              <w:rPr>
                <w:rFonts w:ascii="Arial" w:cs="Arial" w:eastAsia="Arial" w:hAnsi="Arial"/>
                <w:sz w:val="13"/>
                <w:szCs w:val="13"/>
                <w:color w:val="auto"/>
                <w:w w:val="88"/>
              </w:rPr>
              <w:t>Veracyte, Inc.</w:t>
            </w:r>
          </w:p>
        </w:tc>
        <w:tc>
          <w:tcPr>
            <w:tcW w:w="3000" w:type="dxa"/>
            <w:vAlign w:val="bottom"/>
          </w:tcPr>
          <w:p>
            <w:pPr>
              <w:jc w:val="center"/>
              <w:ind w:left="977"/>
              <w:spacing w:after="0" w:line="135" w:lineRule="exact"/>
              <w:rPr>
                <w:sz w:val="20"/>
                <w:szCs w:val="20"/>
                <w:color w:val="auto"/>
              </w:rPr>
            </w:pPr>
            <w:r>
              <w:rPr>
                <w:rFonts w:ascii="Arial" w:cs="Arial" w:eastAsia="Arial" w:hAnsi="Arial"/>
                <w:sz w:val="13"/>
                <w:szCs w:val="13"/>
                <w:color w:val="auto"/>
                <w:w w:val="90"/>
              </w:rPr>
              <w:t>Palo Alto, CA 94304-1115</w:t>
            </w:r>
          </w:p>
        </w:tc>
      </w:tr>
      <w:tr>
        <w:trPr>
          <w:trHeight w:val="135"/>
        </w:trPr>
        <w:tc>
          <w:tcPr>
            <w:tcW w:w="3000" w:type="dxa"/>
            <w:vAlign w:val="bottom"/>
          </w:tcPr>
          <w:p>
            <w:pPr>
              <w:jc w:val="center"/>
              <w:ind w:right="997"/>
              <w:spacing w:after="0" w:line="135" w:lineRule="exact"/>
              <w:rPr>
                <w:sz w:val="20"/>
                <w:szCs w:val="20"/>
                <w:color w:val="auto"/>
              </w:rPr>
            </w:pPr>
            <w:r>
              <w:rPr>
                <w:rFonts w:ascii="Arial" w:cs="Arial" w:eastAsia="Arial" w:hAnsi="Arial"/>
                <w:sz w:val="13"/>
                <w:szCs w:val="13"/>
                <w:color w:val="auto"/>
                <w:w w:val="87"/>
              </w:rPr>
              <w:t>Telephone: (415) 983-1000</w:t>
            </w:r>
          </w:p>
        </w:tc>
        <w:tc>
          <w:tcPr>
            <w:tcW w:w="3720" w:type="dxa"/>
            <w:vAlign w:val="bottom"/>
          </w:tcPr>
          <w:p>
            <w:pPr>
              <w:jc w:val="center"/>
              <w:spacing w:after="0" w:line="135" w:lineRule="exact"/>
              <w:rPr>
                <w:sz w:val="20"/>
                <w:szCs w:val="20"/>
                <w:color w:val="auto"/>
              </w:rPr>
            </w:pPr>
            <w:r>
              <w:rPr>
                <w:rFonts w:ascii="Arial" w:cs="Arial" w:eastAsia="Arial" w:hAnsi="Arial"/>
                <w:sz w:val="13"/>
                <w:szCs w:val="13"/>
                <w:color w:val="auto"/>
                <w:w w:val="87"/>
              </w:rPr>
              <w:t>7000 Shoreline Court, Suite 250</w:t>
            </w:r>
          </w:p>
        </w:tc>
        <w:tc>
          <w:tcPr>
            <w:tcW w:w="3000" w:type="dxa"/>
            <w:vAlign w:val="bottom"/>
          </w:tcPr>
          <w:p>
            <w:pPr>
              <w:jc w:val="center"/>
              <w:ind w:left="957"/>
              <w:spacing w:after="0" w:line="135" w:lineRule="exact"/>
              <w:rPr>
                <w:sz w:val="20"/>
                <w:szCs w:val="20"/>
                <w:color w:val="auto"/>
              </w:rPr>
            </w:pPr>
            <w:r>
              <w:rPr>
                <w:rFonts w:ascii="Arial" w:cs="Arial" w:eastAsia="Arial" w:hAnsi="Arial"/>
                <w:sz w:val="13"/>
                <w:szCs w:val="13"/>
                <w:color w:val="auto"/>
                <w:w w:val="87"/>
              </w:rPr>
              <w:t>Telephone: (650) 233-4500</w:t>
            </w:r>
          </w:p>
        </w:tc>
      </w:tr>
      <w:tr>
        <w:trPr>
          <w:trHeight w:val="135"/>
        </w:trPr>
        <w:tc>
          <w:tcPr>
            <w:tcW w:w="3000" w:type="dxa"/>
            <w:vAlign w:val="bottom"/>
          </w:tcPr>
          <w:p>
            <w:pPr>
              <w:spacing w:after="0"/>
              <w:rPr>
                <w:sz w:val="11"/>
                <w:szCs w:val="11"/>
                <w:color w:val="auto"/>
              </w:rPr>
            </w:pPr>
          </w:p>
        </w:tc>
        <w:tc>
          <w:tcPr>
            <w:tcW w:w="3720" w:type="dxa"/>
            <w:vAlign w:val="bottom"/>
          </w:tcPr>
          <w:p>
            <w:pPr>
              <w:jc w:val="center"/>
              <w:spacing w:after="0" w:line="135" w:lineRule="exact"/>
              <w:rPr>
                <w:sz w:val="20"/>
                <w:szCs w:val="20"/>
                <w:color w:val="auto"/>
              </w:rPr>
            </w:pPr>
            <w:r>
              <w:rPr>
                <w:rFonts w:ascii="Arial" w:cs="Arial" w:eastAsia="Arial" w:hAnsi="Arial"/>
                <w:sz w:val="13"/>
                <w:szCs w:val="13"/>
                <w:color w:val="auto"/>
                <w:w w:val="87"/>
              </w:rPr>
              <w:t>South San Francisco, CA 94080</w:t>
            </w:r>
          </w:p>
        </w:tc>
        <w:tc>
          <w:tcPr>
            <w:tcW w:w="3000" w:type="dxa"/>
            <w:vAlign w:val="bottom"/>
          </w:tcPr>
          <w:p>
            <w:pPr>
              <w:spacing w:after="0"/>
              <w:rPr>
                <w:sz w:val="11"/>
                <w:szCs w:val="11"/>
                <w:color w:val="auto"/>
              </w:rPr>
            </w:pPr>
          </w:p>
        </w:tc>
      </w:tr>
      <w:tr>
        <w:trPr>
          <w:trHeight w:val="160"/>
        </w:trPr>
        <w:tc>
          <w:tcPr>
            <w:tcW w:w="3000" w:type="dxa"/>
            <w:vAlign w:val="bottom"/>
          </w:tcPr>
          <w:p>
            <w:pPr>
              <w:spacing w:after="0"/>
              <w:rPr>
                <w:sz w:val="13"/>
                <w:szCs w:val="13"/>
                <w:color w:val="auto"/>
              </w:rPr>
            </w:pPr>
          </w:p>
        </w:tc>
        <w:tc>
          <w:tcPr>
            <w:tcW w:w="3720" w:type="dxa"/>
            <w:vAlign w:val="bottom"/>
          </w:tcPr>
          <w:p>
            <w:pPr>
              <w:jc w:val="center"/>
              <w:spacing w:after="0"/>
              <w:rPr>
                <w:sz w:val="20"/>
                <w:szCs w:val="20"/>
                <w:color w:val="auto"/>
              </w:rPr>
            </w:pPr>
            <w:r>
              <w:rPr>
                <w:rFonts w:ascii="Arial" w:cs="Arial" w:eastAsia="Arial" w:hAnsi="Arial"/>
                <w:sz w:val="13"/>
                <w:szCs w:val="13"/>
                <w:color w:val="auto"/>
                <w:w w:val="87"/>
              </w:rPr>
              <w:t>(650) 243-6300</w:t>
            </w:r>
          </w:p>
        </w:tc>
        <w:tc>
          <w:tcPr>
            <w:tcW w:w="3000" w:type="dxa"/>
            <w:vAlign w:val="bottom"/>
          </w:tcPr>
          <w:p>
            <w:pPr>
              <w:spacing w:after="0"/>
              <w:rPr>
                <w:sz w:val="13"/>
                <w:szCs w:val="13"/>
                <w:color w:val="auto"/>
              </w:rPr>
            </w:pP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ind w:left="2380"/>
        <w:spacing w:after="0"/>
        <w:rPr>
          <w:sz w:val="20"/>
          <w:szCs w:val="20"/>
          <w:color w:val="auto"/>
        </w:rPr>
      </w:pPr>
      <w:r>
        <w:rPr>
          <w:rFonts w:ascii="Arial" w:cs="Arial" w:eastAsia="Arial" w:hAnsi="Arial"/>
          <w:sz w:val="13"/>
          <w:szCs w:val="13"/>
          <w:b w:val="1"/>
          <w:bCs w:val="1"/>
          <w:color w:val="auto"/>
        </w:rPr>
        <w:t>From time to time after this registration statement becomes effective, as determined by market conditions and other factors.</w:t>
      </w:r>
    </w:p>
    <w:p>
      <w:pPr>
        <w:spacing w:after="0" w:line="70"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If the only securities being registered on this form are being offered pursuant to dividend or interest reinvestment plans, please check the following box. o</w:t>
      </w:r>
    </w:p>
    <w:p>
      <w:pPr>
        <w:spacing w:after="0" w:line="80" w:lineRule="exact"/>
        <w:rPr>
          <w:sz w:val="24"/>
          <w:szCs w:val="24"/>
          <w:color w:val="auto"/>
        </w:rPr>
      </w:pPr>
    </w:p>
    <w:p>
      <w:pPr>
        <w:ind w:right="340" w:firstLine="486"/>
        <w:spacing w:after="0" w:line="237"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69" w:lineRule="exact"/>
        <w:rPr>
          <w:sz w:val="24"/>
          <w:szCs w:val="24"/>
          <w:color w:val="auto"/>
        </w:rPr>
      </w:pPr>
    </w:p>
    <w:p>
      <w:pPr>
        <w:ind w:right="340" w:firstLine="486"/>
        <w:spacing w:after="0" w:line="237"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9" w:lineRule="exact"/>
        <w:rPr>
          <w:sz w:val="24"/>
          <w:szCs w:val="24"/>
          <w:color w:val="auto"/>
        </w:rPr>
      </w:pPr>
    </w:p>
    <w:p>
      <w:pPr>
        <w:ind w:right="180" w:firstLine="486"/>
        <w:spacing w:after="0" w:line="237"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9" w:lineRule="exact"/>
        <w:rPr>
          <w:sz w:val="24"/>
          <w:szCs w:val="24"/>
          <w:color w:val="auto"/>
        </w:rPr>
      </w:pPr>
    </w:p>
    <w:p>
      <w:pPr>
        <w:ind w:right="440" w:firstLine="486"/>
        <w:spacing w:after="0" w:line="237" w:lineRule="auto"/>
        <w:rPr>
          <w:sz w:val="20"/>
          <w:szCs w:val="20"/>
          <w:color w:val="auto"/>
        </w:rPr>
      </w:pPr>
      <w:r>
        <w:rPr>
          <w:rFonts w:ascii="Arial" w:cs="Arial" w:eastAsia="Arial" w:hAnsi="Arial"/>
          <w:sz w:val="13"/>
          <w:szCs w:val="13"/>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9" w:lineRule="exact"/>
        <w:rPr>
          <w:sz w:val="24"/>
          <w:szCs w:val="24"/>
          <w:color w:val="auto"/>
        </w:rPr>
      </w:pPr>
    </w:p>
    <w:p>
      <w:pPr>
        <w:ind w:right="100" w:firstLine="486"/>
        <w:spacing w:after="0" w:line="237" w:lineRule="auto"/>
        <w:rPr>
          <w:sz w:val="20"/>
          <w:szCs w:val="20"/>
          <w:color w:val="auto"/>
        </w:rPr>
      </w:pPr>
      <w:r>
        <w:rPr>
          <w:rFonts w:ascii="Arial" w:cs="Arial" w:eastAsia="Arial" w:hAnsi="Arial"/>
          <w:sz w:val="13"/>
          <w:szCs w:val="13"/>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9" w:lineRule="exact"/>
        <w:rPr>
          <w:sz w:val="24"/>
          <w:szCs w:val="24"/>
          <w:color w:val="auto"/>
        </w:rPr>
      </w:pPr>
    </w:p>
    <w:p>
      <w:pPr>
        <w:ind w:right="120" w:firstLine="486"/>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40" w:type="dxa"/>
            <w:vAlign w:val="bottom"/>
          </w:tcPr>
          <w:p>
            <w:pPr>
              <w:ind w:left="720"/>
              <w:spacing w:after="0"/>
              <w:rPr>
                <w:sz w:val="20"/>
                <w:szCs w:val="20"/>
                <w:color w:val="auto"/>
              </w:rPr>
            </w:pPr>
            <w:r>
              <w:rPr>
                <w:rFonts w:ascii="Arial" w:cs="Arial" w:eastAsia="Arial" w:hAnsi="Arial"/>
                <w:sz w:val="13"/>
                <w:szCs w:val="13"/>
                <w:color w:val="auto"/>
              </w:rPr>
              <w:t>Large accelerated filer o</w:t>
            </w:r>
          </w:p>
        </w:tc>
        <w:tc>
          <w:tcPr>
            <w:tcW w:w="1600" w:type="dxa"/>
            <w:vAlign w:val="bottom"/>
          </w:tcPr>
          <w:p>
            <w:pPr>
              <w:ind w:left="140"/>
              <w:spacing w:after="0"/>
              <w:rPr>
                <w:sz w:val="20"/>
                <w:szCs w:val="20"/>
                <w:color w:val="auto"/>
              </w:rPr>
            </w:pPr>
            <w:r>
              <w:rPr>
                <w:rFonts w:ascii="Arial" w:cs="Arial" w:eastAsia="Arial" w:hAnsi="Arial"/>
                <w:sz w:val="13"/>
                <w:szCs w:val="13"/>
                <w:color w:val="auto"/>
              </w:rPr>
              <w:t>Accelerated filer o</w:t>
            </w:r>
          </w:p>
        </w:tc>
        <w:tc>
          <w:tcPr>
            <w:tcW w:w="3280" w:type="dxa"/>
            <w:vAlign w:val="bottom"/>
            <w:gridSpan w:val="3"/>
          </w:tcPr>
          <w:p>
            <w:pPr>
              <w:jc w:val="center"/>
              <w:ind w:left="504"/>
              <w:spacing w:after="0"/>
              <w:rPr>
                <w:sz w:val="20"/>
                <w:szCs w:val="20"/>
                <w:color w:val="auto"/>
              </w:rPr>
            </w:pPr>
            <w:r>
              <w:rPr>
                <w:rFonts w:ascii="Arial" w:cs="Arial" w:eastAsia="Arial" w:hAnsi="Arial"/>
                <w:sz w:val="13"/>
                <w:szCs w:val="13"/>
                <w:color w:val="auto"/>
                <w:w w:val="92"/>
              </w:rPr>
              <w:t>Non-accelerated filer x</w:t>
            </w:r>
          </w:p>
        </w:tc>
        <w:tc>
          <w:tcPr>
            <w:tcW w:w="180" w:type="dxa"/>
            <w:vAlign w:val="bottom"/>
          </w:tcPr>
          <w:p>
            <w:pPr>
              <w:spacing w:after="0"/>
              <w:rPr>
                <w:sz w:val="12"/>
                <w:szCs w:val="12"/>
                <w:color w:val="auto"/>
              </w:rPr>
            </w:pPr>
          </w:p>
        </w:tc>
        <w:tc>
          <w:tcPr>
            <w:tcW w:w="2700" w:type="dxa"/>
            <w:vAlign w:val="bottom"/>
            <w:gridSpan w:val="3"/>
          </w:tcPr>
          <w:p>
            <w:pPr>
              <w:jc w:val="right"/>
              <w:ind w:right="546"/>
              <w:spacing w:after="0"/>
              <w:rPr>
                <w:sz w:val="20"/>
                <w:szCs w:val="20"/>
                <w:color w:val="auto"/>
              </w:rPr>
            </w:pPr>
            <w:r>
              <w:rPr>
                <w:rFonts w:ascii="Arial" w:cs="Arial" w:eastAsia="Arial" w:hAnsi="Arial"/>
                <w:sz w:val="13"/>
                <w:szCs w:val="13"/>
                <w:color w:val="auto"/>
              </w:rPr>
              <w:t>Smaller reporting company o</w:t>
            </w:r>
          </w:p>
        </w:tc>
      </w:tr>
      <w:tr>
        <w:trPr>
          <w:trHeight w:val="160"/>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80" w:type="dxa"/>
            <w:vAlign w:val="bottom"/>
            <w:gridSpan w:val="3"/>
          </w:tcPr>
          <w:p>
            <w:pPr>
              <w:jc w:val="center"/>
              <w:ind w:left="484"/>
              <w:spacing w:after="0"/>
              <w:rPr>
                <w:sz w:val="20"/>
                <w:szCs w:val="20"/>
                <w:color w:val="auto"/>
              </w:rPr>
            </w:pPr>
            <w:r>
              <w:rPr>
                <w:rFonts w:ascii="Arial" w:cs="Arial" w:eastAsia="Arial" w:hAnsi="Arial"/>
                <w:sz w:val="13"/>
                <w:szCs w:val="13"/>
                <w:color w:val="auto"/>
                <w:w w:val="89"/>
              </w:rPr>
              <w:t>(Do not check if a smaller reporting company)</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80" w:type="dxa"/>
            <w:vAlign w:val="bottom"/>
            <w:gridSpan w:val="2"/>
          </w:tcPr>
          <w:p>
            <w:pPr>
              <w:jc w:val="right"/>
              <w:spacing w:after="0"/>
              <w:rPr>
                <w:sz w:val="20"/>
                <w:szCs w:val="20"/>
                <w:color w:val="auto"/>
              </w:rPr>
            </w:pPr>
            <w:r>
              <w:rPr>
                <w:rFonts w:ascii="Arial" w:cs="Arial" w:eastAsia="Arial" w:hAnsi="Arial"/>
                <w:sz w:val="13"/>
                <w:szCs w:val="13"/>
                <w:b w:val="1"/>
                <w:bCs w:val="1"/>
                <w:color w:val="auto"/>
              </w:rPr>
              <w:t>CALCULATION OF REGISTRATION FEE</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84"/>
        </w:trPr>
        <w:tc>
          <w:tcPr>
            <w:tcW w:w="20" w:type="dxa"/>
            <w:vAlign w:val="bottom"/>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jc w:val="center"/>
              <w:ind w:right="313"/>
              <w:spacing w:after="0" w:line="66" w:lineRule="exact"/>
              <w:rPr>
                <w:sz w:val="20"/>
                <w:szCs w:val="20"/>
                <w:color w:val="auto"/>
              </w:rPr>
            </w:pPr>
            <w:r>
              <w:rPr>
                <w:rFonts w:ascii="Arial" w:cs="Arial" w:eastAsia="Arial" w:hAnsi="Arial"/>
                <w:sz w:val="7"/>
                <w:szCs w:val="7"/>
                <w:b w:val="1"/>
                <w:bCs w:val="1"/>
                <w:color w:val="auto"/>
              </w:rPr>
              <w:t>Proposed Maximum</w:t>
            </w:r>
          </w:p>
        </w:tc>
        <w:tc>
          <w:tcPr>
            <w:tcW w:w="180" w:type="dxa"/>
            <w:vAlign w:val="bottom"/>
          </w:tcPr>
          <w:p>
            <w:pPr>
              <w:spacing w:after="0"/>
              <w:rPr>
                <w:sz w:val="5"/>
                <w:szCs w:val="5"/>
                <w:color w:val="auto"/>
              </w:rPr>
            </w:pPr>
          </w:p>
        </w:tc>
        <w:tc>
          <w:tcPr>
            <w:tcW w:w="1220" w:type="dxa"/>
            <w:vAlign w:val="bottom"/>
          </w:tcPr>
          <w:p>
            <w:pPr>
              <w:jc w:val="center"/>
              <w:ind w:right="268"/>
              <w:spacing w:after="0" w:line="66" w:lineRule="exact"/>
              <w:rPr>
                <w:sz w:val="20"/>
                <w:szCs w:val="20"/>
                <w:color w:val="auto"/>
              </w:rPr>
            </w:pPr>
            <w:r>
              <w:rPr>
                <w:rFonts w:ascii="Arial" w:cs="Arial" w:eastAsia="Arial" w:hAnsi="Arial"/>
                <w:sz w:val="7"/>
                <w:szCs w:val="7"/>
                <w:b w:val="1"/>
                <w:bCs w:val="1"/>
                <w:color w:val="auto"/>
              </w:rPr>
              <w:t>Proposed Maximum</w:t>
            </w: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Amount to be</w:t>
            </w:r>
          </w:p>
        </w:tc>
        <w:tc>
          <w:tcPr>
            <w:tcW w:w="140" w:type="dxa"/>
            <w:vAlign w:val="bottom"/>
          </w:tcPr>
          <w:p>
            <w:pPr>
              <w:spacing w:after="0"/>
              <w:rPr>
                <w:sz w:val="8"/>
                <w:szCs w:val="8"/>
                <w:color w:val="auto"/>
              </w:rPr>
            </w:pPr>
          </w:p>
        </w:tc>
        <w:tc>
          <w:tcPr>
            <w:tcW w:w="1460" w:type="dxa"/>
            <w:vAlign w:val="bottom"/>
          </w:tcPr>
          <w:p>
            <w:pPr>
              <w:jc w:val="center"/>
              <w:ind w:right="293"/>
              <w:spacing w:after="0" w:line="95" w:lineRule="exact"/>
              <w:rPr>
                <w:sz w:val="20"/>
                <w:szCs w:val="20"/>
                <w:color w:val="auto"/>
              </w:rPr>
            </w:pPr>
            <w:r>
              <w:rPr>
                <w:rFonts w:ascii="Arial" w:cs="Arial" w:eastAsia="Arial" w:hAnsi="Arial"/>
                <w:sz w:val="9"/>
                <w:szCs w:val="9"/>
                <w:b w:val="1"/>
                <w:bCs w:val="1"/>
                <w:color w:val="auto"/>
                <w:w w:val="90"/>
              </w:rPr>
              <w:t>Aggregate Offering Price</w:t>
            </w:r>
          </w:p>
        </w:tc>
        <w:tc>
          <w:tcPr>
            <w:tcW w:w="180" w:type="dxa"/>
            <w:vAlign w:val="bottom"/>
          </w:tcPr>
          <w:p>
            <w:pPr>
              <w:spacing w:after="0"/>
              <w:rPr>
                <w:sz w:val="8"/>
                <w:szCs w:val="8"/>
                <w:color w:val="auto"/>
              </w:rPr>
            </w:pPr>
          </w:p>
        </w:tc>
        <w:tc>
          <w:tcPr>
            <w:tcW w:w="1220" w:type="dxa"/>
            <w:vAlign w:val="bottom"/>
          </w:tcPr>
          <w:p>
            <w:pPr>
              <w:jc w:val="center"/>
              <w:ind w:right="268"/>
              <w:spacing w:after="0" w:line="95" w:lineRule="exact"/>
              <w:rPr>
                <w:sz w:val="20"/>
                <w:szCs w:val="20"/>
                <w:color w:val="auto"/>
              </w:rPr>
            </w:pPr>
            <w:r>
              <w:rPr>
                <w:rFonts w:ascii="Arial" w:cs="Arial" w:eastAsia="Arial" w:hAnsi="Arial"/>
                <w:sz w:val="9"/>
                <w:szCs w:val="9"/>
                <w:b w:val="1"/>
                <w:bCs w:val="1"/>
                <w:color w:val="auto"/>
                <w:w w:val="90"/>
              </w:rPr>
              <w:t>Aggregate Offering</w:t>
            </w:r>
          </w:p>
        </w:tc>
        <w:tc>
          <w:tcPr>
            <w:tcW w:w="220" w:type="dxa"/>
            <w:vAlign w:val="bottom"/>
          </w:tcPr>
          <w:p>
            <w:pPr>
              <w:spacing w:after="0"/>
              <w:rPr>
                <w:sz w:val="8"/>
                <w:szCs w:val="8"/>
                <w:color w:val="auto"/>
              </w:rPr>
            </w:pPr>
          </w:p>
        </w:tc>
        <w:tc>
          <w:tcPr>
            <w:tcW w:w="1260" w:type="dxa"/>
            <w:vAlign w:val="bottom"/>
          </w:tcPr>
          <w:p>
            <w:pPr>
              <w:jc w:val="right"/>
              <w:ind w:right="586"/>
              <w:spacing w:after="0" w:line="95" w:lineRule="exact"/>
              <w:rPr>
                <w:sz w:val="20"/>
                <w:szCs w:val="20"/>
                <w:color w:val="auto"/>
              </w:rPr>
            </w:pPr>
            <w:r>
              <w:rPr>
                <w:rFonts w:ascii="Arial" w:cs="Arial" w:eastAsia="Arial" w:hAnsi="Arial"/>
                <w:sz w:val="9"/>
                <w:szCs w:val="9"/>
                <w:b w:val="1"/>
                <w:bCs w:val="1"/>
                <w:color w:val="auto"/>
              </w:rPr>
              <w:t>Amount of</w:t>
            </w:r>
          </w:p>
        </w:tc>
      </w:tr>
      <w:tr>
        <w:trPr>
          <w:trHeight w:val="104"/>
        </w:trPr>
        <w:tc>
          <w:tcPr>
            <w:tcW w:w="20" w:type="dxa"/>
            <w:vAlign w:val="bottom"/>
          </w:tcPr>
          <w:p>
            <w:pPr>
              <w:spacing w:after="0"/>
              <w:rPr>
                <w:sz w:val="9"/>
                <w:szCs w:val="9"/>
                <w:color w:val="auto"/>
              </w:rPr>
            </w:pPr>
          </w:p>
        </w:tc>
        <w:tc>
          <w:tcPr>
            <w:tcW w:w="3640" w:type="dxa"/>
            <w:vAlign w:val="bottom"/>
            <w:tcBorders>
              <w:bottom w:val="single" w:sz="8" w:color="auto"/>
            </w:tcBorders>
          </w:tcPr>
          <w:p>
            <w:pPr>
              <w:ind w:left="1660"/>
              <w:spacing w:after="0"/>
              <w:rPr>
                <w:sz w:val="20"/>
                <w:szCs w:val="20"/>
                <w:color w:val="auto"/>
              </w:rPr>
            </w:pPr>
            <w:r>
              <w:rPr>
                <w:rFonts w:ascii="Arial" w:cs="Arial" w:eastAsia="Arial" w:hAnsi="Arial"/>
                <w:sz w:val="9"/>
                <w:szCs w:val="9"/>
                <w:b w:val="1"/>
                <w:bCs w:val="1"/>
                <w:color w:val="auto"/>
                <w:w w:val="93"/>
              </w:rPr>
              <w:t>Title of Each Class of Securities to be Registered</w:t>
            </w:r>
          </w:p>
        </w:tc>
        <w:tc>
          <w:tcPr>
            <w:tcW w:w="16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Registered(1)(2)</w:t>
            </w:r>
          </w:p>
        </w:tc>
        <w:tc>
          <w:tcPr>
            <w:tcW w:w="1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center"/>
              <w:ind w:right="293"/>
              <w:spacing w:after="0"/>
              <w:rPr>
                <w:sz w:val="20"/>
                <w:szCs w:val="20"/>
                <w:color w:val="auto"/>
              </w:rPr>
            </w:pPr>
            <w:r>
              <w:rPr>
                <w:rFonts w:ascii="Arial" w:cs="Arial" w:eastAsia="Arial" w:hAnsi="Arial"/>
                <w:sz w:val="9"/>
                <w:szCs w:val="9"/>
                <w:b w:val="1"/>
                <w:bCs w:val="1"/>
                <w:color w:val="auto"/>
                <w:w w:val="91"/>
              </w:rPr>
              <w:t>Per Unit(1)(2)</w:t>
            </w:r>
          </w:p>
        </w:tc>
        <w:tc>
          <w:tcPr>
            <w:tcW w:w="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center"/>
              <w:ind w:right="268"/>
              <w:spacing w:after="0"/>
              <w:rPr>
                <w:sz w:val="20"/>
                <w:szCs w:val="20"/>
                <w:color w:val="auto"/>
              </w:rPr>
            </w:pPr>
            <w:r>
              <w:rPr>
                <w:rFonts w:ascii="Arial" w:cs="Arial" w:eastAsia="Arial" w:hAnsi="Arial"/>
                <w:sz w:val="9"/>
                <w:szCs w:val="9"/>
                <w:b w:val="1"/>
                <w:bCs w:val="1"/>
                <w:color w:val="auto"/>
                <w:w w:val="90"/>
              </w:rPr>
              <w:t>Price(2)</w:t>
            </w:r>
          </w:p>
        </w:tc>
        <w:tc>
          <w:tcPr>
            <w:tcW w:w="2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466"/>
              <w:spacing w:after="0"/>
              <w:rPr>
                <w:sz w:val="20"/>
                <w:szCs w:val="20"/>
                <w:color w:val="auto"/>
              </w:rPr>
            </w:pPr>
            <w:r>
              <w:rPr>
                <w:rFonts w:ascii="Arial" w:cs="Arial" w:eastAsia="Arial" w:hAnsi="Arial"/>
                <w:sz w:val="9"/>
                <w:szCs w:val="9"/>
                <w:b w:val="1"/>
                <w:bCs w:val="1"/>
                <w:color w:val="auto"/>
              </w:rPr>
              <w:t>Registration Fee</w:t>
            </w:r>
          </w:p>
        </w:tc>
      </w:tr>
      <w:tr>
        <w:trPr>
          <w:trHeight w:val="114"/>
        </w:trPr>
        <w:tc>
          <w:tcPr>
            <w:tcW w:w="20" w:type="dxa"/>
            <w:vAlign w:val="bottom"/>
          </w:tcPr>
          <w:p>
            <w:pPr>
              <w:spacing w:after="0"/>
              <w:rPr>
                <w:sz w:val="9"/>
                <w:szCs w:val="9"/>
                <w:color w:val="auto"/>
              </w:rPr>
            </w:pPr>
          </w:p>
        </w:tc>
        <w:tc>
          <w:tcPr>
            <w:tcW w:w="3640" w:type="dxa"/>
            <w:vAlign w:val="bottom"/>
          </w:tcPr>
          <w:p>
            <w:pPr>
              <w:spacing w:after="0" w:line="114" w:lineRule="exact"/>
              <w:rPr>
                <w:sz w:val="20"/>
                <w:szCs w:val="20"/>
                <w:color w:val="auto"/>
              </w:rPr>
            </w:pPr>
            <w:r>
              <w:rPr>
                <w:rFonts w:ascii="Arial" w:cs="Arial" w:eastAsia="Arial" w:hAnsi="Arial"/>
                <w:sz w:val="13"/>
                <w:szCs w:val="13"/>
                <w:color w:val="auto"/>
              </w:rPr>
              <w:t>Primary Offering:</w:t>
            </w:r>
          </w:p>
        </w:tc>
        <w:tc>
          <w:tcPr>
            <w:tcW w:w="16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3640" w:type="dxa"/>
            <w:vAlign w:val="bottom"/>
          </w:tcPr>
          <w:p>
            <w:pPr>
              <w:ind w:left="160"/>
              <w:spacing w:after="0" w:line="135" w:lineRule="exact"/>
              <w:rPr>
                <w:sz w:val="20"/>
                <w:szCs w:val="20"/>
                <w:color w:val="auto"/>
              </w:rPr>
            </w:pPr>
            <w:r>
              <w:rPr>
                <w:rFonts w:ascii="Arial" w:cs="Arial" w:eastAsia="Arial" w:hAnsi="Arial"/>
                <w:sz w:val="13"/>
                <w:szCs w:val="13"/>
                <w:color w:val="auto"/>
              </w:rPr>
              <w:t>Debt Securities (3)</w:t>
            </w:r>
          </w:p>
        </w:tc>
        <w:tc>
          <w:tcPr>
            <w:tcW w:w="1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40" w:type="dxa"/>
            <w:vAlign w:val="bottom"/>
          </w:tcPr>
          <w:p>
            <w:pPr>
              <w:ind w:left="160"/>
              <w:spacing w:after="0" w:line="135" w:lineRule="exact"/>
              <w:rPr>
                <w:sz w:val="20"/>
                <w:szCs w:val="20"/>
                <w:color w:val="auto"/>
              </w:rPr>
            </w:pPr>
            <w:r>
              <w:rPr>
                <w:rFonts w:ascii="Arial" w:cs="Arial" w:eastAsia="Arial" w:hAnsi="Arial"/>
                <w:sz w:val="13"/>
                <w:szCs w:val="13"/>
                <w:color w:val="auto"/>
              </w:rPr>
              <w:t>Common Stock, par value $0.001 per share (3)</w:t>
            </w:r>
          </w:p>
        </w:tc>
        <w:tc>
          <w:tcPr>
            <w:tcW w:w="1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40" w:type="dxa"/>
            <w:vAlign w:val="bottom"/>
          </w:tcPr>
          <w:p>
            <w:pPr>
              <w:ind w:left="160"/>
              <w:spacing w:after="0" w:line="135" w:lineRule="exact"/>
              <w:rPr>
                <w:sz w:val="20"/>
                <w:szCs w:val="20"/>
                <w:color w:val="auto"/>
              </w:rPr>
            </w:pPr>
            <w:r>
              <w:rPr>
                <w:rFonts w:ascii="Arial" w:cs="Arial" w:eastAsia="Arial" w:hAnsi="Arial"/>
                <w:sz w:val="13"/>
                <w:szCs w:val="13"/>
                <w:color w:val="auto"/>
              </w:rPr>
              <w:t>Preferred Stock, par value $0.001 per share (3)</w:t>
            </w:r>
          </w:p>
        </w:tc>
        <w:tc>
          <w:tcPr>
            <w:tcW w:w="1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40" w:type="dxa"/>
            <w:vAlign w:val="bottom"/>
          </w:tcPr>
          <w:p>
            <w:pPr>
              <w:ind w:left="160"/>
              <w:spacing w:after="0" w:line="135" w:lineRule="exact"/>
              <w:rPr>
                <w:sz w:val="20"/>
                <w:szCs w:val="20"/>
                <w:color w:val="auto"/>
              </w:rPr>
            </w:pPr>
            <w:r>
              <w:rPr>
                <w:rFonts w:ascii="Arial" w:cs="Arial" w:eastAsia="Arial" w:hAnsi="Arial"/>
                <w:sz w:val="13"/>
                <w:szCs w:val="13"/>
                <w:color w:val="auto"/>
              </w:rPr>
              <w:t>Depositary Shares (4)</w:t>
            </w:r>
          </w:p>
        </w:tc>
        <w:tc>
          <w:tcPr>
            <w:tcW w:w="1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40" w:type="dxa"/>
            <w:vAlign w:val="bottom"/>
          </w:tcPr>
          <w:p>
            <w:pPr>
              <w:ind w:left="160"/>
              <w:spacing w:after="0" w:line="135" w:lineRule="exact"/>
              <w:rPr>
                <w:sz w:val="20"/>
                <w:szCs w:val="20"/>
                <w:color w:val="auto"/>
              </w:rPr>
            </w:pPr>
            <w:r>
              <w:rPr>
                <w:rFonts w:ascii="Arial" w:cs="Arial" w:eastAsia="Arial" w:hAnsi="Arial"/>
                <w:sz w:val="13"/>
                <w:szCs w:val="13"/>
                <w:color w:val="auto"/>
              </w:rPr>
              <w:t>Warrants</w:t>
            </w:r>
          </w:p>
        </w:tc>
        <w:tc>
          <w:tcPr>
            <w:tcW w:w="1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Rights</w:t>
            </w:r>
          </w:p>
        </w:tc>
        <w:tc>
          <w:tcPr>
            <w:tcW w:w="16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Total Primary Offering</w:t>
            </w:r>
          </w:p>
        </w:tc>
        <w:tc>
          <w:tcPr>
            <w:tcW w:w="16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3"/>
                <w:szCs w:val="13"/>
                <w:color w:val="auto"/>
              </w:rPr>
              <w:t>125,000,000</w:t>
            </w:r>
          </w:p>
        </w:tc>
        <w:tc>
          <w:tcPr>
            <w:tcW w:w="2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3"/>
                <w:szCs w:val="13"/>
                <w:color w:val="auto"/>
              </w:rPr>
              <w:t>14,525(2)</w:t>
            </w:r>
          </w:p>
        </w:tc>
      </w:tr>
      <w:tr>
        <w:trPr>
          <w:trHeight w:val="129"/>
        </w:trPr>
        <w:tc>
          <w:tcPr>
            <w:tcW w:w="366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3"/>
                <w:szCs w:val="13"/>
                <w:color w:val="auto"/>
                <w:w w:val="98"/>
              </w:rPr>
              <w:t>Secondary Offering: Common Stock, par value $0.001 per share</w:t>
            </w:r>
          </w:p>
        </w:tc>
        <w:tc>
          <w:tcPr>
            <w:tcW w:w="16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224"/>
              <w:spacing w:after="0" w:line="129" w:lineRule="exact"/>
              <w:rPr>
                <w:sz w:val="20"/>
                <w:szCs w:val="20"/>
                <w:color w:val="auto"/>
              </w:rPr>
            </w:pPr>
            <w:r>
              <w:rPr>
                <w:rFonts w:ascii="Arial" w:cs="Arial" w:eastAsia="Arial" w:hAnsi="Arial"/>
                <w:sz w:val="13"/>
                <w:szCs w:val="13"/>
                <w:color w:val="auto"/>
              </w:rPr>
              <w:t>5,000,000</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3"/>
                <w:szCs w:val="13"/>
                <w:color w:val="auto"/>
              </w:rPr>
              <w:t>11.49(5)</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3"/>
                <w:szCs w:val="13"/>
                <w:color w:val="auto"/>
              </w:rPr>
              <w:t>57,450,000(5)</w:t>
            </w:r>
          </w:p>
        </w:tc>
        <w:tc>
          <w:tcPr>
            <w:tcW w:w="2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3"/>
                <w:szCs w:val="13"/>
                <w:color w:val="auto"/>
              </w:rPr>
              <w:t>6,676(5)</w:t>
            </w: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400" w:right="20" w:hanging="392"/>
        <w:spacing w:after="0" w:line="221" w:lineRule="auto"/>
        <w:tabs>
          <w:tab w:leader="none" w:pos="400" w:val="left"/>
        </w:tabs>
        <w:numPr>
          <w:ilvl w:val="0"/>
          <w:numId w:val="1"/>
        </w:numPr>
        <w:rPr>
          <w:rFonts w:ascii="Arial" w:cs="Arial" w:eastAsia="Arial" w:hAnsi="Arial"/>
          <w:sz w:val="13"/>
          <w:szCs w:val="13"/>
          <w:color w:val="auto"/>
        </w:rPr>
      </w:pPr>
      <w:r>
        <w:rPr>
          <w:rFonts w:ascii="Arial" w:cs="Arial" w:eastAsia="Arial" w:hAnsi="Arial"/>
          <w:sz w:val="13"/>
          <w:szCs w:val="13"/>
          <w:color w:val="auto"/>
        </w:rPr>
        <w:t>With respect to the primary offering, such indeterminate number or amount of debt securities, common stock, preferred stock and depositary shares, and warrants to purchase any combination of the foregoing securities, and rights, as may from time to time be issued at indeterminate prices, with an aggregate initial offering price not to exceed $125,000,000. Securities registered hereunder may be sold separately or together in any combination with other securities registered hereunder.</w:t>
      </w:r>
    </w:p>
    <w:p>
      <w:pPr>
        <w:spacing w:after="0" w:line="1" w:lineRule="exact"/>
        <w:rPr>
          <w:rFonts w:ascii="Arial" w:cs="Arial" w:eastAsia="Arial" w:hAnsi="Arial"/>
          <w:sz w:val="13"/>
          <w:szCs w:val="13"/>
          <w:color w:val="auto"/>
        </w:rPr>
      </w:pPr>
    </w:p>
    <w:p>
      <w:pPr>
        <w:ind w:left="400" w:right="40" w:hanging="392"/>
        <w:spacing w:after="0" w:line="234" w:lineRule="auto"/>
        <w:tabs>
          <w:tab w:leader="none" w:pos="400" w:val="left"/>
        </w:tabs>
        <w:numPr>
          <w:ilvl w:val="0"/>
          <w:numId w:val="1"/>
        </w:numPr>
        <w:rPr>
          <w:rFonts w:ascii="Arial" w:cs="Arial" w:eastAsia="Arial" w:hAnsi="Arial"/>
          <w:sz w:val="12"/>
          <w:szCs w:val="12"/>
          <w:color w:val="auto"/>
        </w:rPr>
      </w:pPr>
      <w:r>
        <w:rPr>
          <w:rFonts w:ascii="Arial" w:cs="Arial" w:eastAsia="Arial" w:hAnsi="Arial"/>
          <w:sz w:val="12"/>
          <w:szCs w:val="12"/>
          <w:color w:val="auto"/>
        </w:rPr>
        <w:t>With respect to the primary offering, estimated solely for the purpose of calculating the registration fee for a primary offering pursuant to Rule 457(o) under the Securities Act of 1933. Pursuant to Rule 457(o) under the Securities Act of 1933 and General Instruction II.D. of Form S-3, the table does not specify by each class information as to the amount to be registered or proposed maximum offering price per unit.</w:t>
      </w:r>
    </w:p>
    <w:p>
      <w:pPr>
        <w:spacing w:after="0" w:line="1" w:lineRule="exact"/>
        <w:rPr>
          <w:rFonts w:ascii="Arial" w:cs="Arial" w:eastAsia="Arial" w:hAnsi="Arial"/>
          <w:sz w:val="12"/>
          <w:szCs w:val="12"/>
          <w:color w:val="auto"/>
        </w:rPr>
      </w:pPr>
    </w:p>
    <w:p>
      <w:pPr>
        <w:ind w:left="400" w:right="80" w:hanging="392"/>
        <w:spacing w:after="0" w:line="216" w:lineRule="auto"/>
        <w:tabs>
          <w:tab w:leader="none" w:pos="40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Subject to footnote (1), there are also being registered hereunder an indeterminate principal amount or number of shares of debt securities, preferred stock or common stock that may be issued upon conversion of, or in exchange for, debt securities or preferred stock registered hereunder or upon exercise of warrants registered hereunder, as the case may be.</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Subject to footnote (1), there are being registered hereunder an indeterminate number of depositary shares to be evidenced by depositary receipts issued pursuant to a deposit agreement. If the Registrant elects to offer to the public fractional interests in shares of preferred stock registered hereunder, depositary receipts will be distributed to those persons purchasing such fractional interests, and the shares of preferred stock will be issued to the depositary under the deposit agreement.</w:t>
      </w:r>
    </w:p>
    <w:p>
      <w:pPr>
        <w:spacing w:after="0" w:line="1" w:lineRule="exact"/>
        <w:rPr>
          <w:rFonts w:ascii="Arial" w:cs="Arial" w:eastAsia="Arial" w:hAnsi="Arial"/>
          <w:sz w:val="13"/>
          <w:szCs w:val="13"/>
          <w:color w:val="auto"/>
        </w:rPr>
      </w:pPr>
    </w:p>
    <w:p>
      <w:pPr>
        <w:ind w:left="400" w:right="20" w:hanging="392"/>
        <w:spacing w:after="0" w:line="229" w:lineRule="auto"/>
        <w:tabs>
          <w:tab w:leader="none" w:pos="4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for the secondary offering, pursuant to Rule 457(c) under the Securities Act of 1933, based on the average of the high and low prices of the Registrant’s Common Stock on The NASDAQ Global Market on June 22, 2015.</w:t>
      </w:r>
    </w:p>
    <w:p>
      <w:pPr>
        <w:spacing w:after="0" w:line="65" w:lineRule="exact"/>
        <w:rPr>
          <w:sz w:val="24"/>
          <w:szCs w:val="24"/>
          <w:color w:val="auto"/>
        </w:rPr>
      </w:pPr>
    </w:p>
    <w:p>
      <w:pPr>
        <w:jc w:val="both"/>
        <w:ind w:right="120" w:firstLine="247"/>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4"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64" w:orient="portrait"/>
          <w:cols w:equalWidth="0" w:num="1">
            <w:col w:w="11420"/>
          </w:cols>
          <w:pgMar w:left="240" w:top="233" w:right="239" w:bottom="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contains:</w:t>
      </w:r>
    </w:p>
    <w:p>
      <w:pPr>
        <w:spacing w:after="0" w:line="225" w:lineRule="exact"/>
        <w:rPr>
          <w:sz w:val="20"/>
          <w:szCs w:val="20"/>
          <w:color w:val="auto"/>
        </w:rPr>
      </w:pPr>
    </w:p>
    <w:p>
      <w:pPr>
        <w:ind w:left="660" w:right="20" w:hanging="328"/>
        <w:spacing w:after="0" w:line="34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prospectus that covers the offering, issuance and sale by us of up to $125,000,000 in the aggregate of the securities identified above from time to time in one or more offerings and the offering and sale by selling stockholders of up to 5,000,000 shares of our common stock; and</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supplement covering the offering, issuance and sale by us of up to a maximum aggregate offering price of $25,000,000 of our common stock that may be issued and sold under a sales agreement with Cantor Fitzgerald &amp; Co.</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by us pursuant to the base prospectus will be specified in a prospectus supplement to the base prospectus. The sales agreement prospectus supplement immediately follows the base prospectus. The $25,000,000 of common stock that may be offered, issued and sold under the sales agreement prospectus supplement is included in the $125,000,000 of securities that may be offered, issued and sold by us under the base prospectus. Upon termination of the sales agreement with Cantor Fitzgerald &amp; Co., any portion of the $25,000,000 covered by the sales agreement prospectus supplement that is not sold pursuant to the sales agreement will be available for sale by us in one or more other offerings pursuant to the base prospectus and an accompanying prospectus supplement, and if no shares are sold under the sales agreement, the full $25,000,000 of securities may be sold by us in one or more other offerings pursuant to the base prospectus and an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FF4040"/>
        </w:rPr>
        <w:t>The information in this prospectus is not complete and may be changed. Neither we nor any selling stockholder may sell any of these securities until the registration statement filed with Securities and Exchange Commission is effective. This prospectus is not an offer to sell these securities and is not soliciting an offer to buy these securities in any state where the offer or sale is not permitted.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4040"/>
        </w:rPr>
        <w:t>Subject To Completion, Dated June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154940</wp:posOffset>
            </wp:positionV>
            <wp:extent cx="2229485" cy="1003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 Common Stock,</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 Depositary Shares,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 and Rights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5,000,000 Shares of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may, from time to time, offer and sell debt securities, preferred stock, either separately or represented by depositary shares, common stock, warrants or rights, either separately or together in any combination, in one or more offerings. The debt securities, preferred stock and warrants may be convertible into or exercisable or exchangeable for common or preferred stock or debt securities. The rights may be exercisable for common or preferred stock. The aggregate initial offering price of all securities sold under this prospectus will not exceed $125,000,000.</w:t>
      </w:r>
    </w:p>
    <w:p>
      <w:pPr>
        <w:spacing w:after="0" w:line="17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addition, certain of our stockholders may, from time to time, offer and sell up to an aggregate of 5,000,000 shares of our common stock in one or more offerings. Unless otherwise stated in the applicable prospectus supplement, we will not receive any of the proceeds from the sale of our common stock by the selling stockholders.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will specify in an accompanying prospectus supplement more specific information about any such offering, the identity of any selling stockholders and the number of shares that any such selling stockholder will be selling. This prospectus may not be used to sell any of these securities unless accompanied by the applicable prospectus supplement.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and the selling stockholders may offer and sell the securities described in this prospectus and any prospectus supplement directly to investors or through underwriters, dealers or agents. We will set forth the names of any underwriters, dealers or agents and their compensation in the accompanying prospectus supplement.</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June 22, 2015, the last reported sale price of our common stock on The NASDAQ Global Market was $11.54 per share.</w:t>
      </w:r>
    </w:p>
    <w:p>
      <w:pPr>
        <w:spacing w:after="0" w:line="157" w:lineRule="exact"/>
        <w:rPr>
          <w:sz w:val="20"/>
          <w:szCs w:val="20"/>
          <w:color w:val="auto"/>
        </w:rPr>
      </w:pPr>
    </w:p>
    <w:p>
      <w:pPr>
        <w:ind w:right="320" w:firstLine="648"/>
        <w:spacing w:after="0" w:line="280" w:lineRule="auto"/>
        <w:rPr>
          <w:sz w:val="20"/>
          <w:szCs w:val="20"/>
          <w:color w:val="auto"/>
        </w:rPr>
      </w:pPr>
      <w:r>
        <w:rPr>
          <w:rFonts w:ascii="Arial" w:cs="Arial" w:eastAsia="Arial" w:hAnsi="Arial"/>
          <w:sz w:val="21"/>
          <w:szCs w:val="21"/>
          <w:b w:val="1"/>
          <w:bCs w:val="1"/>
          <w:color w:val="auto"/>
        </w:rPr>
        <w:t>Investing in our securities involves risks. See the section entitled “Risk Factors” in the accompanying prospectus supplement and in the documents we incorporate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173990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337" w:right="299" w:bottom="0" w:gutter="0" w:footer="0" w:header="0"/>
        </w:sectPr>
      </w:pPr>
    </w:p>
    <w:bookmarkStart w:id="2" w:name="page3"/>
    <w:bookmarkEnd w:id="2"/>
    <w:p>
      <w:pPr>
        <w:ind w:right="38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168275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gridSpan w:val="2"/>
          </w:tcPr>
          <w:p>
            <w:pPr>
              <w:ind w:left="1040"/>
              <w:spacing w:after="0"/>
              <w:rPr>
                <w:sz w:val="20"/>
                <w:szCs w:val="20"/>
                <w:color w:val="auto"/>
              </w:rPr>
            </w:pPr>
            <w:r>
              <w:rPr>
                <w:rFonts w:ascii="Arial" w:cs="Arial" w:eastAsia="Arial" w:hAnsi="Arial"/>
                <w:sz w:val="18"/>
                <w:szCs w:val="18"/>
                <w:color w:val="auto"/>
              </w:rPr>
              <w:t>The date of this prospectus is</w:t>
            </w:r>
          </w:p>
        </w:tc>
        <w:tc>
          <w:tcPr>
            <w:tcW w:w="3800" w:type="dxa"/>
            <w:vAlign w:val="bottom"/>
            <w:gridSpan w:val="2"/>
          </w:tcPr>
          <w:p>
            <w:pPr>
              <w:jc w:val="right"/>
              <w:ind w:right="3160"/>
              <w:spacing w:after="0"/>
              <w:rPr>
                <w:sz w:val="20"/>
                <w:szCs w:val="20"/>
                <w:color w:val="auto"/>
              </w:rPr>
            </w:pPr>
            <w:r>
              <w:rPr>
                <w:rFonts w:ascii="Arial" w:cs="Arial" w:eastAsia="Arial" w:hAnsi="Arial"/>
                <w:sz w:val="18"/>
                <w:szCs w:val="18"/>
                <w:color w:val="auto"/>
              </w:rPr>
              <w:t>, 2015</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68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80" w:type="dxa"/>
            <w:vAlign w:val="bottom"/>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6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6860" w:type="dxa"/>
            <w:vAlign w:val="bottom"/>
            <w:gridSpan w:val="19"/>
            <w:vMerge w:val="continue"/>
          </w:tcPr>
          <w:p>
            <w:pPr>
              <w:spacing w:after="0"/>
              <w:rPr>
                <w:sz w:val="13"/>
                <w:szCs w:val="13"/>
                <w:color w:val="auto"/>
              </w:rPr>
            </w:pPr>
          </w:p>
        </w:tc>
        <w:tc>
          <w:tcPr>
            <w:tcW w:w="3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Risk Factors</w:t>
              </w:r>
            </w:hyperlink>
          </w:p>
        </w:tc>
        <w:tc>
          <w:tcPr>
            <w:tcW w:w="720" w:type="dxa"/>
            <w:vAlign w:val="bottom"/>
            <w:tcBorders>
              <w:top w:val="single" w:sz="8" w:color="0000EE"/>
            </w:tcBorders>
            <w:gridSpan w:val="8"/>
          </w:tcPr>
          <w:p>
            <w:pPr>
              <w:spacing w:after="0"/>
              <w:rPr>
                <w:sz w:val="18"/>
                <w:szCs w:val="18"/>
                <w:color w:val="auto"/>
              </w:rPr>
            </w:pPr>
          </w:p>
        </w:tc>
        <w:tc>
          <w:tcPr>
            <w:tcW w:w="5220" w:type="dxa"/>
            <w:vAlign w:val="bottom"/>
            <w:gridSpan w:val="9"/>
          </w:tcPr>
          <w:p>
            <w:pPr>
              <w:spacing w:after="0"/>
              <w:rPr>
                <w:sz w:val="18"/>
                <w:szCs w:val="18"/>
                <w:color w:val="auto"/>
              </w:rPr>
            </w:pPr>
          </w:p>
        </w:tc>
        <w:tc>
          <w:tcPr>
            <w:tcW w:w="460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86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Veracyte, Inc.</w:t>
              </w:r>
            </w:hyperlink>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7"/>
          </w:tcPr>
          <w:p>
            <w:pPr>
              <w:spacing w:after="0"/>
              <w:rPr>
                <w:sz w:val="17"/>
                <w:szCs w:val="17"/>
                <w:color w:val="auto"/>
              </w:rPr>
            </w:pPr>
          </w:p>
        </w:tc>
        <w:tc>
          <w:tcPr>
            <w:tcW w:w="4740" w:type="dxa"/>
            <w:vAlign w:val="bottom"/>
            <w:gridSpan w:val="7"/>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8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Ratio of Earnings to Fixed Charges</w:t>
              </w:r>
            </w:hyperlink>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3"/>
          </w:tcPr>
          <w:p>
            <w:pPr>
              <w:spacing w:after="0"/>
              <w:rPr>
                <w:sz w:val="17"/>
                <w:szCs w:val="17"/>
                <w:color w:val="auto"/>
              </w:rPr>
            </w:pPr>
          </w:p>
        </w:tc>
        <w:tc>
          <w:tcPr>
            <w:tcW w:w="4320" w:type="dxa"/>
            <w:vAlign w:val="bottom"/>
            <w:gridSpan w:val="3"/>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Description of Preferred Stock</w:t>
              </w:r>
            </w:hyperlink>
          </w:p>
        </w:tc>
        <w:tc>
          <w:tcPr>
            <w:tcW w:w="4640" w:type="dxa"/>
            <w:vAlign w:val="bottom"/>
            <w:gridSpan w:val="5"/>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86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Depositary Shares</w:t>
              </w:r>
            </w:hyperlink>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Description of Common Stock</w:t>
              </w:r>
            </w:hyperlink>
          </w:p>
        </w:tc>
        <w:tc>
          <w:tcPr>
            <w:tcW w:w="180" w:type="dxa"/>
            <w:vAlign w:val="bottom"/>
            <w:tcBorders>
              <w:top w:val="single" w:sz="8" w:color="0000EE"/>
            </w:tcBorders>
          </w:tcPr>
          <w:p>
            <w:pPr>
              <w:spacing w:after="0"/>
              <w:rPr>
                <w:sz w:val="17"/>
                <w:szCs w:val="17"/>
                <w:color w:val="auto"/>
              </w:rPr>
            </w:pPr>
          </w:p>
        </w:tc>
        <w:tc>
          <w:tcPr>
            <w:tcW w:w="4460" w:type="dxa"/>
            <w:vAlign w:val="bottom"/>
            <w:gridSpan w:val="4"/>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Warrants</w:t>
              </w:r>
            </w:hyperlink>
          </w:p>
        </w:tc>
        <w:tc>
          <w:tcPr>
            <w:tcW w:w="5120" w:type="dxa"/>
            <w:vAlign w:val="bottom"/>
            <w:gridSpan w:val="8"/>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Rights</w:t>
              </w:r>
            </w:hyperlink>
          </w:p>
        </w:tc>
        <w:tc>
          <w:tcPr>
            <w:tcW w:w="5300" w:type="dxa"/>
            <w:vAlign w:val="bottom"/>
            <w:gridSpan w:val="10"/>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86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Selling Stockholders</w:t>
              </w:r>
            </w:hyperlink>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17"/>
                <w:szCs w:val="17"/>
                <w:color w:val="auto"/>
              </w:rPr>
            </w:pPr>
          </w:p>
        </w:tc>
        <w:tc>
          <w:tcPr>
            <w:tcW w:w="5360" w:type="dxa"/>
            <w:vAlign w:val="bottom"/>
            <w:gridSpan w:val="11"/>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Legal Matters</w:t>
              </w:r>
            </w:hyperlink>
          </w:p>
        </w:tc>
        <w:tc>
          <w:tcPr>
            <w:tcW w:w="5840" w:type="dxa"/>
            <w:vAlign w:val="bottom"/>
            <w:gridSpan w:val="15"/>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Experts</w:t>
              </w:r>
            </w:hyperlink>
          </w:p>
        </w:tc>
        <w:tc>
          <w:tcPr>
            <w:tcW w:w="6300" w:type="dxa"/>
            <w:vAlign w:val="bottom"/>
            <w:gridSpan w:val="18"/>
          </w:tcPr>
          <w:p>
            <w:pPr>
              <w:spacing w:after="0"/>
              <w:rPr>
                <w:sz w:val="17"/>
                <w:szCs w:val="17"/>
                <w:color w:val="auto"/>
              </w:rPr>
            </w:pPr>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86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460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-3448685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-3448685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You should rely only on the information incorporated by reference or provided in this prospectus, any prospectus supplement and the registration statement. We have not authorized anyone else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using a “shelf” registration, or continuous offering, process. Under this shelf registration process, we may, from time to time, offer and sell separately or together in any combination the securities described in this prospectus in one or more offerings up to a maximum aggregate offering price of $125,000,000. In addition, certain of our stockholders may, from time to time, offer and sell up to an aggregate of 5,000,000 shares of our common stock in one or more offerings.</w:t>
      </w:r>
    </w:p>
    <w:p>
      <w:pPr>
        <w:spacing w:after="0" w:line="1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and the selling stockholders may offer. Each time we or the selling stockholders sell securities, we will provide a prospectus supplement that will contain specific information about the terms of that offering and the offered securities. Any prospectus supplement may also add, update or change information contained in this prospectus. Any statement that we make in this prospectus will be modified or superseded by any inconsistent statement made by us in a prospectus supplement. The registration statement we filed with the SEC includes exhibits that provide more detail of the matters discussed in this prospectus. You should read this prospectus and the related exhibits filed with the SEC and any prospectus supplement, together with additional information described under the heading “Where You Can Find More Information,” before making your investment decision.</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 and its consolidated subsidiaries.</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Veracyte, Afirma,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including the risk factors incorporated by reference to our most recent Annual Report on Form 10-K and any subsequent Quarterly Reports on Form 10-Q or Current Reports on Form 8-K. The occurrence of any of these risks might cause you to lose all or part of your investment in the offered securities.</w:t>
      </w:r>
    </w:p>
    <w:p>
      <w:pPr>
        <w:sectPr>
          <w:pgSz w:w="11900" w:h="16838" w:orient="portrait"/>
          <w:cols w:equalWidth="0" w:num="1">
            <w:col w:w="11460"/>
          </w:cols>
          <w:pgMar w:left="240" w:top="337" w:right="19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are a molecular diagnostics company, pioneering the field of molecular cytology with genomic solutions that resolve diagnostic ambiguity and enable physicians to make more informed treatment decisions at an early stage in patient care. We believe that diagnostic ambiguity is a significant problem impacting our healthcare system, resulting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unnecessary invasive procedures and surgeries while reducing healthcare costs. We are focused on the continued growth of our endocrinology franchise, and we recently entered into our second clinical indication, pulmonology, with the launch of our Percepta Bronchial Genomic Classifier in April 2015.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Unless we state otherwise in the applicable prospectus supplement, we intend to use the net proceeds from the sale of the securities offered by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 Unless we state otherwise in the applicable prospectus supplement, we will not receive any of the proceeds from the sale of our common stock by the selling stockholders.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ratio of earnings to fixed charges for each of the periods indicated are set forth in the following table. Our earnings were insufficient to cover fixed charges for each of those periods. For the periods indicated, we had no outstanding shares of preferred stock with required dividend payments. Therefore, earnings were insufficient to cover combined fixed charges and preferred stock dividends by the same amounts referenced in footnote 1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42"/>
        </w:trPr>
        <w:tc>
          <w:tcPr>
            <w:tcW w:w="3840" w:type="dxa"/>
            <w:vAlign w:val="bottom"/>
          </w:tcPr>
          <w:p>
            <w:pPr>
              <w:spacing w:after="0"/>
              <w:rPr>
                <w:sz w:val="12"/>
                <w:szCs w:val="12"/>
                <w:color w:val="auto"/>
              </w:rPr>
            </w:pPr>
          </w:p>
        </w:tc>
        <w:tc>
          <w:tcPr>
            <w:tcW w:w="9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14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12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1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March 31, 2015</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9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28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57" w:lineRule="auto"/>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ratio of earnings to fixed charges is computed by dividing loss before taxes plus fixed charges by fixed charges. Fixed charges consist of interest expense (including interest expense from capital leases), debt financing expense and the estimated portion of rental expense deemed by us to be representative of the interest factor of rental payments under operating leases. Earnings were insufficient to cover fixed charges by $14.4 million, $18.6 million, $25.6 million, $29.4 million and $7.6 million for the years ended December 31, 2011, 2012, 2013 and 2014 and the three months ended March 31, 2015,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is a summary of the general terms of the debt securities. We will file a prospectus supplement that may contain additional terms when we issue debt securities. The terms presented here, together with the terms in a related prospectus supplement, together with any pricing supplement or term sheet, will be a description of the material terms of the debt securities.</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debt securities we offer will be issued under an indenture between us and the trustee named in the indenture. The following is a summary of the material provisions of the form of indenture</w:t>
      </w:r>
    </w:p>
    <w:p>
      <w:pPr>
        <w:sectPr>
          <w:pgSz w:w="11900" w:h="16838" w:orient="portrait"/>
          <w:cols w:equalWidth="0" w:num="1">
            <w:col w:w="11420"/>
          </w:cols>
          <w:pgMar w:left="240" w:top="121" w:right="239" w:bottom="0" w:gutter="0" w:footer="0" w:header="0"/>
        </w:sectPr>
      </w:pPr>
    </w:p>
    <w:bookmarkStart w:id="4" w:name="page5"/>
    <w:bookmarkEnd w:id="4"/>
    <w:p>
      <w:pPr>
        <w:ind w:right="60"/>
        <w:spacing w:after="0" w:line="277" w:lineRule="auto"/>
        <w:rPr>
          <w:sz w:val="20"/>
          <w:szCs w:val="20"/>
          <w:color w:val="auto"/>
        </w:rPr>
      </w:pPr>
      <w:r>
        <w:rPr>
          <w:rFonts w:ascii="Arial" w:cs="Arial" w:eastAsia="Arial" w:hAnsi="Arial"/>
          <w:sz w:val="18"/>
          <w:szCs w:val="18"/>
          <w:color w:val="auto"/>
        </w:rPr>
        <w:t>filed as an exhibit to the registration statement of which this prospectus is a part. For each series of debt securities, the applicable prospectus supplement for the series may change and supplement the summary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in this section only, “we,” “us” and “our” refer to Veracyte, Inc. excluding our subsidiaries, unless expressly stated or the context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170" w:lineRule="exact"/>
        <w:rPr>
          <w:sz w:val="20"/>
          <w:szCs w:val="20"/>
          <w:color w:val="auto"/>
        </w:rPr>
      </w:pPr>
    </w:p>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authorized denominations of those debt securities;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that series of debt securities;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225" w:lineRule="exact"/>
        <w:rPr>
          <w:rFonts w:ascii="Arial" w:cs="Arial" w:eastAsia="Arial" w:hAnsi="Arial"/>
          <w:sz w:val="18"/>
          <w:szCs w:val="18"/>
          <w:color w:val="auto"/>
        </w:rPr>
      </w:pPr>
    </w:p>
    <w:p>
      <w:pPr>
        <w:ind w:left="1040" w:right="200" w:hanging="384"/>
        <w:spacing w:after="0" w:line="277" w:lineRule="auto"/>
        <w:tabs>
          <w:tab w:leader="none" w:pos="100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40" w:right="100" w:hanging="384"/>
        <w:spacing w:after="0" w:line="264" w:lineRule="auto"/>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81" w:lineRule="exact"/>
        <w:rPr>
          <w:rFonts w:ascii="Arial" w:cs="Arial" w:eastAsia="Arial" w:hAnsi="Arial"/>
          <w:sz w:val="18"/>
          <w:szCs w:val="18"/>
          <w:color w:val="auto"/>
        </w:rPr>
      </w:pPr>
    </w:p>
    <w:p>
      <w:pPr>
        <w:ind w:left="1040" w:right="40" w:hanging="384"/>
        <w:spacing w:after="0" w:line="342" w:lineRule="auto"/>
        <w:tabs>
          <w:tab w:leader="none" w:pos="100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23" w:lineRule="exact"/>
        <w:rPr>
          <w:rFonts w:ascii="Arial" w:cs="Arial" w:eastAsia="Arial" w:hAnsi="Arial"/>
          <w:sz w:val="16"/>
          <w:szCs w:val="16"/>
          <w:color w:val="auto"/>
        </w:rPr>
      </w:pPr>
    </w:p>
    <w:p>
      <w:pPr>
        <w:ind w:left="1040" w:right="520" w:hanging="384"/>
        <w:spacing w:after="0" w:line="342" w:lineRule="auto"/>
        <w:tabs>
          <w:tab w:leader="none" w:pos="100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123" w:lineRule="exact"/>
        <w:rPr>
          <w:rFonts w:ascii="Arial" w:cs="Arial" w:eastAsia="Arial" w:hAnsi="Arial"/>
          <w:sz w:val="16"/>
          <w:szCs w:val="16"/>
          <w:color w:val="auto"/>
        </w:rPr>
      </w:pPr>
    </w:p>
    <w:p>
      <w:pPr>
        <w:ind w:left="1040" w:right="120" w:hanging="384"/>
        <w:spacing w:after="0" w:line="264" w:lineRule="auto"/>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181"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w:t>
      </w:r>
    </w:p>
    <w:p>
      <w:pPr>
        <w:spacing w:after="0" w:line="225" w:lineRule="exact"/>
        <w:rPr>
          <w:rFonts w:ascii="Arial" w:cs="Arial" w:eastAsia="Arial" w:hAnsi="Arial"/>
          <w:sz w:val="18"/>
          <w:szCs w:val="18"/>
          <w:color w:val="auto"/>
        </w:rPr>
      </w:pPr>
    </w:p>
    <w:p>
      <w:pPr>
        <w:ind w:left="1040" w:right="260" w:hanging="384"/>
        <w:spacing w:after="0" w:line="277" w:lineRule="auto"/>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70" w:lineRule="exact"/>
        <w:rPr>
          <w:rFonts w:ascii="Arial" w:cs="Arial" w:eastAsia="Arial" w:hAnsi="Arial"/>
          <w:sz w:val="18"/>
          <w:szCs w:val="18"/>
          <w:color w:val="auto"/>
        </w:rPr>
      </w:pPr>
    </w:p>
    <w:p>
      <w:pPr>
        <w:ind w:left="1040" w:hanging="384"/>
        <w:spacing w:after="0" w:line="277" w:lineRule="auto"/>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170" w:lineRule="exact"/>
        <w:rPr>
          <w:rFonts w:ascii="Arial" w:cs="Arial" w:eastAsia="Arial" w:hAnsi="Arial"/>
          <w:sz w:val="18"/>
          <w:szCs w:val="18"/>
          <w:color w:val="auto"/>
        </w:rPr>
      </w:pPr>
    </w:p>
    <w:p>
      <w:pPr>
        <w:ind w:left="1040" w:hanging="384"/>
        <w:spacing w:after="0" w:line="312" w:lineRule="auto"/>
        <w:tabs>
          <w:tab w:leader="none" w:pos="1007"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146" w:lineRule="exact"/>
        <w:rPr>
          <w:rFonts w:ascii="Arial" w:cs="Arial" w:eastAsia="Arial" w:hAnsi="Arial"/>
          <w:sz w:val="16"/>
          <w:szCs w:val="16"/>
          <w:color w:val="auto"/>
        </w:rPr>
      </w:pPr>
    </w:p>
    <w:p>
      <w:pPr>
        <w:ind w:left="1020" w:hanging="364"/>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248" w:lineRule="exact"/>
        <w:rPr>
          <w:rFonts w:ascii="Arial" w:cs="Arial" w:eastAsia="Arial" w:hAnsi="Arial"/>
          <w:sz w:val="16"/>
          <w:szCs w:val="16"/>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 and</w:t>
      </w:r>
    </w:p>
    <w:p>
      <w:pPr>
        <w:sectPr>
          <w:pgSz w:w="11900" w:h="16838" w:orient="portrait"/>
          <w:cols w:equalWidth="0" w:num="1">
            <w:col w:w="11340"/>
          </w:cols>
          <w:pgMar w:left="240" w:top="125" w:right="319" w:bottom="0" w:gutter="0" w:footer="0" w:header="0"/>
        </w:sectPr>
      </w:pPr>
    </w:p>
    <w:bookmarkStart w:id="5" w:name="page6"/>
    <w:bookmarkEnd w:id="5"/>
    <w:p>
      <w:pPr>
        <w:spacing w:after="0" w:line="90" w:lineRule="exact"/>
        <w:rPr>
          <w:sz w:val="20"/>
          <w:szCs w:val="20"/>
          <w:color w:val="auto"/>
        </w:rPr>
      </w:pPr>
    </w:p>
    <w:p>
      <w:pPr>
        <w:ind w:left="1020" w:hanging="36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124" w:lineRule="exact"/>
        <w:rPr>
          <w:sz w:val="20"/>
          <w:szCs w:val="20"/>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6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225" w:lineRule="exact"/>
        <w:rPr>
          <w:sz w:val="20"/>
          <w:szCs w:val="20"/>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225" w:lineRule="exact"/>
        <w:rPr>
          <w:rFonts w:ascii="Arial" w:cs="Arial" w:eastAsia="Arial" w:hAnsi="Arial"/>
          <w:sz w:val="18"/>
          <w:szCs w:val="18"/>
          <w:color w:val="auto"/>
        </w:rPr>
      </w:pPr>
    </w:p>
    <w:p>
      <w:pPr>
        <w:ind w:left="1040" w:right="80" w:hanging="384"/>
        <w:spacing w:after="0" w:line="342" w:lineRule="auto"/>
        <w:tabs>
          <w:tab w:leader="none" w:pos="1007"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23" w:lineRule="exact"/>
        <w:rPr>
          <w:rFonts w:ascii="Arial" w:cs="Arial" w:eastAsia="Arial" w:hAnsi="Arial"/>
          <w:sz w:val="16"/>
          <w:szCs w:val="16"/>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225" w:lineRule="exact"/>
        <w:rPr>
          <w:rFonts w:ascii="Arial" w:cs="Arial" w:eastAsia="Arial" w:hAnsi="Arial"/>
          <w:sz w:val="18"/>
          <w:szCs w:val="18"/>
          <w:color w:val="auto"/>
        </w:rPr>
      </w:pPr>
    </w:p>
    <w:p>
      <w:pPr>
        <w:ind w:left="1040" w:right="400" w:hanging="384"/>
        <w:spacing w:after="0" w:line="277" w:lineRule="auto"/>
        <w:tabs>
          <w:tab w:leader="none" w:pos="1007"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ectPr>
          <w:pgSz w:w="11900" w:h="16929" w:orient="portrait"/>
          <w:cols w:equalWidth="0" w:num="1">
            <w:col w:w="11400"/>
          </w:cols>
          <w:pgMar w:left="240" w:top="341" w:right="259" w:bottom="0" w:gutter="0" w:footer="0" w:header="0"/>
        </w:sectPr>
      </w:pPr>
    </w:p>
    <w:bookmarkStart w:id="6" w:name="page7"/>
    <w:bookmarkEnd w:id="6"/>
    <w:p>
      <w:pPr>
        <w:ind w:left="1020" w:hanging="36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225" w:lineRule="exact"/>
        <w:rPr>
          <w:rFonts w:ascii="Arial" w:cs="Arial" w:eastAsia="Arial" w:hAnsi="Arial"/>
          <w:sz w:val="18"/>
          <w:szCs w:val="18"/>
          <w:color w:val="auto"/>
        </w:rPr>
      </w:pPr>
    </w:p>
    <w:p>
      <w:pPr>
        <w:ind w:left="1040" w:right="200" w:hanging="384"/>
        <w:spacing w:after="0" w:line="277" w:lineRule="auto"/>
        <w:tabs>
          <w:tab w:leader="none" w:pos="100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248" w:lineRule="exact"/>
        <w:rPr>
          <w:rFonts w:ascii="Arial" w:cs="Arial" w:eastAsia="Arial" w:hAnsi="Arial"/>
          <w:sz w:val="16"/>
          <w:szCs w:val="16"/>
          <w:color w:val="auto"/>
        </w:rPr>
      </w:pPr>
    </w:p>
    <w:p>
      <w:pPr>
        <w:ind w:left="1020" w:hanging="36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225" w:lineRule="exact"/>
        <w:rPr>
          <w:rFonts w:ascii="Arial" w:cs="Arial" w:eastAsia="Arial" w:hAnsi="Arial"/>
          <w:sz w:val="18"/>
          <w:szCs w:val="18"/>
          <w:color w:val="auto"/>
        </w:rPr>
      </w:pPr>
    </w:p>
    <w:p>
      <w:pPr>
        <w:ind w:left="1040" w:right="460" w:hanging="384"/>
        <w:spacing w:after="0" w:line="277" w:lineRule="auto"/>
        <w:tabs>
          <w:tab w:leader="none" w:pos="100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154" w:lineRule="exact"/>
        <w:rPr>
          <w:sz w:val="20"/>
          <w:szCs w:val="20"/>
          <w:color w:val="auto"/>
        </w:rPr>
      </w:pPr>
    </w:p>
    <w:p>
      <w:pPr>
        <w:jc w:val="both"/>
        <w:ind w:left="1040" w:right="160" w:hanging="384"/>
        <w:spacing w:after="0" w:line="264" w:lineRule="auto"/>
        <w:tabs>
          <w:tab w:leader="none" w:pos="10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40" w:right="40" w:hanging="384"/>
        <w:spacing w:after="0" w:line="259" w:lineRule="auto"/>
        <w:tabs>
          <w:tab w:leader="none" w:pos="10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170" w:lineRule="exact"/>
        <w:rPr>
          <w:sz w:val="20"/>
          <w:szCs w:val="20"/>
          <w:color w:val="auto"/>
        </w:rPr>
      </w:pPr>
    </w:p>
    <w:p>
      <w:pPr>
        <w:ind w:left="1020" w:hanging="36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225" w:lineRule="exact"/>
        <w:rPr>
          <w:rFonts w:ascii="Arial" w:cs="Arial" w:eastAsia="Arial" w:hAnsi="Arial"/>
          <w:sz w:val="18"/>
          <w:szCs w:val="18"/>
          <w:color w:val="auto"/>
        </w:rPr>
      </w:pPr>
    </w:p>
    <w:p>
      <w:pPr>
        <w:ind w:left="1040" w:right="40" w:hanging="384"/>
        <w:spacing w:after="0" w:line="277" w:lineRule="auto"/>
        <w:tabs>
          <w:tab w:leader="none" w:pos="10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25" w:lineRule="exact"/>
        <w:rPr>
          <w:rFonts w:ascii="Arial" w:cs="Arial" w:eastAsia="Arial" w:hAnsi="Arial"/>
          <w:sz w:val="18"/>
          <w:szCs w:val="18"/>
          <w:color w:val="auto"/>
        </w:rPr>
      </w:pPr>
    </w:p>
    <w:p>
      <w:pPr>
        <w:ind w:left="1040" w:right="100" w:hanging="384"/>
        <w:spacing w:after="0" w:line="277" w:lineRule="auto"/>
        <w:tabs>
          <w:tab w:leader="none" w:pos="10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ectPr>
          <w:pgSz w:w="11900" w:h="16838" w:orient="portrait"/>
          <w:cols w:equalWidth="0" w:num="1">
            <w:col w:w="11400"/>
          </w:cols>
          <w:pgMar w:left="240" w:top="341" w:right="259" w:bottom="0" w:gutter="0" w:footer="0" w:header="0"/>
        </w:sectPr>
      </w:pPr>
    </w:p>
    <w:bookmarkStart w:id="7" w:name="page8"/>
    <w:bookmarkEnd w:id="7"/>
    <w:p>
      <w:pPr>
        <w:spacing w:after="0" w:line="79" w:lineRule="exact"/>
        <w:rPr>
          <w:sz w:val="20"/>
          <w:szCs w:val="20"/>
          <w:color w:val="auto"/>
        </w:rPr>
      </w:pPr>
    </w:p>
    <w:p>
      <w:pPr>
        <w:ind w:left="1040" w:right="140" w:hanging="384"/>
        <w:spacing w:after="0" w:line="264" w:lineRule="auto"/>
        <w:tabs>
          <w:tab w:leader="none" w:pos="10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81" w:lineRule="exact"/>
        <w:rPr>
          <w:rFonts w:ascii="Arial" w:cs="Arial" w:eastAsia="Arial" w:hAnsi="Arial"/>
          <w:sz w:val="18"/>
          <w:szCs w:val="18"/>
          <w:color w:val="auto"/>
        </w:rPr>
      </w:pPr>
    </w:p>
    <w:p>
      <w:pPr>
        <w:ind w:left="1040" w:hanging="384"/>
        <w:spacing w:after="0" w:line="264" w:lineRule="auto"/>
        <w:tabs>
          <w:tab w:leader="none" w:pos="10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154" w:lineRule="exact"/>
        <w:rPr>
          <w:sz w:val="20"/>
          <w:szCs w:val="20"/>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225" w:lineRule="exact"/>
        <w:rPr>
          <w:rFonts w:ascii="Arial" w:cs="Arial" w:eastAsia="Arial" w:hAnsi="Arial"/>
          <w:sz w:val="18"/>
          <w:szCs w:val="18"/>
          <w:color w:val="auto"/>
        </w:rPr>
      </w:pPr>
    </w:p>
    <w:p>
      <w:pPr>
        <w:ind w:left="1040" w:right="120" w:hanging="384"/>
        <w:spacing w:after="0" w:line="277" w:lineRule="auto"/>
        <w:tabs>
          <w:tab w:leader="none" w:pos="10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181" w:lineRule="exact"/>
        <w:rPr>
          <w:sz w:val="20"/>
          <w:szCs w:val="20"/>
          <w:color w:val="auto"/>
        </w:rPr>
      </w:pPr>
    </w:p>
    <w:p>
      <w:pPr>
        <w:ind w:left="1020" w:hanging="36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default in the payment of, any premium and any interest on, or principal of, any such debt security held by a nonconsenting holder; or</w:t>
      </w:r>
    </w:p>
    <w:p>
      <w:pPr>
        <w:spacing w:after="0" w:line="236" w:lineRule="exact"/>
        <w:rPr>
          <w:rFonts w:ascii="Arial" w:cs="Arial" w:eastAsia="Arial" w:hAnsi="Arial"/>
          <w:sz w:val="17"/>
          <w:szCs w:val="17"/>
          <w:color w:val="auto"/>
        </w:rPr>
      </w:pPr>
    </w:p>
    <w:p>
      <w:pPr>
        <w:ind w:left="1040" w:right="260" w:hanging="384"/>
        <w:spacing w:after="0" w:line="277" w:lineRule="auto"/>
        <w:tabs>
          <w:tab w:leader="none" w:pos="10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170"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225" w:lineRule="exact"/>
        <w:rPr>
          <w:rFonts w:ascii="Arial" w:cs="Arial" w:eastAsia="Arial" w:hAnsi="Arial"/>
          <w:sz w:val="18"/>
          <w:szCs w:val="18"/>
          <w:color w:val="auto"/>
        </w:rPr>
      </w:pPr>
    </w:p>
    <w:p>
      <w:pPr>
        <w:ind w:left="5660" w:right="3540" w:hanging="5004"/>
        <w:spacing w:after="0" w:line="528" w:lineRule="auto"/>
        <w:tabs>
          <w:tab w:leader="none" w:pos="10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181" w:lineRule="exact"/>
        <w:rPr>
          <w:sz w:val="20"/>
          <w:szCs w:val="20"/>
          <w:color w:val="auto"/>
        </w:rPr>
      </w:pPr>
    </w:p>
    <w:p>
      <w:pPr>
        <w:ind w:left="1040" w:right="540" w:hanging="384"/>
        <w:spacing w:after="0" w:line="342" w:lineRule="auto"/>
        <w:tabs>
          <w:tab w:leader="none" w:pos="10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123" w:lineRule="exact"/>
        <w:rPr>
          <w:rFonts w:ascii="Arial" w:cs="Arial" w:eastAsia="Arial" w:hAnsi="Arial"/>
          <w:sz w:val="16"/>
          <w:szCs w:val="16"/>
          <w:color w:val="auto"/>
        </w:rPr>
      </w:pPr>
    </w:p>
    <w:p>
      <w:pPr>
        <w:ind w:left="1040" w:right="160" w:hanging="384"/>
        <w:spacing w:after="0" w:line="264" w:lineRule="auto"/>
        <w:tabs>
          <w:tab w:leader="none" w:pos="10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ectPr>
          <w:pgSz w:w="11900" w:h="16918" w:orient="portrait"/>
          <w:cols w:equalWidth="0" w:num="1">
            <w:col w:w="11380"/>
          </w:cols>
          <w:pgMar w:left="240" w:top="125" w:right="279" w:bottom="0" w:gutter="0" w:footer="0" w:header="0"/>
        </w:sectPr>
      </w:pPr>
    </w:p>
    <w:bookmarkStart w:id="8" w:name="page9"/>
    <w:bookmarkEnd w:id="8"/>
    <w:p>
      <w:pPr>
        <w:ind w:left="1020" w:hanging="364"/>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236" w:lineRule="exact"/>
        <w:rPr>
          <w:rFonts w:ascii="Arial" w:cs="Arial" w:eastAsia="Arial" w:hAnsi="Arial"/>
          <w:sz w:val="17"/>
          <w:szCs w:val="17"/>
          <w:color w:val="auto"/>
        </w:rPr>
      </w:pPr>
    </w:p>
    <w:p>
      <w:pPr>
        <w:ind w:left="1040" w:right="300" w:hanging="384"/>
        <w:spacing w:after="0" w:line="264" w:lineRule="auto"/>
        <w:tabs>
          <w:tab w:leader="none" w:pos="10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166" w:lineRule="exact"/>
        <w:rPr>
          <w:sz w:val="20"/>
          <w:szCs w:val="20"/>
          <w:color w:val="auto"/>
        </w:rPr>
      </w:pPr>
    </w:p>
    <w:p>
      <w:pPr>
        <w:ind w:left="1020" w:hanging="36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If the depositary for any debt securities represented by a registered global security is at any time unwilling or unable to continue as depositary or stops being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4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ectPr>
          <w:pgSz w:w="11900" w:h="16838" w:orient="portrait"/>
          <w:cols w:equalWidth="0" w:num="1">
            <w:col w:w="11380"/>
          </w:cols>
          <w:pgMar w:left="240" w:top="341" w:right="279" w:bottom="104" w:gutter="0" w:footer="0" w:header="0"/>
        </w:sectPr>
      </w:pPr>
    </w:p>
    <w:bookmarkStart w:id="9" w:name="page10"/>
    <w:bookmarkEnd w:id="9"/>
    <w:p>
      <w:pPr>
        <w:ind w:right="260" w:firstLine="648"/>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May 1, 2015,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181" w:lineRule="exact"/>
        <w:rPr>
          <w:sz w:val="20"/>
          <w:szCs w:val="20"/>
          <w:color w:val="auto"/>
        </w:rPr>
      </w:pPr>
    </w:p>
    <w:p>
      <w:pPr>
        <w:ind w:left="1020" w:hanging="36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225" w:lineRule="exact"/>
        <w:rPr>
          <w:rFonts w:ascii="Arial" w:cs="Arial" w:eastAsia="Arial" w:hAnsi="Arial"/>
          <w:sz w:val="18"/>
          <w:szCs w:val="18"/>
          <w:color w:val="auto"/>
        </w:rPr>
      </w:pPr>
    </w:p>
    <w:p>
      <w:pPr>
        <w:ind w:left="1040" w:right="80" w:hanging="384"/>
        <w:spacing w:after="0" w:line="308" w:lineRule="auto"/>
        <w:tabs>
          <w:tab w:leader="none" w:pos="100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146" w:lineRule="exact"/>
        <w:rPr>
          <w:rFonts w:ascii="Arial" w:cs="Arial" w:eastAsia="Arial" w:hAnsi="Arial"/>
          <w:sz w:val="17"/>
          <w:szCs w:val="17"/>
          <w:color w:val="auto"/>
        </w:rPr>
      </w:pPr>
    </w:p>
    <w:p>
      <w:pPr>
        <w:ind w:left="1020" w:hanging="364"/>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236" w:lineRule="exact"/>
        <w:rPr>
          <w:rFonts w:ascii="Arial" w:cs="Arial" w:eastAsia="Arial" w:hAnsi="Arial"/>
          <w:sz w:val="17"/>
          <w:szCs w:val="17"/>
          <w:color w:val="auto"/>
        </w:rPr>
      </w:pPr>
    </w:p>
    <w:p>
      <w:pPr>
        <w:ind w:left="1020" w:hanging="364"/>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terms and conditions of a sinking or purchase fund for the purchase or redemption of shares of the series, if such a fund is provided;</w:t>
      </w:r>
    </w:p>
    <w:p>
      <w:pPr>
        <w:spacing w:after="0" w:line="236" w:lineRule="exact"/>
        <w:rPr>
          <w:rFonts w:ascii="Arial" w:cs="Arial" w:eastAsia="Arial" w:hAnsi="Arial"/>
          <w:sz w:val="17"/>
          <w:szCs w:val="17"/>
          <w:color w:val="auto"/>
        </w:rPr>
      </w:pPr>
    </w:p>
    <w:p>
      <w:pPr>
        <w:ind w:left="1040" w:right="180" w:hanging="384"/>
        <w:spacing w:after="0" w:line="277" w:lineRule="auto"/>
        <w:tabs>
          <w:tab w:leader="none" w:pos="10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170" w:lineRule="exact"/>
        <w:rPr>
          <w:rFonts w:ascii="Arial" w:cs="Arial" w:eastAsia="Arial" w:hAnsi="Arial"/>
          <w:sz w:val="18"/>
          <w:szCs w:val="18"/>
          <w:color w:val="auto"/>
        </w:rPr>
      </w:pPr>
    </w:p>
    <w:p>
      <w:pPr>
        <w:ind w:left="1040" w:right="420" w:hanging="384"/>
        <w:spacing w:after="0" w:line="277" w:lineRule="auto"/>
        <w:tabs>
          <w:tab w:leader="none" w:pos="10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relevant deposit agreement and the depositary receipts with respect to the depositary shares relating to any particular series of preferred stock. You should read these documents as they, and not this description, will define your rights as a holder of depositary shares. Forms of these documents will be filed with the SEC in connection with the offering of depositary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depositary shares.</w:t>
      </w:r>
    </w:p>
    <w:p>
      <w:pPr>
        <w:spacing w:after="0" w:line="171" w:lineRule="exact"/>
        <w:rPr>
          <w:sz w:val="20"/>
          <w:szCs w:val="20"/>
          <w:color w:val="auto"/>
        </w:rPr>
      </w:pPr>
    </w:p>
    <w:p>
      <w:pPr>
        <w:jc w:val="center"/>
        <w:ind w:right="40"/>
        <w:spacing w:after="0" w:line="312" w:lineRule="auto"/>
        <w:rPr>
          <w:sz w:val="20"/>
          <w:szCs w:val="20"/>
          <w:color w:val="auto"/>
        </w:rPr>
      </w:pPr>
      <w:r>
        <w:rPr>
          <w:rFonts w:ascii="Arial" w:cs="Arial" w:eastAsia="Arial" w:hAnsi="Arial"/>
          <w:sz w:val="16"/>
          <w:szCs w:val="16"/>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w:t>
      </w:r>
    </w:p>
    <w:p>
      <w:pPr>
        <w:sectPr>
          <w:pgSz w:w="11900" w:h="16838" w:orient="portrait"/>
          <w:cols w:equalWidth="0" w:num="1">
            <w:col w:w="11420"/>
          </w:cols>
          <w:pgMar w:left="240" w:top="125" w:right="239" w:bottom="0" w:gutter="0" w:footer="0" w:header="0"/>
        </w:sectPr>
      </w:pPr>
    </w:p>
    <w:bookmarkStart w:id="10" w:name="page11"/>
    <w:bookmarkEnd w:id="10"/>
    <w:p>
      <w:pPr>
        <w:spacing w:after="0" w:line="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holders. The deposit agreement also will contain provisions relating to how any subscription or similar rights that we may offer to holders of the preferred stock will be available to the holders of the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Redemption and Liquidation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terms on which the depositary shares relating to the preferred stock of any series may be redeemed, and any amounts distributable upon our liquidation, dissolution or winding up, will be described in the relevant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and the depositary may agree to amend the deposit agreement and the depositary receipt evidencing the depositary shares. Any amendment that</w:t>
      </w:r>
    </w:p>
    <w:p>
      <w:pPr>
        <w:spacing w:after="0" w:line="46"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imposes or increases certain fees, taxes or other charges payable by the holders of the depositary shares as described in the deposit agreement or that</w:t>
      </w:r>
    </w:p>
    <w:p>
      <w:pPr>
        <w:spacing w:after="0" w:line="32" w:lineRule="exact"/>
        <w:rPr>
          <w:rFonts w:ascii="Arial" w:cs="Arial" w:eastAsia="Arial" w:hAnsi="Arial"/>
          <w:sz w:val="16"/>
          <w:szCs w:val="16"/>
          <w:color w:val="auto"/>
        </w:rPr>
      </w:pPr>
    </w:p>
    <w:p>
      <w:pPr>
        <w:jc w:val="both"/>
        <w:ind w:right="140" w:firstLine="8"/>
        <w:spacing w:after="0" w:line="255"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170" w:lineRule="exact"/>
        <w:rPr>
          <w:sz w:val="20"/>
          <w:szCs w:val="20"/>
          <w:color w:val="auto"/>
        </w:rPr>
      </w:pPr>
    </w:p>
    <w:p>
      <w:pPr>
        <w:ind w:left="740" w:hanging="84"/>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225" w:lineRule="exact"/>
        <w:rPr>
          <w:rFonts w:ascii="Arial" w:cs="Arial" w:eastAsia="Arial" w:hAnsi="Arial"/>
          <w:sz w:val="18"/>
          <w:szCs w:val="18"/>
          <w:color w:val="auto"/>
        </w:rPr>
      </w:pPr>
    </w:p>
    <w:p>
      <w:pPr>
        <w:ind w:left="820" w:right="140" w:hanging="164"/>
        <w:spacing w:after="0" w:line="277" w:lineRule="auto"/>
        <w:tabs>
          <w:tab w:leader="none" w:pos="7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The depositary will forward to the holders of depositary shares all reports and communications from us that are delivered to the depositary and that we are required by law, the rules of an applicable securities exchange or our restated certificate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 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have 125,000,000 shares of authorized common stock. As of May 1, 2015, there were 27,462,532 shares of common stock issued and outstanding. Each holder of common stock is entitled to one vote for each share of common stock held on all matters submitted to a vote of stockholders. We</w:t>
      </w:r>
    </w:p>
    <w:p>
      <w:pPr>
        <w:sectPr>
          <w:pgSz w:w="11900" w:h="16908" w:orient="portrait"/>
          <w:cols w:equalWidth="0" w:num="1">
            <w:col w:w="11420"/>
          </w:cols>
          <w:pgMar w:left="240" w:top="125" w:right="239" w:bottom="0" w:gutter="0" w:footer="0" w:header="0"/>
        </w:sectPr>
      </w:pPr>
    </w:p>
    <w:bookmarkStart w:id="11" w:name="page12"/>
    <w:bookmarkEnd w:id="11"/>
    <w:p>
      <w:pPr>
        <w:spacing w:after="0" w:line="2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May 1, 2015, the holders of approximately 13,956,090 shares of our common stock are entitled to contractual rights to require us to register those shares under the Securities Act of 1933. These rights are provided under the terms of our amended and restated investor rights agreement. We will pay all expenses relating to any such registration, other than underwriting discounts and selling commissions. The registration rights terminate upon the earlier of October 29, 2016, a change of control, or with respect to the registration rights of an individual holder, when that holder can sell all of the holder’s shares covered by registration rights pursuant to Rule 144 under the Securities Act in any 90-day period.</w:t>
      </w:r>
    </w:p>
    <w:p>
      <w:pPr>
        <w:spacing w:after="0" w:line="17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Subject to limitations and conditions specified in the investor rights agreement, holders of a majority of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by registration rights may require us to prepare and file a registration statement under the Securities Act covering all shares they request that we register. We are not obligated to effect more than two of these stockholder-initiated registrations.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register any of our securities under the Securities Act either for our own account or for the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of other stockholders, the holders of shares having registration rights will, subject to certain exceptions, be entitled to include their shares in our registration statement. These piggyback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connection with the sale of 4,907,975 shares of common stock in a private placement, we and certain investors entered into a Registration Rights Agreement dated as of April 22, 2015, pursuant to which we have registered for resale the shares of common stock issued in the private placement.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Certificate of Incorporation and Bylaws. </w:t>
      </w:r>
      <w:r>
        <w:rPr>
          <w:rFonts w:ascii="Arial" w:cs="Arial" w:eastAsia="Arial" w:hAnsi="Arial"/>
          <w:sz w:val="18"/>
          <w:szCs w:val="18"/>
          <w:color w:val="auto"/>
        </w:rPr>
        <w:t>Our restated certificate of incorporation and amended and restated bylaws include provisions that:</w:t>
      </w:r>
    </w:p>
    <w:p>
      <w:pPr>
        <w:spacing w:after="0" w:line="22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0" w:hanging="32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i w:val="1"/>
          <w:iCs w:val="1"/>
          <w:color w:val="auto"/>
        </w:rPr>
        <w:t xml:space="preserve">Delaware Law. </w:t>
      </w:r>
      <w:r>
        <w:rPr>
          <w:rFonts w:ascii="Arial" w:cs="Arial" w:eastAsia="Arial" w:hAnsi="Arial"/>
          <w:sz w:val="17"/>
          <w:szCs w:val="17"/>
          <w:color w:val="auto"/>
        </w:rPr>
        <w:t>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166" w:lineRule="exact"/>
        <w:rPr>
          <w:sz w:val="20"/>
          <w:szCs w:val="20"/>
          <w:color w:val="auto"/>
        </w:rPr>
      </w:pPr>
    </w:p>
    <w:p>
      <w:pPr>
        <w:ind w:left="1020" w:hanging="36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ectPr>
          <w:pgSz w:w="11900" w:h="16862" w:orient="portrait"/>
          <w:cols w:equalWidth="0" w:num="1">
            <w:col w:w="11400"/>
          </w:cols>
          <w:pgMar w:left="240" w:top="125" w:right="259" w:bottom="0" w:gutter="0" w:footer="0" w:header="0"/>
        </w:sectPr>
      </w:pPr>
    </w:p>
    <w:bookmarkStart w:id="12" w:name="page13"/>
    <w:bookmarkEnd w:id="12"/>
    <w:p>
      <w:pPr>
        <w:ind w:left="1040" w:hanging="384"/>
        <w:spacing w:after="0" w:line="257" w:lineRule="auto"/>
        <w:tabs>
          <w:tab w:leader="none" w:pos="10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left="1040" w:right="900" w:hanging="384"/>
        <w:spacing w:after="0" w:line="308" w:lineRule="auto"/>
        <w:tabs>
          <w:tab w:leader="none" w:pos="10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25" w:lineRule="exact"/>
        <w:rPr>
          <w:sz w:val="20"/>
          <w:szCs w:val="20"/>
          <w:color w:val="auto"/>
        </w:rPr>
      </w:pPr>
    </w:p>
    <w:p>
      <w:pPr>
        <w:ind w:left="1020" w:hanging="36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1040" w:right="360" w:hanging="384"/>
        <w:spacing w:after="0" w:line="277" w:lineRule="auto"/>
        <w:tabs>
          <w:tab w:leader="none" w:pos="10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1040" w:right="520" w:hanging="384"/>
        <w:spacing w:after="0" w:line="277" w:lineRule="auto"/>
        <w:tabs>
          <w:tab w:leader="none" w:pos="10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1040" w:right="340" w:hanging="384"/>
        <w:spacing w:after="0" w:line="277" w:lineRule="auto"/>
        <w:tabs>
          <w:tab w:leader="none" w:pos="10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may issue warrants for the purchase of debt securities, preferred stock, common stock, depositary shares,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70"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designation, terms and number of shares of debt securities, preferred stock or common stock purchasable upon exercise of the warrants;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price at which each share of debt securities, preferred stock or common stock purchasable upon exercise of the warrants may be purchased;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ectPr>
          <w:pgSz w:w="11900" w:h="16838" w:orient="portrait"/>
          <w:cols w:equalWidth="0" w:num="1">
            <w:col w:w="11400"/>
          </w:cols>
          <w:pgMar w:left="240" w:top="341" w:right="259" w:bottom="0" w:gutter="0" w:footer="0" w:header="0"/>
        </w:sectPr>
      </w:pPr>
    </w:p>
    <w:bookmarkStart w:id="13" w:name="page14"/>
    <w:bookmarkEnd w:id="13"/>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may issue rights to purchase common stock or preferred stock.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81" w:lineRule="exact"/>
        <w:rPr>
          <w:sz w:val="20"/>
          <w:szCs w:val="20"/>
          <w:color w:val="auto"/>
        </w:rPr>
      </w:pPr>
    </w:p>
    <w:p>
      <w:pPr>
        <w:ind w:right="60" w:firstLine="702"/>
        <w:spacing w:after="0" w:line="277" w:lineRule="auto"/>
        <w:rPr>
          <w:sz w:val="20"/>
          <w:szCs w:val="20"/>
          <w:color w:val="auto"/>
        </w:rPr>
      </w:pPr>
      <w:r>
        <w:rPr>
          <w:rFonts w:ascii="Arial" w:cs="Arial" w:eastAsia="Arial" w:hAnsi="Arial"/>
          <w:sz w:val="18"/>
          <w:szCs w:val="18"/>
          <w:color w:val="auto"/>
        </w:rPr>
        <w:t>We will describe in the applicable prospectus supplement the terms and conditions of the issue of rights being offered, the rights agreement relating to the rights and the rights certificates representing the rights, including, as applicable:</w:t>
      </w:r>
    </w:p>
    <w:p>
      <w:pPr>
        <w:spacing w:after="0" w:line="170"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if any, on and after which the rights will be separately transferable;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23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4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prospectus also relates to the possible resale by some of our stockholders of up to an aggregate of 5,000,000 shares of our common stock that were issued and outstanding prior to the original date of filing of the registration statement of which this prospectus forms a part and may include shares acquired by our directors or entities affiliated with our directors that were issued in one or more of the following transactions: We sold shares of our series A, series B and series C preferred stock in private placements to accredited investors, including some of our directors, executive officers and entities affiliated with our directors, in December 2006, January 2007, June 2007, February 2008, August 2009, June 2010, February 2011, July 2011, November 2012 and June 2013. All outstanding shares of our preferred stock were converted to shares of our common stock in connection with the closing of our initial public offering in November 2013.</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selling stockholders may be our directors or entities affiliated with our directors. The prospectus supplement for any offering of common stock by selling stockholders will include the following information:</w:t>
      </w:r>
    </w:p>
    <w:p>
      <w:pPr>
        <w:spacing w:after="0" w:line="170"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the selling stockholders;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each selling stockholder has had within the last three years with us or any of our predecessors or affiliates;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held by each of the selling stockholders before and after the offering;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common stock held by each of the selling stockholders before and after the offering;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common stock offered by each of the selling stockholders.</w:t>
      </w:r>
    </w:p>
    <w:p>
      <w:pPr>
        <w:sectPr>
          <w:pgSz w:w="11900" w:h="16838" w:orient="portrait"/>
          <w:cols w:equalWidth="0" w:num="1">
            <w:col w:w="11380"/>
          </w:cols>
          <w:pgMar w:left="240" w:top="341" w:right="279" w:bottom="0" w:gutter="0" w:footer="0" w:header="0"/>
        </w:sectPr>
      </w:pPr>
    </w:p>
    <w:bookmarkStart w:id="14" w:name="page15"/>
    <w:bookmarkEnd w:id="14"/>
    <w:p>
      <w:pPr>
        <w:jc w:val="both"/>
        <w:ind w:right="20" w:firstLine="648"/>
        <w:spacing w:after="0" w:line="312" w:lineRule="auto"/>
        <w:rPr>
          <w:sz w:val="20"/>
          <w:szCs w:val="20"/>
          <w:color w:val="auto"/>
        </w:rPr>
      </w:pPr>
      <w:r>
        <w:rPr>
          <w:rFonts w:ascii="Arial" w:cs="Arial" w:eastAsia="Arial" w:hAnsi="Arial"/>
          <w:sz w:val="16"/>
          <w:szCs w:val="16"/>
          <w:color w:val="auto"/>
        </w:rPr>
        <w:t>Selling stockholders may not sell any shares of our common stock pursuant to this prospectus until we have identified those selling stockholders and the shares being offered for resale by those selling stockholders in a subsequent prospectus supplement. However, the selling stockholders may sell or transfer all or a portion of their shares of our common stock pursuant to any available exemption from the registration requirements of the Securities Act of 1933.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Distributions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181" w:lineRule="exact"/>
        <w:rPr>
          <w:sz w:val="20"/>
          <w:szCs w:val="20"/>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Only those underwriters identified in such prospectus supplement are deemed to be underwriters in connection with the securities offered in the prospectus supplement.</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rights offering, forward contracts or similar arrangements.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will provide in the applicable prospectus supplement information regarding any underwriting discounts or other compensation that we pay to underwriters or agents in connection with the securities offering, and any discounts, concessions or commissions that underwriters allow to dealers. Underwriters, dealers and agents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of 1933. Underwriters and their controlling persons, dealers and agents may be entitled, under agreements entered into with us,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or our subsidiaries in the ordinary course of business.</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 Distributions</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w:t>
      </w:r>
    </w:p>
    <w:p>
      <w:pPr>
        <w:sectPr>
          <w:pgSz w:w="11900" w:h="16838" w:orient="portrait"/>
          <w:cols w:equalWidth="0" w:num="1">
            <w:col w:w="11420"/>
          </w:cols>
          <w:pgMar w:left="240" w:top="125" w:right="239" w:bottom="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5620" w:right="3600" w:hanging="4964"/>
        <w:spacing w:after="0" w:line="528" w:lineRule="auto"/>
        <w:tabs>
          <w:tab w:leader="none" w:pos="9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6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 facilitate the offering of the shares offered by the selling stockholders, certain persons participating in the offering may engage in transactions that stabilize, maintain or otherwise affect the price of the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the common stock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w:t>
      </w:r>
    </w:p>
    <w:p>
      <w:pPr>
        <w:sectPr>
          <w:pgSz w:w="11900" w:h="16838" w:orient="portrait"/>
          <w:cols w:equalWidth="0" w:num="1">
            <w:col w:w="11400"/>
          </w:cols>
          <w:pgMar w:left="240" w:top="125" w:right="259" w:bottom="0" w:gutter="0" w:footer="0" w:header="0"/>
        </w:sectPr>
      </w:pPr>
    </w:p>
    <w:bookmarkStart w:id="16" w:name="page17"/>
    <w:bookmarkEnd w:id="16"/>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transactions may be to stabilize or maintain the market price of the common stock at a level above that which might otherwise prevail in the open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may be discontinued at any time.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Pillsbury Winthrop Shaw Pittman LLP, San Francisco and Palo Alto, California.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and for the year ended December 31, 2014 included in our Annual Report on Form 10-K for the year ended December 31, 2014,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7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financial statements as of December 31, 2013 and for each of the two years in the period ended December 31, 2013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audited historical financial statements of Allegro Diagnostics Corp. included in Veracyte, Inc.’s Current Report on Form 8-K/A dated September 16, 2014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filed a registration statement on Form S-3 with the SEC under the Securities Act of 1933. This prospectus is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193" w:lineRule="exact"/>
        <w:rPr>
          <w:sz w:val="20"/>
          <w:szCs w:val="20"/>
          <w:color w:val="auto"/>
        </w:rPr>
      </w:pPr>
    </w:p>
    <w:p>
      <w:pPr>
        <w:ind w:left="1020" w:hanging="36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w:t>
      </w:r>
    </w:p>
    <w:p>
      <w:pPr>
        <w:spacing w:after="0" w:line="225" w:lineRule="exact"/>
        <w:rPr>
          <w:rFonts w:ascii="Arial" w:cs="Arial" w:eastAsia="Arial" w:hAnsi="Arial"/>
          <w:sz w:val="18"/>
          <w:szCs w:val="18"/>
          <w:color w:val="auto"/>
        </w:rPr>
      </w:pPr>
    </w:p>
    <w:p>
      <w:pPr>
        <w:jc w:val="both"/>
        <w:ind w:left="1040" w:right="100" w:hanging="384"/>
        <w:spacing w:after="0" w:line="264" w:lineRule="auto"/>
        <w:tabs>
          <w:tab w:leader="none" w:pos="10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17, 2014 (as amended on November 6, 2014, December 10, 2014, and May 21, 2015); January 12, 2015, March 5, 2015, March 13, 2015, March 31, 2015, April 7, 2015, April 24, 2015, May 1, 2015 and May 19, 2015; and</w:t>
      </w:r>
    </w:p>
    <w:p>
      <w:pPr>
        <w:spacing w:after="0" w:line="181" w:lineRule="exact"/>
        <w:rPr>
          <w:rFonts w:ascii="Arial" w:cs="Arial" w:eastAsia="Arial" w:hAnsi="Arial"/>
          <w:sz w:val="18"/>
          <w:szCs w:val="18"/>
          <w:color w:val="auto"/>
        </w:rPr>
      </w:pPr>
    </w:p>
    <w:p>
      <w:pPr>
        <w:ind w:left="1040" w:right="20" w:hanging="384"/>
        <w:spacing w:after="0" w:line="277" w:lineRule="auto"/>
        <w:tabs>
          <w:tab w:leader="none" w:pos="10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7000 Shoreline Court, Suite 250, South San Francisco, California 94080, telephone (650) 243-6300. We will not, however, send exhibits to those documents, unless the exhibits are specifically incorporated by reference in those documents.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FF4040"/>
        </w:rPr>
        <w:t>The information in this preliminary prospectus supplement is not complete and may be changed. We may not sell any of these securities until the registration statement filed with Securities and Exchange Commission is effective. This preliminary prospectus supplement is not an offer to sell these securities and is not soliciting an offer to buy these securities in any state where the offer or sale is not permitted.</w:t>
      </w:r>
    </w:p>
    <w:p>
      <w:pPr>
        <w:sectPr>
          <w:pgSz w:w="11900" w:h="16918" w:orient="portrait"/>
          <w:cols w:equalWidth="0" w:num="1">
            <w:col w:w="11420"/>
          </w:cols>
          <w:pgMar w:left="240" w:top="125" w:right="239" w:bottom="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FF4040"/>
        </w:rPr>
        <w:t>Subject To Completion, Dated June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r>
              <w:rPr>
                <w:rFonts w:ascii="Arial" w:cs="Arial" w:eastAsia="Arial" w:hAnsi="Arial"/>
                <w:sz w:val="18"/>
                <w:szCs w:val="18"/>
                <w:b w:val="1"/>
                <w:bCs w:val="1"/>
                <w:color w:val="auto"/>
              </w:rPr>
              <w:t>(To Prospectus dated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125730</wp:posOffset>
            </wp:positionV>
            <wp:extent cx="2229485" cy="1003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948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 to $25,000,000 of Shares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have entered into a sales agreement with Cantor Fitzgerald &amp; Co., relating to shares of our common stock offered by this prospectus supplement and the accompanying prospectus. In accordance with the terms of the sales agreement, we may offer and sell shares of our common stock having an aggregate offering price of up to $25,000,000 from time to time through Cantor Fitzgerald &amp; Co., acting as agent.</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June 22, 2015, the last reported sale price of our common stock on The NASDAQ Global Market was $11.54 per share.</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Sales of our common stock, if any, under this prospectus supplement and the accompanying prospectus may be made in sales deemed to be “at-the-market” equity offerings as defined in Rule 415 promulgated under the Securities Act of 1933, or the Securities Act, including sales made directly on or through The NASDAQ Global Market, the existing trading market for our common stock, sales made to or through a market maker other than on an exchange or otherwise, in negotiated transactions at market prices prevailing at the time of sale or at prices related to such prevailing market prices, and/or any other method permitted by law, including in privately negotiated transactions. Cantor Fitzgerald &amp; Co. will act as sales agent on a best efforts basis and use commercially reasonable efforts to sell on our behalf all of the shares of common stock requested to be sold by us, consistent with its normal trading and sales practices, on mutually agreed terms between Cantor Fitzgerald &amp; Co. and us. There is no arrangement for funds to be received in any escrow, trust or similar arrangement.</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Cantor Fitzgerald &amp; Co. will be entitled to compensation at a fixed commission rate of 3.0% of the gross sales price per share sold. In connection with the sale of our common stock on our behalf, Cantor Fitzgerald &amp; Co. will be deemed to be an “underwriter” within the meaning of the Securities Act and the compensation of Cantor Fitzgerald &amp; Co. will be deemed to be underwriting commissions or discounts.</w:t>
      </w:r>
    </w:p>
    <w:p>
      <w:pPr>
        <w:spacing w:after="0" w:line="177" w:lineRule="exact"/>
        <w:rPr>
          <w:sz w:val="20"/>
          <w:szCs w:val="20"/>
          <w:color w:val="auto"/>
        </w:rPr>
      </w:pPr>
    </w:p>
    <w:p>
      <w:pPr>
        <w:jc w:val="both"/>
        <w:ind w:right="100" w:firstLine="648"/>
        <w:spacing w:after="0" w:line="386" w:lineRule="auto"/>
        <w:rPr>
          <w:sz w:val="20"/>
          <w:szCs w:val="20"/>
          <w:color w:val="auto"/>
        </w:rPr>
      </w:pPr>
      <w:r>
        <w:rPr>
          <w:rFonts w:ascii="Arial" w:cs="Arial" w:eastAsia="Arial" w:hAnsi="Arial"/>
          <w:sz w:val="15"/>
          <w:szCs w:val="15"/>
          <w:b w:val="1"/>
          <w:bCs w:val="1"/>
          <w:color w:val="auto"/>
        </w:rPr>
        <w:t>Investing in our common stock involves risks. Before making an investment decision, please read section entitled “Risk Factors” on page S-5 of this prospectus supplement and in the documents we incorporate by reference in this prospectus supplement and the accompanying prospectus.</w:t>
      </w:r>
    </w:p>
    <w:p>
      <w:pPr>
        <w:spacing w:after="0" w:line="93"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35150" cy="617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51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0" w:type="dxa"/>
            <w:vAlign w:val="bottom"/>
          </w:tcPr>
          <w:p>
            <w:pPr>
              <w:ind w:left="600"/>
              <w:spacing w:after="0"/>
              <w:rPr>
                <w:sz w:val="20"/>
                <w:szCs w:val="20"/>
                <w:color w:val="auto"/>
              </w:rPr>
            </w:pPr>
            <w:r>
              <w:rPr>
                <w:rFonts w:ascii="Arial" w:cs="Arial" w:eastAsia="Arial" w:hAnsi="Arial"/>
                <w:sz w:val="18"/>
                <w:szCs w:val="18"/>
                <w:color w:val="auto"/>
              </w:rPr>
              <w:t>The date of this prospectus supplement is</w:t>
            </w:r>
          </w:p>
        </w:tc>
        <w:tc>
          <w:tcPr>
            <w:tcW w:w="3580" w:type="dxa"/>
            <w:vAlign w:val="bottom"/>
          </w:tcPr>
          <w:p>
            <w:pPr>
              <w:jc w:val="right"/>
              <w:ind w:right="2630"/>
              <w:spacing w:after="0"/>
              <w:rPr>
                <w:sz w:val="20"/>
                <w:szCs w:val="20"/>
                <w:color w:val="auto"/>
              </w:rPr>
            </w:pPr>
            <w:r>
              <w:rPr>
                <w:rFonts w:ascii="Arial" w:cs="Arial" w:eastAsia="Arial" w:hAnsi="Arial"/>
                <w:sz w:val="18"/>
                <w:szCs w:val="18"/>
                <w:color w:val="auto"/>
              </w:rPr>
              <w:t>, 2015</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70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8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358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7080" w:type="dxa"/>
            <w:vAlign w:val="bottom"/>
            <w:gridSpan w:val="12"/>
            <w:vMerge w:val="continue"/>
          </w:tcPr>
          <w:p>
            <w:pPr>
              <w:spacing w:after="0"/>
              <w:rPr>
                <w:sz w:val="17"/>
                <w:szCs w:val="17"/>
                <w:color w:val="auto"/>
              </w:rPr>
            </w:pPr>
          </w:p>
        </w:tc>
        <w:tc>
          <w:tcPr>
            <w:tcW w:w="35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About This Prospectus Supplement</w:t>
              </w:r>
            </w:hyperlink>
          </w:p>
        </w:tc>
        <w:tc>
          <w:tcPr>
            <w:tcW w:w="4520" w:type="dxa"/>
            <w:vAlign w:val="bottom"/>
            <w:gridSpan w:val="2"/>
          </w:tcPr>
          <w:p>
            <w:pPr>
              <w:spacing w:after="0"/>
              <w:rPr>
                <w:sz w:val="24"/>
                <w:szCs w:val="24"/>
                <w:color w:val="auto"/>
              </w:rPr>
            </w:pPr>
          </w:p>
        </w:tc>
        <w:tc>
          <w:tcPr>
            <w:tcW w:w="3580" w:type="dxa"/>
            <w:vAlign w:val="bottom"/>
          </w:tcPr>
          <w:p>
            <w:pPr>
              <w:spacing w:after="0"/>
              <w:rPr>
                <w:sz w:val="24"/>
                <w:szCs w:val="24"/>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Prospectus Supplement Summary</w:t>
              </w:r>
            </w:hyperlink>
          </w:p>
        </w:tc>
        <w:tc>
          <w:tcPr>
            <w:tcW w:w="4640" w:type="dxa"/>
            <w:vAlign w:val="bottom"/>
            <w:gridSpan w:val="3"/>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196"/>
        </w:trPr>
        <w:tc>
          <w:tcPr>
            <w:tcW w:w="708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Offering</w:t>
              </w:r>
            </w:hyperlink>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20" w:type="dxa"/>
            <w:vAlign w:val="bottom"/>
            <w:tcBorders>
              <w:top w:val="single" w:sz="8" w:color="0000EE"/>
            </w:tcBorders>
          </w:tcPr>
          <w:p>
            <w:pPr>
              <w:spacing w:after="0"/>
              <w:rPr>
                <w:sz w:val="17"/>
                <w:szCs w:val="17"/>
                <w:color w:val="auto"/>
              </w:rPr>
            </w:pPr>
          </w:p>
        </w:tc>
        <w:tc>
          <w:tcPr>
            <w:tcW w:w="6140" w:type="dxa"/>
            <w:vAlign w:val="bottom"/>
            <w:gridSpan w:val="9"/>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708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Forward-Looking Statements</w:t>
              </w:r>
            </w:hyperlink>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3"/>
          </w:tcPr>
          <w:p>
            <w:pPr>
              <w:spacing w:after="0"/>
              <w:rPr>
                <w:sz w:val="17"/>
                <w:szCs w:val="17"/>
                <w:color w:val="auto"/>
              </w:rPr>
            </w:pPr>
          </w:p>
        </w:tc>
        <w:tc>
          <w:tcPr>
            <w:tcW w:w="4960" w:type="dxa"/>
            <w:vAlign w:val="bottom"/>
            <w:gridSpan w:val="4"/>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196"/>
        </w:trPr>
        <w:tc>
          <w:tcPr>
            <w:tcW w:w="708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Dilution</w:t>
              </w:r>
            </w:hyperlink>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Plan of Distribution</w:t>
              </w:r>
            </w:hyperlink>
          </w:p>
        </w:tc>
        <w:tc>
          <w:tcPr>
            <w:tcW w:w="5640" w:type="dxa"/>
            <w:vAlign w:val="bottom"/>
            <w:gridSpan w:val="5"/>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Legal Matters</w:t>
              </w:r>
            </w:hyperlink>
          </w:p>
        </w:tc>
        <w:tc>
          <w:tcPr>
            <w:tcW w:w="6060" w:type="dxa"/>
            <w:vAlign w:val="bottom"/>
            <w:gridSpan w:val="8"/>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Experts</w:t>
              </w:r>
            </w:hyperlink>
          </w:p>
        </w:tc>
        <w:tc>
          <w:tcPr>
            <w:tcW w:w="6480" w:type="dxa"/>
            <w:vAlign w:val="bottom"/>
            <w:gridSpan w:val="11"/>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Where You Can Find More Information</w:t>
              </w:r>
            </w:hyperlink>
          </w:p>
        </w:tc>
        <w:tc>
          <w:tcPr>
            <w:tcW w:w="4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00" w:type="dxa"/>
            <w:vAlign w:val="bottom"/>
            <w:gridSpan w:val="2"/>
          </w:tcPr>
          <w:p>
            <w:pPr>
              <w:ind w:left="520"/>
              <w:spacing w:after="0" w:line="19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-2660015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-2660015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460"/>
          </w:cols>
          <w:pgMar w:left="240" w:top="337"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70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4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Risk Factors</w:t>
              </w:r>
            </w:hyperlink>
          </w:p>
        </w:tc>
        <w:tc>
          <w:tcPr>
            <w:tcW w:w="720" w:type="dxa"/>
            <w:vAlign w:val="bottom"/>
            <w:tcBorders>
              <w:top w:val="single" w:sz="8" w:color="0000EE"/>
            </w:tcBorders>
            <w:gridSpan w:val="7"/>
          </w:tcPr>
          <w:p>
            <w:pPr>
              <w:spacing w:after="0"/>
              <w:rPr>
                <w:sz w:val="17"/>
                <w:szCs w:val="17"/>
                <w:color w:val="auto"/>
              </w:rPr>
            </w:pPr>
          </w:p>
        </w:tc>
        <w:tc>
          <w:tcPr>
            <w:tcW w:w="5420" w:type="dxa"/>
            <w:vAlign w:val="bottom"/>
            <w:gridSpan w:val="8"/>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6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Veracyte, Inc.</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96"/>
        </w:trPr>
        <w:tc>
          <w:tcPr>
            <w:tcW w:w="70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6"/>
          </w:tcPr>
          <w:p>
            <w:pPr>
              <w:spacing w:after="0"/>
              <w:rPr>
                <w:sz w:val="17"/>
                <w:szCs w:val="17"/>
                <w:color w:val="auto"/>
              </w:rPr>
            </w:pPr>
          </w:p>
        </w:tc>
        <w:tc>
          <w:tcPr>
            <w:tcW w:w="4940" w:type="dxa"/>
            <w:vAlign w:val="bottom"/>
            <w:gridSpan w:val="6"/>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0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Ratio of Earnings to Fixed Charges</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3"/>
          </w:tcPr>
          <w:p>
            <w:pPr>
              <w:spacing w:after="0"/>
              <w:rPr>
                <w:sz w:val="17"/>
                <w:szCs w:val="17"/>
                <w:color w:val="auto"/>
              </w:rPr>
            </w:pPr>
          </w:p>
        </w:tc>
        <w:tc>
          <w:tcPr>
            <w:tcW w:w="4520" w:type="dxa"/>
            <w:vAlign w:val="bottom"/>
            <w:gridSpan w:val="2"/>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Description of Preferred Stock</w:t>
              </w:r>
            </w:hyperlink>
          </w:p>
        </w:tc>
        <w:tc>
          <w:tcPr>
            <w:tcW w:w="4840" w:type="dxa"/>
            <w:vAlign w:val="bottom"/>
            <w:gridSpan w:val="4"/>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06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Depositary Shares</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Description of Common Stock</w:t>
              </w:r>
            </w:hyperlink>
          </w:p>
        </w:tc>
        <w:tc>
          <w:tcPr>
            <w:tcW w:w="180" w:type="dxa"/>
            <w:vAlign w:val="bottom"/>
            <w:tcBorders>
              <w:top w:val="single" w:sz="8" w:color="0000EE"/>
            </w:tcBorders>
          </w:tcPr>
          <w:p>
            <w:pPr>
              <w:spacing w:after="0"/>
              <w:rPr>
                <w:sz w:val="17"/>
                <w:szCs w:val="17"/>
                <w:color w:val="auto"/>
              </w:rPr>
            </w:pPr>
          </w:p>
        </w:tc>
        <w:tc>
          <w:tcPr>
            <w:tcW w:w="4660" w:type="dxa"/>
            <w:vAlign w:val="bottom"/>
            <w:gridSpan w:val="3"/>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Warrants</w:t>
              </w:r>
            </w:hyperlink>
          </w:p>
        </w:tc>
        <w:tc>
          <w:tcPr>
            <w:tcW w:w="5320" w:type="dxa"/>
            <w:vAlign w:val="bottom"/>
            <w:gridSpan w:val="7"/>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Rights</w:t>
              </w:r>
            </w:hyperlink>
          </w:p>
        </w:tc>
        <w:tc>
          <w:tcPr>
            <w:tcW w:w="5500" w:type="dxa"/>
            <w:vAlign w:val="bottom"/>
            <w:gridSpan w:val="9"/>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06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Selling Stockholders</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17"/>
                <w:szCs w:val="17"/>
                <w:color w:val="auto"/>
              </w:rPr>
            </w:pPr>
          </w:p>
        </w:tc>
        <w:tc>
          <w:tcPr>
            <w:tcW w:w="5560" w:type="dxa"/>
            <w:vAlign w:val="bottom"/>
            <w:gridSpan w:val="10"/>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Legal Matters</w:t>
              </w:r>
            </w:hyperlink>
          </w:p>
        </w:tc>
        <w:tc>
          <w:tcPr>
            <w:tcW w:w="6040" w:type="dxa"/>
            <w:vAlign w:val="bottom"/>
            <w:gridSpan w:val="13"/>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Experts</w:t>
              </w:r>
            </w:hyperlink>
          </w:p>
        </w:tc>
        <w:tc>
          <w:tcPr>
            <w:tcW w:w="6500" w:type="dxa"/>
            <w:vAlign w:val="bottom"/>
            <w:gridSpan w:val="16"/>
          </w:tcPr>
          <w:p>
            <w:pPr>
              <w:spacing w:after="0"/>
              <w:rPr>
                <w:sz w:val="17"/>
                <w:szCs w:val="17"/>
                <w:color w:val="auto"/>
              </w:rPr>
            </w:pPr>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60" w:type="dxa"/>
            <w:vAlign w:val="bottom"/>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4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368"/>
        </w:trPr>
        <w:tc>
          <w:tcPr>
            <w:tcW w:w="560" w:type="dxa"/>
            <w:vAlign w:val="bottom"/>
            <w:tcBorders>
              <w:top w:val="single" w:sz="8" w:color="0000EE"/>
              <w:bottom w:val="single" w:sz="8" w:color="010101"/>
            </w:tcBorders>
          </w:tcPr>
          <w:p>
            <w:pPr>
              <w:spacing w:after="0"/>
              <w:rPr>
                <w:sz w:val="24"/>
                <w:szCs w:val="24"/>
                <w:color w:val="auto"/>
              </w:rPr>
            </w:pPr>
          </w:p>
        </w:tc>
        <w:tc>
          <w:tcPr>
            <w:tcW w:w="36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160" w:type="dxa"/>
            <w:vAlign w:val="bottom"/>
            <w:tcBorders>
              <w:top w:val="single" w:sz="8" w:color="0000EE"/>
              <w:bottom w:val="single" w:sz="8" w:color="010101"/>
            </w:tcBorders>
          </w:tcPr>
          <w:p>
            <w:pPr>
              <w:spacing w:after="0"/>
              <w:rPr>
                <w:sz w:val="24"/>
                <w:szCs w:val="24"/>
                <w:color w:val="auto"/>
              </w:rPr>
            </w:pPr>
          </w:p>
        </w:tc>
        <w:tc>
          <w:tcPr>
            <w:tcW w:w="26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100" w:type="dxa"/>
            <w:vAlign w:val="bottom"/>
            <w:tcBorders>
              <w:top w:val="single" w:sz="8" w:color="0000EE"/>
              <w:bottom w:val="single" w:sz="8" w:color="010101"/>
            </w:tcBorders>
          </w:tcPr>
          <w:p>
            <w:pPr>
              <w:spacing w:after="0"/>
              <w:rPr>
                <w:sz w:val="24"/>
                <w:szCs w:val="24"/>
                <w:color w:val="auto"/>
              </w:rPr>
            </w:pPr>
          </w:p>
        </w:tc>
        <w:tc>
          <w:tcPr>
            <w:tcW w:w="38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180" w:type="dxa"/>
            <w:vAlign w:val="bottom"/>
            <w:tcBorders>
              <w:top w:val="single" w:sz="8" w:color="0000EE"/>
              <w:bottom w:val="single" w:sz="8" w:color="010101"/>
            </w:tcBorders>
          </w:tcPr>
          <w:p>
            <w:pPr>
              <w:spacing w:after="0"/>
              <w:rPr>
                <w:sz w:val="24"/>
                <w:szCs w:val="24"/>
                <w:color w:val="auto"/>
              </w:rPr>
            </w:pPr>
          </w:p>
        </w:tc>
        <w:tc>
          <w:tcPr>
            <w:tcW w:w="140" w:type="dxa"/>
            <w:vAlign w:val="bottom"/>
            <w:tcBorders>
              <w:top w:val="single" w:sz="8" w:color="0000EE"/>
              <w:bottom w:val="single" w:sz="8" w:color="010101"/>
            </w:tcBorders>
          </w:tcPr>
          <w:p>
            <w:pPr>
              <w:spacing w:after="0"/>
              <w:rPr>
                <w:sz w:val="24"/>
                <w:szCs w:val="24"/>
                <w:color w:val="auto"/>
              </w:rPr>
            </w:pPr>
          </w:p>
        </w:tc>
        <w:tc>
          <w:tcPr>
            <w:tcW w:w="340" w:type="dxa"/>
            <w:vAlign w:val="bottom"/>
            <w:tcBorders>
              <w:top w:val="single" w:sz="8" w:color="0000EE"/>
              <w:bottom w:val="single" w:sz="8" w:color="010101"/>
            </w:tcBorders>
          </w:tcPr>
          <w:p>
            <w:pPr>
              <w:spacing w:after="0"/>
              <w:rPr>
                <w:sz w:val="24"/>
                <w:szCs w:val="24"/>
                <w:color w:val="auto"/>
              </w:rPr>
            </w:pPr>
          </w:p>
        </w:tc>
        <w:tc>
          <w:tcPr>
            <w:tcW w:w="4180" w:type="dxa"/>
            <w:vAlign w:val="bottom"/>
            <w:tcBorders>
              <w:bottom w:val="single" w:sz="8" w:color="010101"/>
            </w:tcBorders>
          </w:tcPr>
          <w:p>
            <w:pPr>
              <w:spacing w:after="0"/>
              <w:rPr>
                <w:sz w:val="24"/>
                <w:szCs w:val="24"/>
                <w:color w:val="auto"/>
              </w:rPr>
            </w:pPr>
          </w:p>
        </w:tc>
        <w:tc>
          <w:tcPr>
            <w:tcW w:w="44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gives more general information, some of which may not apply to this offering. If there is a conflict between the information contained in this prospectus supplement and the accompanying prospectus, on the one hand, and the information contained in the accompanying prospectus or any document incorporated by reference, on the other hand, the information in this prospectus supplement shall control.</w:t>
      </w:r>
    </w:p>
    <w:p>
      <w:pPr>
        <w:spacing w:after="0" w:line="19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prospectus along with the information contained in any permitted free writing prospectuses we have authorized for use in connection with this offering. We have not, and Cantor Fitzgerald &amp; Co. has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 We are offering to sell, and seeking offers to buy, shares of our common stock only in jurisdictions where offers and sales are permitted. 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 and its consolidated subsidiaries.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Veracyte, Afirma,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97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197100"/>
                    </a:xfrm>
                    <a:prstGeom prst="rect">
                      <a:avLst/>
                    </a:prstGeom>
                    <a:noFill/>
                  </pic:spPr>
                </pic:pic>
              </a:graphicData>
            </a:graphic>
          </wp:anchor>
        </w:drawing>
      </w:r>
    </w:p>
    <w:p>
      <w:pPr>
        <w:spacing w:after="0" w:line="32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60" w:right="620" w:firstLine="648"/>
        <w:spacing w:after="0" w:line="276" w:lineRule="auto"/>
        <w:rPr>
          <w:sz w:val="20"/>
          <w:szCs w:val="20"/>
          <w:color w:val="auto"/>
        </w:rPr>
      </w:pPr>
      <w:r>
        <w:rPr>
          <w:rFonts w:ascii="Arial" w:cs="Arial" w:eastAsia="Arial" w:hAnsi="Arial"/>
          <w:sz w:val="17"/>
          <w:szCs w:val="17"/>
          <w:i w:val="1"/>
          <w:iCs w:val="1"/>
          <w:color w:val="auto"/>
        </w:rPr>
        <w:t>This summary contains basic information about us and this offering. Because it is a summary, it does not contain all of the information that you should consider before investing. You should carefully read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 before making an investment decision.</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60" w:right="560" w:firstLine="648"/>
        <w:spacing w:after="0" w:line="279" w:lineRule="auto"/>
        <w:rPr>
          <w:sz w:val="20"/>
          <w:szCs w:val="20"/>
          <w:color w:val="auto"/>
        </w:rPr>
      </w:pPr>
      <w:r>
        <w:rPr>
          <w:rFonts w:ascii="Arial" w:cs="Arial" w:eastAsia="Arial" w:hAnsi="Arial"/>
          <w:sz w:val="16"/>
          <w:szCs w:val="16"/>
          <w:color w:val="auto"/>
        </w:rPr>
        <w:t>We are a diagnostics company pioneering the field of molecular cytology, focusing on genomic solutions that resolve diagnostic ambiguity and enable physicians to make more informed treatment decisions at an early stage in patient care. By improving preoperative diagnostic accuracy, we aim to help patients avoid unnecessary invasive procedures while reducing healthcare costs. Our first commercial solution, the Afirma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Thyroid FNA Analysis, or Afirma, centers on the proprietary Gene Expression Classifier, or GEC, to resolve ambiguity in diagnosis and is becoming a new standard of care in thyroid nodule assessment. Each year over 525,000 fine needle aspiration, or FNA, biopsies are performed in the United States on</w:t>
      </w:r>
    </w:p>
    <w:p>
      <w:pPr>
        <w:sectPr>
          <w:pgSz w:w="11900" w:h="16838" w:orient="portrait"/>
          <w:cols w:equalWidth="0" w:num="1">
            <w:col w:w="11460"/>
          </w:cols>
          <w:pgMar w:left="240" w:top="324" w:right="199" w:bottom="0" w:gutter="0" w:footer="0" w:header="0"/>
        </w:sectPr>
      </w:pPr>
    </w:p>
    <w:bookmarkStart w:id="19" w:name="page20"/>
    <w:bookmarkEnd w:id="19"/>
    <w:p>
      <w:pPr>
        <w:spacing w:after="0" w:line="62" w:lineRule="exact"/>
        <w:rPr>
          <w:sz w:val="20"/>
          <w:szCs w:val="20"/>
          <w:color w:val="auto"/>
        </w:rPr>
      </w:pPr>
    </w:p>
    <w:p>
      <w:pPr>
        <w:ind w:left="160" w:right="620"/>
        <w:spacing w:after="0" w:line="259" w:lineRule="auto"/>
        <w:rPr>
          <w:sz w:val="20"/>
          <w:szCs w:val="20"/>
          <w:color w:val="auto"/>
        </w:rPr>
      </w:pPr>
      <w:r>
        <w:rPr>
          <w:rFonts w:ascii="Arial" w:cs="Arial" w:eastAsia="Arial" w:hAnsi="Arial"/>
          <w:sz w:val="18"/>
          <w:szCs w:val="18"/>
          <w:color w:val="auto"/>
        </w:rPr>
        <w:t>thyroid nodules that are suspicious for cancer. Approximately 15% to 30% of FNAs analyzed using cytopathology alone yield inconclusive, or indeterminate, results. Prior to Afirma, the standard of care for patients with indeterminate cytopathology results was to surgically remove a portion or all of the thyroid to obtain an accurate diagnosis. However, between 70-80% of these nodules would be diagnosed as benign after the surgery was completed, meaning the surgeries were unnecessary.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4888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888230"/>
                    </a:xfrm>
                    <a:prstGeom prst="rect">
                      <a:avLst/>
                    </a:prstGeom>
                    <a:noFill/>
                  </pic:spPr>
                </pic:pic>
              </a:graphicData>
            </a:graphic>
          </wp:anchor>
        </w:drawing>
      </w:r>
    </w:p>
    <w:p>
      <w:pPr>
        <w:spacing w:after="0" w:line="167" w:lineRule="exact"/>
        <w:rPr>
          <w:sz w:val="20"/>
          <w:szCs w:val="20"/>
          <w:color w:val="auto"/>
        </w:rPr>
      </w:pPr>
    </w:p>
    <w:p>
      <w:pPr>
        <w:ind w:left="160" w:right="640" w:firstLine="648"/>
        <w:spacing w:after="0" w:line="270" w:lineRule="auto"/>
        <w:rPr>
          <w:sz w:val="20"/>
          <w:szCs w:val="20"/>
          <w:color w:val="auto"/>
        </w:rPr>
      </w:pPr>
      <w:r>
        <w:rPr>
          <w:rFonts w:ascii="Arial" w:cs="Arial" w:eastAsia="Arial" w:hAnsi="Arial"/>
          <w:sz w:val="17"/>
          <w:szCs w:val="17"/>
          <w:color w:val="auto"/>
        </w:rPr>
        <w:t xml:space="preserve">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in 2012. We believe the GEC is the only molecular test to meet the criteria established by the National Comprehensive Cancer Network guidelines for moving patients with indeterminate thyroid nodule FNA results from diagnostic surgery to routine monitoring. The comprehensive Afirma offering also includes cytopathology testing and the Afirma Malignancy Classifiers, launched in May 2014. Since we commercially launched Afirma in January 2011, we have received over 165,000 FNA samples for evaluation using Afirma and performed over 35,000 GECs to resolve indeterminate cytopathology results. The Afirma GEC is covered by Medicare and major commercial payers, which collectively represent nearly 150 million lives in the United States. Afirma is marketed and sold through co-promotion agreements with Genyzme Corporation, a subsidiary of Sanofi.</w:t>
      </w:r>
    </w:p>
    <w:p>
      <w:pPr>
        <w:spacing w:after="0" w:line="178" w:lineRule="exact"/>
        <w:rPr>
          <w:sz w:val="20"/>
          <w:szCs w:val="20"/>
          <w:color w:val="auto"/>
        </w:rPr>
      </w:pPr>
    </w:p>
    <w:p>
      <w:pPr>
        <w:ind w:left="160" w:right="520" w:firstLine="648"/>
        <w:spacing w:after="0" w:line="262" w:lineRule="auto"/>
        <w:rPr>
          <w:sz w:val="20"/>
          <w:szCs w:val="20"/>
          <w:color w:val="auto"/>
        </w:rPr>
      </w:pPr>
      <w:r>
        <w:rPr>
          <w:rFonts w:ascii="Arial" w:cs="Arial" w:eastAsia="Arial" w:hAnsi="Arial"/>
          <w:sz w:val="17"/>
          <w:szCs w:val="17"/>
          <w:color w:val="auto"/>
        </w:rPr>
        <w:t>We are expanding our molecular cytology franchise into other clinical areas of unmet need, focusing first on difficult-to-diagnose lung diseases, where current diagnostic ambiguity frequently requires invasive, risky and costly procedures to obtain a definitive diagnosis. Through our acquisition of Allegro Diagnostics Corp. in September 2014, we obtained our first pulmonology product, a test aimed at improving the risk stratification of patients with lung nodules that are suspicious for cancer. Among the estimated 250,000 bronchoscopies currently performed each year in the United States to evaluate such lung nodules, approximately 40% produce non-diagnostic results, based on pathology alone. The number of bronchoscopies performed is expected to rise as recent medical guidelines now recommend annual low-dose computed tomography (LDCT) screening for patients at high risk of lung cancer, with over eight million Americans falling into this category based on smoking history and age. Our proprietary technology has been developed to help physicians determine which patients with non-diagnostic bronchoscopy results can be safely monitored with routine LDCT scans versus an invasive surgical biopsy. In April 2015, we entered the lung cancer diagnostics market with the Percepta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Bronchial Genomic Classifier, a new genomic test to resolve preoperative ambiguity in lung cancer diagnosis. In May 2015, results from two large, prospective, multicenter studies that assessed the clinical performance of the Percepta test, known as the AEGIS I and AEGIS II trials, were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w:t>
      </w:r>
    </w:p>
    <w:p>
      <w:pPr>
        <w:spacing w:after="0" w:line="186" w:lineRule="exact"/>
        <w:rPr>
          <w:sz w:val="20"/>
          <w:szCs w:val="20"/>
          <w:color w:val="auto"/>
        </w:rPr>
      </w:pPr>
    </w:p>
    <w:p>
      <w:pPr>
        <w:ind w:left="160" w:right="600" w:firstLine="648"/>
        <w:spacing w:after="0" w:line="273" w:lineRule="auto"/>
        <w:rPr>
          <w:sz w:val="20"/>
          <w:szCs w:val="20"/>
          <w:color w:val="auto"/>
        </w:rPr>
      </w:pPr>
      <w:r>
        <w:rPr>
          <w:rFonts w:ascii="Arial" w:cs="Arial" w:eastAsia="Arial" w:hAnsi="Arial"/>
          <w:sz w:val="17"/>
          <w:szCs w:val="17"/>
          <w:color w:val="auto"/>
        </w:rPr>
        <w:t>Our second pulmonology pipeline product is intended to help the estimated 200,000 patients in the United States and major European countries with suspected interstitial lung diseases (ILDs) — specifically, idiopathic pulmonary fibrosis (IPF) — obtain an accurate diagnosis without surgery. ILDs present a significant challenge for diagnosis today without invasive surgical biopsy, leaving many patients with ambiguous diagnoses that can lead to suboptimal or even harmful treatment. We are developing a genomic test, which we currently plan to commercialize in 2016, to improve the diagnosis of IPF from the other ILDs in order to help physicians choose appropriate treatment pathways. We believe that the recent approval of two drugs to treat IPF increases the importance of accurate and timely diagnosis.</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3583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358390"/>
                    </a:xfrm>
                    <a:prstGeom prst="rect">
                      <a:avLst/>
                    </a:prstGeom>
                    <a:noFill/>
                  </pic:spPr>
                </pic:pic>
              </a:graphicData>
            </a:graphic>
          </wp:anchor>
        </w:drawing>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60" w:right="200" w:firstLine="648"/>
        <w:spacing w:after="0" w:line="272" w:lineRule="auto"/>
        <w:rPr>
          <w:sz w:val="20"/>
          <w:szCs w:val="20"/>
          <w:color w:val="auto"/>
        </w:rPr>
      </w:pPr>
      <w:r>
        <w:rPr>
          <w:rFonts w:ascii="Arial" w:cs="Arial" w:eastAsia="Arial" w:hAnsi="Arial"/>
          <w:sz w:val="17"/>
          <w:szCs w:val="17"/>
          <w:color w:val="auto"/>
        </w:rPr>
        <w:t>On April 28, 2015, we completed a private placement of 4,907,975 shares of our common stock to certain accredited investors at a purchase price of $8.15 per share. The sale of the shares was made pursuant to the terms of a Securities Purchase Agreement dated as of April 22, 2015. Gross proceeds to us from the private placement were approximately $40 million. Under the Securities Purchase Agreement, we have agreed to use the net proceeds from the private placement for research and development, for product commercialization, and for working capital and general corporate purposes. In connection with the sale of the common stock in the private placement, we entered into a Registration Rights Agreement dated as of April 22, 2015, pursuant to which we have registered for resale the shares of common stock issued in the private placement. The Registration Rights Agreement includes customary indemnification rights in connection with the resale registration statement.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160" w:right="3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340" w:type="dxa"/>
            <w:vAlign w:val="bottom"/>
            <w:gridSpan w:val="2"/>
          </w:tcPr>
          <w:p>
            <w:pPr>
              <w:ind w:left="1460"/>
              <w:spacing w:after="0"/>
              <w:rPr>
                <w:sz w:val="20"/>
                <w:szCs w:val="20"/>
                <w:color w:val="auto"/>
              </w:rPr>
            </w:pPr>
            <w:r>
              <w:rPr>
                <w:rFonts w:ascii="Arial" w:cs="Arial" w:eastAsia="Arial" w:hAnsi="Arial"/>
                <w:sz w:val="18"/>
                <w:szCs w:val="18"/>
                <w:color w:val="auto"/>
              </w:rPr>
              <w:t>S-3</w:t>
            </w:r>
          </w:p>
        </w:tc>
      </w:tr>
      <w:tr>
        <w:trPr>
          <w:trHeight w:val="132"/>
        </w:trPr>
        <w:tc>
          <w:tcPr>
            <w:tcW w:w="128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7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4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280" w:type="dxa"/>
            <w:vAlign w:val="bottom"/>
            <w:tcBorders>
              <w:top w:val="single" w:sz="8" w:color="0000EE"/>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318"/>
        </w:trPr>
        <w:tc>
          <w:tcPr>
            <w:tcW w:w="1280" w:type="dxa"/>
            <w:vAlign w:val="bottom"/>
            <w:tcBorders>
              <w:left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7300" w:type="dxa"/>
            <w:vAlign w:val="bottom"/>
            <w:tcBorders>
              <w:right w:val="single" w:sz="8" w:color="auto"/>
            </w:tcBorders>
          </w:tcPr>
          <w:p>
            <w:pPr>
              <w:ind w:left="900"/>
              <w:spacing w:after="0"/>
              <w:rPr>
                <w:sz w:val="20"/>
                <w:szCs w:val="20"/>
                <w:color w:val="auto"/>
              </w:rPr>
            </w:pPr>
            <w:r>
              <w:rPr>
                <w:rFonts w:ascii="Arial" w:cs="Arial" w:eastAsia="Arial" w:hAnsi="Arial"/>
                <w:sz w:val="18"/>
                <w:szCs w:val="18"/>
                <w:b w:val="1"/>
                <w:bCs w:val="1"/>
                <w:color w:val="auto"/>
              </w:rPr>
              <w:t>THE OFFERING</w:t>
            </w:r>
          </w:p>
        </w:tc>
        <w:tc>
          <w:tcPr>
            <w:tcW w:w="40" w:type="dxa"/>
            <w:vAlign w:val="bottom"/>
          </w:tcPr>
          <w:p>
            <w:pPr>
              <w:spacing w:after="0"/>
              <w:rPr>
                <w:sz w:val="24"/>
                <w:szCs w:val="24"/>
                <w:color w:val="auto"/>
              </w:rPr>
            </w:pPr>
          </w:p>
        </w:tc>
      </w:tr>
      <w:tr>
        <w:trPr>
          <w:trHeight w:val="432"/>
        </w:trPr>
        <w:tc>
          <w:tcPr>
            <w:tcW w:w="4120" w:type="dxa"/>
            <w:vAlign w:val="bottom"/>
            <w:tcBorders>
              <w:left w:val="single" w:sz="8" w:color="auto"/>
            </w:tcBorders>
            <w:gridSpan w:val="2"/>
          </w:tcPr>
          <w:p>
            <w:pPr>
              <w:ind w:left="160"/>
              <w:spacing w:after="0"/>
              <w:rPr>
                <w:sz w:val="20"/>
                <w:szCs w:val="20"/>
                <w:color w:val="auto"/>
              </w:rPr>
            </w:pPr>
            <w:r>
              <w:rPr>
                <w:rFonts w:ascii="Arial" w:cs="Arial" w:eastAsia="Arial" w:hAnsi="Arial"/>
                <w:sz w:val="18"/>
                <w:szCs w:val="18"/>
                <w:color w:val="auto"/>
              </w:rPr>
              <w:t>Common stock offered by us</w:t>
            </w:r>
          </w:p>
        </w:tc>
        <w:tc>
          <w:tcPr>
            <w:tcW w:w="7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Shares of our common stock having an aggregate offering price of up to $25,000,000.</w:t>
            </w:r>
          </w:p>
        </w:tc>
        <w:tc>
          <w:tcPr>
            <w:tcW w:w="40" w:type="dxa"/>
            <w:vAlign w:val="bottom"/>
          </w:tcPr>
          <w:p>
            <w:pPr>
              <w:spacing w:after="0"/>
              <w:rPr>
                <w:sz w:val="24"/>
                <w:szCs w:val="24"/>
                <w:color w:val="auto"/>
              </w:rPr>
            </w:pPr>
          </w:p>
        </w:tc>
      </w:tr>
      <w:tr>
        <w:trPr>
          <w:trHeight w:val="418"/>
        </w:trPr>
        <w:tc>
          <w:tcPr>
            <w:tcW w:w="4120" w:type="dxa"/>
            <w:vAlign w:val="bottom"/>
            <w:tcBorders>
              <w:left w:val="single" w:sz="8" w:color="auto"/>
            </w:tcBorders>
            <w:gridSpan w:val="2"/>
          </w:tcPr>
          <w:p>
            <w:pPr>
              <w:ind w:left="160"/>
              <w:spacing w:after="0"/>
              <w:rPr>
                <w:sz w:val="20"/>
                <w:szCs w:val="20"/>
                <w:color w:val="auto"/>
              </w:rPr>
            </w:pPr>
            <w:r>
              <w:rPr>
                <w:rFonts w:ascii="Arial" w:cs="Arial" w:eastAsia="Arial" w:hAnsi="Arial"/>
                <w:sz w:val="18"/>
                <w:szCs w:val="18"/>
                <w:color w:val="auto"/>
                <w:w w:val="97"/>
              </w:rPr>
              <w:t>Common stock to be outstanding after this offering</w:t>
            </w:r>
          </w:p>
        </w:tc>
        <w:tc>
          <w:tcPr>
            <w:tcW w:w="7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Up to 29,628,909 shares (as more fully described in the notes following this table), assuming</w:t>
            </w:r>
          </w:p>
        </w:tc>
        <w:tc>
          <w:tcPr>
            <w:tcW w:w="40" w:type="dxa"/>
            <w:vAlign w:val="bottom"/>
          </w:tcPr>
          <w:p>
            <w:pPr>
              <w:spacing w:after="0"/>
              <w:rPr>
                <w:sz w:val="24"/>
                <w:szCs w:val="24"/>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7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sales of 2,166,377 shares of our common stock in this offering at an offering price of $11.54</w:t>
            </w:r>
          </w:p>
        </w:tc>
        <w:tc>
          <w:tcPr>
            <w:tcW w:w="40" w:type="dxa"/>
            <w:vAlign w:val="bottom"/>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7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per share, which was the last reported sale price of our common stock on The NASDAQ</w:t>
            </w:r>
          </w:p>
        </w:tc>
        <w:tc>
          <w:tcPr>
            <w:tcW w:w="40" w:type="dxa"/>
            <w:vAlign w:val="bottom"/>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7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Global Market on June 22, 2015. The actual number of shares issued will vary depending on</w:t>
            </w:r>
          </w:p>
        </w:tc>
        <w:tc>
          <w:tcPr>
            <w:tcW w:w="40" w:type="dxa"/>
            <w:vAlign w:val="bottom"/>
          </w:tcPr>
          <w:p>
            <w:pPr>
              <w:spacing w:after="0"/>
              <w:rPr>
                <w:sz w:val="18"/>
                <w:szCs w:val="18"/>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7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sales price under this offering.</w:t>
            </w:r>
          </w:p>
        </w:tc>
        <w:tc>
          <w:tcPr>
            <w:tcW w:w="40" w:type="dxa"/>
            <w:vAlign w:val="bottom"/>
          </w:tcPr>
          <w:p>
            <w:pPr>
              <w:spacing w:after="0"/>
              <w:rPr>
                <w:sz w:val="20"/>
                <w:szCs w:val="20"/>
                <w:color w:val="auto"/>
              </w:rPr>
            </w:pPr>
          </w:p>
        </w:tc>
      </w:tr>
      <w:tr>
        <w:trPr>
          <w:trHeight w:val="354"/>
        </w:trPr>
        <w:tc>
          <w:tcPr>
            <w:tcW w:w="1280" w:type="dxa"/>
            <w:vAlign w:val="bottom"/>
            <w:tcBorders>
              <w:left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73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-2061210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-2061210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0" w:name="page21"/>
    <w:bookmarkEnd w:id="20"/>
    <w:p>
      <w:pPr>
        <w:ind w:left="160"/>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“At-the-market” offering that may be made from time to time through our sales agent, Cantor Fitzgerald &amp; Co. See “Plan of Distribution” on page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-293370</wp:posOffset>
            </wp:positionV>
            <wp:extent cx="7246620" cy="3515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51599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680" w:space="720"/>
            <w:col w:w="7000"/>
          </w:cols>
          <w:pgMar w:left="240" w:top="125" w:right="259" w:bottom="181" w:gutter="0" w:footer="0" w:header="0"/>
        </w:sectPr>
      </w:pPr>
    </w:p>
    <w:p>
      <w:pPr>
        <w:ind w:left="16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300"/>
        <w:spacing w:after="0" w:line="255" w:lineRule="auto"/>
        <w:rPr>
          <w:sz w:val="20"/>
          <w:szCs w:val="20"/>
          <w:color w:val="auto"/>
        </w:rPr>
      </w:pPr>
      <w:r>
        <w:rPr>
          <w:rFonts w:ascii="Arial" w:cs="Arial" w:eastAsia="Arial" w:hAnsi="Arial"/>
          <w:sz w:val="18"/>
          <w:szCs w:val="18"/>
          <w:color w:val="auto"/>
        </w:rPr>
        <w:t>We currently intend to use the net proceeds from this offering, if any, for working capital and general corporate purposes, including to support commercialization of our current and future products, for continued investments in research and development, and for investments in the growth of our business. We may also use a portion of the net proceeds from this to acquire or invest in complementary businesses, technologies or other assets. See “Use of Proceeds” on page S-7.</w:t>
      </w:r>
    </w:p>
    <w:p>
      <w:pPr>
        <w:spacing w:after="0" w:line="193" w:lineRule="exact"/>
        <w:rPr>
          <w:sz w:val="20"/>
          <w:szCs w:val="20"/>
          <w:color w:val="auto"/>
        </w:rPr>
      </w:pPr>
    </w:p>
    <w:p>
      <w:pPr>
        <w:sectPr>
          <w:pgSz w:w="11900" w:h="16838" w:orient="portrait"/>
          <w:cols w:equalWidth="0" w:num="2">
            <w:col w:w="3680" w:space="720"/>
            <w:col w:w="7000"/>
          </w:cols>
          <w:pgMar w:left="240" w:top="125" w:right="259" w:bottom="181" w:gutter="0" w:footer="0" w:header="0"/>
          <w:type w:val="continuous"/>
        </w:sectPr>
      </w:pPr>
    </w:p>
    <w:p>
      <w:pPr>
        <w:ind w:left="16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40"/>
        <w:spacing w:after="0" w:line="279" w:lineRule="auto"/>
        <w:rPr>
          <w:sz w:val="20"/>
          <w:szCs w:val="20"/>
          <w:color w:val="auto"/>
        </w:rPr>
      </w:pPr>
      <w:r>
        <w:rPr>
          <w:rFonts w:ascii="Arial" w:cs="Arial" w:eastAsia="Arial" w:hAnsi="Arial"/>
          <w:sz w:val="17"/>
          <w:szCs w:val="17"/>
          <w:color w:val="auto"/>
        </w:rPr>
        <w:t>Investing in our common stock involves a high degree of risk. See “Risk Factors” beginning on page S-5 and the other information included or incorporated by reference in this prospectus supplement and the accompanying prospectus for a discussion of factors you should consider carefully before deciding to invest in our common stock.</w:t>
      </w:r>
    </w:p>
    <w:p>
      <w:pPr>
        <w:spacing w:after="0" w:line="171" w:lineRule="exact"/>
        <w:rPr>
          <w:sz w:val="20"/>
          <w:szCs w:val="20"/>
          <w:color w:val="auto"/>
        </w:rPr>
      </w:pPr>
    </w:p>
    <w:p>
      <w:pPr>
        <w:sectPr>
          <w:pgSz w:w="11900" w:h="16838" w:orient="portrait"/>
          <w:cols w:equalWidth="0" w:num="2">
            <w:col w:w="3680" w:space="720"/>
            <w:col w:w="7000"/>
          </w:cols>
          <w:pgMar w:left="240" w:top="125" w:right="259" w:bottom="181" w:gutter="0" w:footer="0" w:header="0"/>
          <w:type w:val="continuous"/>
        </w:sectPr>
      </w:pPr>
    </w:p>
    <w:p>
      <w:pPr>
        <w:ind w:left="160"/>
        <w:spacing w:after="0"/>
        <w:rPr>
          <w:sz w:val="20"/>
          <w:szCs w:val="20"/>
          <w:color w:val="auto"/>
        </w:rPr>
      </w:pPr>
      <w:r>
        <w:rPr>
          <w:rFonts w:ascii="Arial" w:cs="Arial" w:eastAsia="Arial" w:hAnsi="Arial"/>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VCYT</w:t>
      </w:r>
    </w:p>
    <w:p>
      <w:pPr>
        <w:spacing w:after="0" w:line="200" w:lineRule="exact"/>
        <w:rPr>
          <w:sz w:val="20"/>
          <w:szCs w:val="20"/>
          <w:color w:val="auto"/>
        </w:rPr>
      </w:pPr>
    </w:p>
    <w:p>
      <w:pPr>
        <w:sectPr>
          <w:pgSz w:w="11900" w:h="16838" w:orient="portrait"/>
          <w:cols w:equalWidth="0" w:num="2">
            <w:col w:w="3680" w:space="720"/>
            <w:col w:w="7000"/>
          </w:cols>
          <w:pgMar w:left="240" w:top="125" w:right="259" w:bottom="181" w:gutter="0" w:footer="0" w:header="0"/>
          <w:type w:val="continuous"/>
        </w:sectPr>
      </w:pPr>
    </w:p>
    <w:p>
      <w:pPr>
        <w:spacing w:after="0" w:line="37" w:lineRule="exact"/>
        <w:rPr>
          <w:sz w:val="20"/>
          <w:szCs w:val="20"/>
          <w:color w:val="auto"/>
        </w:rPr>
      </w:pPr>
    </w:p>
    <w:p>
      <w:pPr>
        <w:ind w:left="160" w:right="580" w:firstLine="648"/>
        <w:spacing w:after="0" w:line="277" w:lineRule="auto"/>
        <w:rPr>
          <w:sz w:val="20"/>
          <w:szCs w:val="20"/>
          <w:color w:val="auto"/>
        </w:rPr>
      </w:pPr>
      <w:r>
        <w:rPr>
          <w:rFonts w:ascii="Arial" w:cs="Arial" w:eastAsia="Arial" w:hAnsi="Arial"/>
          <w:sz w:val="18"/>
          <w:szCs w:val="18"/>
          <w:color w:val="auto"/>
        </w:rPr>
        <w:t>The number of shares of our common stock that will be outstanding immediately after this offering as shown above is based on 27,462,532 shares outstanding as of May 1, 2015, and excludes the following, all as of May 1, 2015:</w:t>
      </w:r>
    </w:p>
    <w:p>
      <w:pPr>
        <w:spacing w:after="0" w:line="170" w:lineRule="exact"/>
        <w:rPr>
          <w:sz w:val="20"/>
          <w:szCs w:val="20"/>
          <w:color w:val="auto"/>
        </w:rPr>
      </w:pPr>
    </w:p>
    <w:p>
      <w:pPr>
        <w:ind w:left="760" w:hanging="285"/>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4,252,209 shares of common stock issuable upon the exercise of options outstanding at a weighted average exercise price of $7.90 per share; and</w:t>
      </w:r>
    </w:p>
    <w:p>
      <w:pPr>
        <w:spacing w:after="0" w:line="248" w:lineRule="exact"/>
        <w:rPr>
          <w:rFonts w:ascii="Arial" w:cs="Arial" w:eastAsia="Arial" w:hAnsi="Arial"/>
          <w:sz w:val="16"/>
          <w:szCs w:val="16"/>
          <w:color w:val="auto"/>
        </w:rPr>
      </w:pPr>
    </w:p>
    <w:p>
      <w:pPr>
        <w:ind w:left="160" w:right="580" w:firstLine="315"/>
        <w:spacing w:after="0" w:line="528" w:lineRule="auto"/>
        <w:tabs>
          <w:tab w:leader="none" w:pos="7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1,208,430 shares of common stock reserved for future issuance under our 2013 Stock Incentive Plan, subject to increase on an annual basis. Also excludes 750,000 shares of common stock reserved for issuance under our Employee Stock Purchase Plan.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and in our Quarterly Report on Form 10-Q for the quarter ended March 31, 2015 incorporated by reference in this prospectus supplement and the accompanying prospectus, any amendment or update thereto reflected in our subsequent filings with the Securities and Exchange Commission,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93" w:lineRule="exact"/>
        <w:rPr>
          <w:sz w:val="20"/>
          <w:szCs w:val="20"/>
          <w:color w:val="auto"/>
        </w:rPr>
      </w:pPr>
    </w:p>
    <w:p>
      <w:pPr>
        <w:ind w:firstLine="648"/>
        <w:spacing w:after="0" w:line="381"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the net tangible book value of your shares. In addition, we may issue additional equity or equity-linked securities in the future, which may result in additional dilution to you.</w:t>
      </w:r>
    </w:p>
    <w:p>
      <w:pPr>
        <w:spacing w:after="0" w:line="1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 common stock prior to this offering. See the section entitled “Dilution” below for a more detailed discussion of the dilution you will incur if you purchase common stock in this offering. In addition, we have a significant number of outstanding options to purchase common stock. If the holders of these options exercise their options, you may incur further dilution. Also, to the extent we need to raise additional capital in the future and we issue additional shares of common stock or securities convertible into or exchangeable for our common stock, our then existing stockholders may experience dilution and the new securities may have rights senior to those of our common stock offered in this offering.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The accompanying prospectus also covers the sale by existing stockholders of up to 5,000,000 shares of our common stock and, as of the date of this prospectus supplement, most of our other outstanding shares of common stock are available for sale in the public market at any time by our existing stockholders, subject to Rule 144 limitations applicable to affiliates. We cannot predict the effect that future sales of our common stock would have on the market price of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81" w:gutter="0" w:footer="0" w:header="0"/>
          <w:type w:val="continuous"/>
        </w:sectPr>
      </w:pPr>
    </w:p>
    <w:bookmarkStart w:id="21" w:name="page22"/>
    <w:bookmarkEnd w:id="21"/>
    <w:p>
      <w:pPr>
        <w:spacing w:after="0" w:line="1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under the heading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18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5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You should read this prospectus supplement, the accompanying prospectus, and the documents that we reference in this prospectus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currently intend to use the net proceeds from this offering, if any, for working capital and other general corporate purposes, including to support commercialization of our current and future products, for continued investments in research and development, and for investments in the growth of our business. We may also use a portion of the net proceeds from this offering to acquire or invest in complementary businesses, technologies or other assets.</w:t>
      </w:r>
    </w:p>
    <w:p>
      <w:pPr>
        <w:spacing w:after="0" w:line="14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the date of this prospectus supplement, we cannot specify with certainty all of the particular uses for the net proceeds, if any, to be received by us from this offering. As a result, our management will have broad discretion in the way that we use the net proceeds and investors will be relying on our judgment regarding the application of the net proceeds of this offering. Pending the application of net proceeds, we expect to invest the net proceeds in short-and intermediate-term, interest-bearing obligations, investment-grade instruments, certificates of deposit or direct or guaranteed obligations of the U.S.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tangible book value as of March 31, 2015 was approximately $18.0 million, or $0.80 per share of our common stock. Net tangible book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value per share is calculated by subtracting our total liabilities from our total tangible assets, which is total assets less intangible assets, and dividing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by the number of shares of our common stock outstanding. After giving effect to the sale by us of our common stock in the aggregate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at an assumed public offering price of $11.54 per share, the last reported sale price of common stock on The NASDAQ Global Market on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2015, and after deducting commissions and estimated offering expenses we expect to pay, our net tangible book value as of March 31, 2015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$42.1 million, or $1.70 per share of our common stock. This represents an immediate increase in the net tangible book value of $0.90 per share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stockholders and an immediate and substantial dilution in net tangible book value of $9.84 per share to new investors. The following table illustrates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per share dilution: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March 31, 2015</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0.80</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0.90</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1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1.70</w:t>
            </w:r>
          </w:p>
        </w:tc>
      </w:tr>
      <w:tr>
        <w:trPr>
          <w:trHeight w:val="210"/>
        </w:trPr>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calculations above are based on 22,551,745 shares of our common stock outstanding as of March 31, 2015. The number of shares of our common stock outstanding as of March 31, 2015 excludes:</w:t>
      </w:r>
    </w:p>
    <w:p>
      <w:pPr>
        <w:spacing w:after="0" w:line="170" w:lineRule="exact"/>
        <w:rPr>
          <w:sz w:val="20"/>
          <w:szCs w:val="20"/>
          <w:color w:val="auto"/>
        </w:rPr>
      </w:pPr>
    </w:p>
    <w:p>
      <w:pPr>
        <w:ind w:left="620" w:hanging="288"/>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4,270,198 shares of common stock issuable upon the exercise of options outstanding at a weighted average exercise price of $7.91 per share; and</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1,193,248 shares of common stock reserved for future issuance under our 2013 Stock Incentive Plan, subject to increase on an annual basis.</w:t>
      </w:r>
    </w:p>
    <w:p>
      <w:pPr>
        <w:sectPr>
          <w:pgSz w:w="11900" w:h="16849" w:orient="portrait"/>
          <w:cols w:equalWidth="0" w:num="1">
            <w:col w:w="11420"/>
          </w:cols>
          <w:pgMar w:left="240" w:top="125" w:right="239" w:bottom="0" w:gutter="0" w:footer="0" w:header="0"/>
        </w:sectPr>
      </w:pPr>
    </w:p>
    <w:bookmarkStart w:id="22" w:name="page23"/>
    <w:bookmarkEnd w:id="22"/>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calculations above also exclude:</w:t>
      </w:r>
    </w:p>
    <w:p>
      <w:pPr>
        <w:spacing w:after="0" w:line="225"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4,907,975 shares of common stock sold in a private placement in April 2015;</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114,300 shares of common stock issuable upon the exercise of outstanding options granted subsequent to March 31, 2015 through May 31, 2015 at a weighted average exercise price of $9.50 per share;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pursuant to our Employee Stock Purchase Plan.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 the extent that any outstanding options are exercised or new options are issued under our stock incentive plan after May 31, 2015, there will be further dilution to investors participating in this offering.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have entered into a Controlled Equity Offering</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sales agreement with Cantor Fitzgerald &amp; Co., or Cantor, under which we may issue and sell shares of our common stock having an aggregate gross sales price of up to $25,000,000 from time to time through Cantor acting as agent. The sales agreement has been filed as an exhibit to our registration statement on Form S-3 of which this prospectus supplement and the accompanying prospectus form a part.</w:t>
      </w:r>
    </w:p>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Upon delivery of a placement notice and subject to the terms and conditions of the sales agreement, Cantor may sell our common stock by any method permitted by law deemed to be an “at-the-market” offering as defined in Rule 415 promulgated under the Securities Act, including sales made directly on The NASDAQ Global Market, on any other existing trading market for our common stock or to or through a market maker. Cantor may also sell our common stock by any other method permitted by law, including in privately negotiated transactions. We may instruct Cantor not to sell common stock if the sales cannot be effected at or above the price designated by us from time to time. We or Cantor may suspend the offering of common stock upon notice and subject to other conditions.</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will pay Cantor commissions, in cash, for its services in acting as agent in the sale of our common stock. Cantor will be entitled to compensation at a fixed commission rate of 3.0% of the aggregate gross sales price per share sold.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its legal counsel in an amount not to exceed $50,000. We estimate that the total expenses for the offering, excluding compensation and reimbursements payable to Cantor under the terms of the sales agreement, will be approximately $125,000.</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Settlement for sales of common stock will occur on the third business day following the date on which any sales are made, or on some other date that is agreed upon by us and Cantor in connection with a particular transaction, in return for payment of the net proceeds to us. Sales of our common stock as contemplated in this prospectus will be settled through the facilities of The Depository Trust Company or by such other means as we and Cantor may agree upon. There is no arrangement for funds to be received in an escrow, trust or similar arrangement.</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Cantor will use its commercially reasonable efforts, consistent with its sales and trading practices, to solicit offers to purchase the common stock shares under the terms and subject to the conditions set forth in the sales agreement. In connection with the sale of the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w:t>
      </w:r>
    </w:p>
    <w:p>
      <w:pPr>
        <w:spacing w:after="0" w:line="18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offering of our common stock pursuant to the sales agreement will terminate upon the earlier of (1) the sale of all shares of our common stock subject to the sales agreement, or (2) termination of the sales agreement as permitted therein. We and Cantor may each terminate the sales agreement at any time upon 10 days’ prior notice.</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the offering is ongoing under this prospectus.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prospectus supplement and the accompanying prospectus in electronic format may be made available on a website maintained by Cantor and Cantor may distribute this prospectus supplement and the accompanying prospectus electronically.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validity of the shares of common stock offered by this prospectus supplement and the accompanying prospectus will be passed upon for us by Pillsbury Winthrop Shaw Pittman LLP, San Francisco and Palo Alto, California. Cantor is being represented in this offering by Reed Smith LLP, New York, New York.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as of and for the year ended December 31, 2014 included in our Annual Report on Form 10-K for the year ended December 31, 2014, as set forth in their report, which is incorporated by</w:t>
      </w:r>
    </w:p>
    <w:p>
      <w:pPr>
        <w:sectPr>
          <w:pgSz w:w="11900" w:h="16975" w:orient="portrait"/>
          <w:cols w:equalWidth="0" w:num="1">
            <w:col w:w="11400"/>
          </w:cols>
          <w:pgMar w:left="240" w:top="341" w:right="259" w:bottom="0" w:gutter="0" w:footer="0" w:header="0"/>
        </w:sectPr>
      </w:pPr>
    </w:p>
    <w:bookmarkStart w:id="23" w:name="page24"/>
    <w:bookmarkEnd w:id="23"/>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reference in this prospectus supplement and elsewhere in the registration statement. Our consolidated financial statements are incorporated by reference in reliance on Ernst &amp; Young LLP’s report, given on their authority as experts in accounting and auditing.</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financial statements as of December 31, 2013 and for each of the two years in the period ended December 31, 2013 incorporated in this Prospectus Supplement and the related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audited historical financial statements of Allegro Diagnostics Corp. included in Veracyte, Inc.’s Current Report on Form 8-K/A dated September 16, 2014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filed a registration statement on Form S-3 with the SEC under the Securities Act of 1933.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supplement or the accompanying prospectus, and any references to this web site or any other web site are inactive textual references only.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503555</wp:posOffset>
            </wp:positionV>
            <wp:extent cx="2229485" cy="1003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948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 to $25,000,000 of Shares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348615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574675</wp:posOffset>
            </wp:positionV>
            <wp:extent cx="1835150" cy="6172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351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is a statement of estimated expenses in connection with the issuance and distribution of the securities being registered, other than underwriting discounts and commissions.</w:t>
      </w:r>
    </w:p>
    <w:p>
      <w:pPr>
        <w:spacing w:after="0" w:line="170" w:lineRule="exact"/>
        <w:rPr>
          <w:sz w:val="20"/>
          <w:szCs w:val="20"/>
          <w:color w:val="auto"/>
        </w:rPr>
      </w:pPr>
    </w:p>
    <w:p>
      <w:pPr>
        <w:spacing w:after="0"/>
        <w:tabs>
          <w:tab w:leader="none" w:pos="8920" w:val="left"/>
          <w:tab w:leader="none" w:pos="9780" w:val="left"/>
        </w:tabs>
        <w:rPr>
          <w:sz w:val="20"/>
          <w:szCs w:val="20"/>
          <w:color w:val="auto"/>
        </w:rPr>
      </w:pPr>
      <w:r>
        <w:rPr>
          <w:rFonts w:ascii="Arial" w:cs="Arial" w:eastAsia="Arial" w:hAnsi="Arial"/>
          <w:sz w:val="18"/>
          <w:szCs w:val="18"/>
          <w:color w:val="auto"/>
        </w:rPr>
        <w:t>SEC Registration Fee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32270" cy="130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270" cy="130175"/>
                    </a:xfrm>
                    <a:prstGeom prst="rect">
                      <a:avLst/>
                    </a:prstGeom>
                    <a:noFill/>
                  </pic:spPr>
                </pic:pic>
              </a:graphicData>
            </a:graphic>
          </wp:anchor>
        </w:drawing>
      </w:r>
    </w:p>
    <w:p>
      <w:pPr>
        <w:sectPr>
          <w:pgSz w:w="11900" w:h="16887" w:orient="portrait"/>
          <w:cols w:equalWidth="0" w:num="1">
            <w:col w:w="11340"/>
          </w:cols>
          <w:pgMar w:left="240" w:top="125" w:right="319" w:bottom="0" w:gutter="0" w:footer="0" w:header="0"/>
        </w:sectPr>
      </w:pPr>
    </w:p>
    <w:bookmarkStart w:id="24" w:name="page25"/>
    <w:bookmarkEnd w:id="24"/>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19,250</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NASDAQ Stock Market Listing Fees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Transfer Agent and Registrar, Trustee and Depositary Fees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23"/>
        </w:trPr>
        <w:tc>
          <w:tcPr>
            <w:tcW w:w="89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r>
      <w:tr>
        <w:trPr>
          <w:trHeight w:val="20"/>
        </w:trPr>
        <w:tc>
          <w:tcPr>
            <w:tcW w:w="8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These fees are calculated based on the securities offered and the number of issuances and, accordingly, cannot be estimated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VIII of the Registrant’s Restated Certificate of Incorporation, Exhibit 3.1 to the Registrant’s Current Report on Form 8-K filed on November 8, 2013, and Article 6 of the Registrant’s Amended and Restated Bylaws, Exhibit 3.2 to the Registrant’s Current Report on Form 8-K filed on November 8, 2013,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700" w:type="dxa"/>
            <w:vAlign w:val="bottom"/>
            <w:gridSpan w:val="4"/>
          </w:tcPr>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i w:val="1"/>
                <w:iCs w:val="1"/>
                <w:color w:val="auto"/>
              </w:rPr>
              <w:t>.</w:t>
            </w:r>
          </w:p>
        </w:tc>
        <w:tc>
          <w:tcPr>
            <w:tcW w:w="40" w:type="dxa"/>
            <w:vAlign w:val="bottom"/>
          </w:tcPr>
          <w:p>
            <w:pPr>
              <w:spacing w:after="0"/>
              <w:rPr>
                <w:sz w:val="20"/>
                <w:szCs w:val="20"/>
                <w:color w:val="auto"/>
              </w:rPr>
            </w:pPr>
          </w:p>
        </w:tc>
      </w:tr>
      <w:tr>
        <w:trPr>
          <w:trHeight w:val="36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 Underwriting Agreement.</w:t>
            </w:r>
          </w:p>
        </w:tc>
        <w:tc>
          <w:tcPr>
            <w:tcW w:w="40" w:type="dxa"/>
            <w:vAlign w:val="bottom"/>
          </w:tcPr>
          <w:p>
            <w:pPr>
              <w:spacing w:after="0"/>
              <w:rPr>
                <w:sz w:val="16"/>
                <w:szCs w:val="16"/>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line="216" w:lineRule="exact"/>
              <w:rPr>
                <w:sz w:val="20"/>
                <w:szCs w:val="20"/>
                <w:color w:val="auto"/>
              </w:rPr>
            </w:pPr>
            <w:r>
              <w:rPr>
                <w:rFonts w:ascii="Arial" w:cs="Arial" w:eastAsia="Arial" w:hAnsi="Arial"/>
                <w:sz w:val="18"/>
                <w:szCs w:val="18"/>
                <w:color w:val="auto"/>
                <w:w w:val="97"/>
              </w:rPr>
              <w:t>Controlled Equity Offering</w:t>
            </w:r>
            <w:r>
              <w:rPr>
                <w:rFonts w:ascii="Arial" w:cs="Arial" w:eastAsia="Arial" w:hAnsi="Arial"/>
                <w:sz w:val="23"/>
                <w:szCs w:val="23"/>
                <w:color w:val="auto"/>
                <w:w w:val="97"/>
                <w:vertAlign w:val="superscript"/>
              </w:rPr>
              <w:t>SM</w:t>
            </w:r>
            <w:r>
              <w:rPr>
                <w:rFonts w:ascii="Arial" w:cs="Arial" w:eastAsia="Arial" w:hAnsi="Arial"/>
                <w:sz w:val="18"/>
                <w:szCs w:val="18"/>
                <w:color w:val="auto"/>
                <w:w w:val="97"/>
              </w:rPr>
              <w:t xml:space="preserve"> Sales Agreement, dated as of June 24, 2015, between the Company and Cantor Fitzgerald &amp; Co.</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Indenture relating to debt securities.</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4"/>
              </w:rPr>
              <w:t>Form of supplemental indenture or other instrument establishing the issuance of one or more series of debt securities (including the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such debt security).</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Warrant Agreement and Warrant Certificate.</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Deposit Agreement.</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Depositary Receipt (included in Exhibit 4.4).</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Specimen Preferred Stock Certificate.</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of Rights Agreement and Rights Certificate.</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Specimen Common Stock Certificate (incorporated by reference to Exhibit 4.1 to the Registrant’s Registration Statement on Form S-1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(File No. 333-191282)).</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Second Amended and Restated Investors Rights Agreement, dated November 6, 2012, between the Registrant and certain investors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(incorporated by reference to Exhibit 4.2 to the Registrant’s Registration Statement on Form S-1 (File No. 333-191282)).</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Amendment to Second Amended and Restated Investors Rights Agreement, dated June 14, 2013, between the Registrant and certain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5"/>
              </w:rPr>
              <w:t>investors (incorporated by reference to Exhibit 4.3 to the Registrant’s Registration Statement on Form S-1 (File No. 333-191282)).</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II-1</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3"/>
          </w:tcPr>
          <w:p>
            <w:pPr>
              <w:spacing w:after="0"/>
              <w:rPr>
                <w:sz w:val="11"/>
                <w:szCs w:val="11"/>
                <w:color w:val="auto"/>
              </w:rPr>
            </w:pPr>
          </w:p>
        </w:tc>
        <w:tc>
          <w:tcPr>
            <w:tcW w:w="1014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14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r>
      <w:tr>
        <w:trPr>
          <w:trHeight w:val="438"/>
        </w:trPr>
        <w:tc>
          <w:tcPr>
            <w:tcW w:w="20" w:type="dxa"/>
            <w:vAlign w:val="bottom"/>
          </w:tcPr>
          <w:p>
            <w:pPr>
              <w:spacing w:after="0"/>
              <w:rPr>
                <w:sz w:val="24"/>
                <w:szCs w:val="24"/>
                <w:color w:val="auto"/>
              </w:rPr>
            </w:pPr>
          </w:p>
        </w:tc>
        <w:tc>
          <w:tcPr>
            <w:tcW w:w="700" w:type="dxa"/>
            <w:vAlign w:val="bottom"/>
            <w:tcBorders>
              <w:top w:val="single" w:sz="8" w:color="0000EE"/>
            </w:tcBorders>
          </w:tcPr>
          <w:p>
            <w:pPr>
              <w:ind w:left="180"/>
              <w:spacing w:after="0"/>
              <w:rPr>
                <w:sz w:val="20"/>
                <w:szCs w:val="20"/>
                <w:color w:val="auto"/>
              </w:rPr>
            </w:pPr>
            <w:r>
              <w:rPr>
                <w:rFonts w:ascii="Arial" w:cs="Arial" w:eastAsia="Arial" w:hAnsi="Arial"/>
                <w:sz w:val="18"/>
                <w:szCs w:val="18"/>
                <w:color w:val="auto"/>
              </w:rPr>
              <w:t>5.1</w:t>
            </w:r>
          </w:p>
        </w:tc>
        <w:tc>
          <w:tcPr>
            <w:tcW w:w="5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Opinion of Pillsbury Winthrop Shaw Pittman LLP.</w:t>
            </w:r>
          </w:p>
        </w:tc>
        <w:tc>
          <w:tcPr>
            <w:tcW w:w="40" w:type="dxa"/>
            <w:vAlign w:val="bottom"/>
          </w:tcPr>
          <w:p>
            <w:pPr>
              <w:spacing w:after="0"/>
              <w:rPr>
                <w:sz w:val="24"/>
                <w:szCs w:val="24"/>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Opinion of Pillsbury Winthrop Shaw Pittman LLP.</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Statement regarding computation of Ratios.</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Pillsbury Winthrop Shaw Pittman LLP (included in Exhibit 5.2).</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23.3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23.4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40" w:type="dxa"/>
            <w:vAlign w:val="bottom"/>
          </w:tcPr>
          <w:p>
            <w:pPr>
              <w:spacing w:after="0"/>
              <w:rPr>
                <w:sz w:val="18"/>
                <w:szCs w:val="18"/>
                <w:color w:val="auto"/>
              </w:rPr>
            </w:pPr>
          </w:p>
        </w:tc>
      </w:tr>
      <w:tr>
        <w:trPr>
          <w:trHeight w:val="216"/>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Power of Attorney (included on the signature page hereof).</w:t>
            </w:r>
          </w:p>
        </w:tc>
        <w:tc>
          <w:tcPr>
            <w:tcW w:w="40" w:type="dxa"/>
            <w:vAlign w:val="bottom"/>
          </w:tcPr>
          <w:p>
            <w:pPr>
              <w:spacing w:after="0"/>
              <w:rPr>
                <w:sz w:val="18"/>
                <w:szCs w:val="18"/>
                <w:color w:val="auto"/>
              </w:rPr>
            </w:pPr>
          </w:p>
        </w:tc>
      </w:tr>
      <w:tr>
        <w:trPr>
          <w:trHeight w:val="230"/>
        </w:trPr>
        <w:tc>
          <w:tcPr>
            <w:tcW w:w="720" w:type="dxa"/>
            <w:vAlign w:val="bottom"/>
            <w:gridSpan w:val="2"/>
          </w:tcPr>
          <w:p>
            <w:pPr>
              <w:ind w:left="20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Form T-1 Statement of Eligibility of the trustee for the debt securities.</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260" w:hanging="412"/>
        <w:spacing w:after="0" w:line="277"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be filed by amendment or pursuant to a report to be filed pursuant to Section 13 or 15(d) of the Securities Exchange Act of 1934, if applicable, and incorporated herein by reference.</w:t>
      </w:r>
    </w:p>
    <w:p>
      <w:pPr>
        <w:spacing w:after="0" w:line="170"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be filed by amendment or pursuant to Trust Indenture Act Section 305(b)(2), if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r>
        <w:rPr>
          <w:rFonts w:ascii="Arial" w:cs="Arial" w:eastAsia="Arial" w:hAnsi="Arial"/>
          <w:sz w:val="18"/>
          <w:szCs w:val="18"/>
          <w:i w:val="1"/>
          <w:i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80" w:hanging="419"/>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80" w:right="160" w:firstLine="881"/>
        <w:spacing w:after="0" w:line="312" w:lineRule="auto"/>
        <w:tabs>
          <w:tab w:leader="none" w:pos="150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w:t>
      </w:r>
    </w:p>
    <w:p>
      <w:pPr>
        <w:sectPr>
          <w:pgSz w:w="11900" w:h="16925" w:orient="portrait"/>
          <w:cols w:equalWidth="0" w:num="1">
            <w:col w:w="11460"/>
          </w:cols>
          <w:pgMar w:left="240" w:top="125" w:right="199" w:bottom="0" w:gutter="0" w:footer="0" w:header="0"/>
        </w:sectPr>
      </w:pPr>
    </w:p>
    <w:bookmarkStart w:id="25" w:name="page26"/>
    <w:bookmarkEnd w:id="25"/>
    <w:p>
      <w:pPr>
        <w:ind w:left="180" w:right="120"/>
        <w:spacing w:after="0" w:line="259" w:lineRule="auto"/>
        <w:rPr>
          <w:sz w:val="20"/>
          <w:szCs w:val="20"/>
          <w:color w:val="auto"/>
        </w:rPr>
      </w:pPr>
      <w:r>
        <w:rPr>
          <w:rFonts w:ascii="Arial" w:cs="Arial" w:eastAsia="Arial" w:hAnsi="Arial"/>
          <w:sz w:val="18"/>
          <w:szCs w:val="18"/>
          <w:color w:val="auto"/>
        </w:rPr>
        <w:t>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7" w:lineRule="exact"/>
        <w:rPr>
          <w:sz w:val="20"/>
          <w:szCs w:val="20"/>
          <w:color w:val="auto"/>
        </w:rPr>
      </w:pPr>
    </w:p>
    <w:p>
      <w:pPr>
        <w:ind w:left="180" w:right="180" w:firstLine="881"/>
        <w:spacing w:after="0" w:line="277" w:lineRule="auto"/>
        <w:tabs>
          <w:tab w:leader="none" w:pos="15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right="100" w:firstLine="656"/>
        <w:spacing w:after="0" w:line="264"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420" w:firstLine="656"/>
        <w:spacing w:after="0" w:line="277"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firstLine="645"/>
        <w:spacing w:after="0" w:line="269" w:lineRule="auto"/>
        <w:tabs>
          <w:tab w:leader="none" w:pos="1967" w:val="left"/>
        </w:tabs>
        <w:numPr>
          <w:ilvl w:val="1"/>
          <w:numId w:val="4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980" w:hanging="675"/>
        <w:spacing w:after="0"/>
        <w:tabs>
          <w:tab w:leader="none" w:pos="1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Rule 424;</w:t>
      </w:r>
    </w:p>
    <w:p>
      <w:pPr>
        <w:spacing w:after="0" w:line="210" w:lineRule="exact"/>
        <w:rPr>
          <w:rFonts w:ascii="Arial" w:cs="Arial" w:eastAsia="Arial" w:hAnsi="Arial"/>
          <w:sz w:val="17"/>
          <w:szCs w:val="17"/>
          <w:color w:val="auto"/>
        </w:rPr>
      </w:pPr>
    </w:p>
    <w:p>
      <w:pPr>
        <w:ind w:left="660" w:right="40" w:firstLine="645"/>
        <w:spacing w:after="0" w:line="277" w:lineRule="auto"/>
        <w:tabs>
          <w:tab w:leader="none" w:pos="19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9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20" w:firstLine="656"/>
        <w:spacing w:after="0" w:line="257" w:lineRule="auto"/>
        <w:tabs>
          <w:tab w:leader="none" w:pos="13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420" w:firstLine="656"/>
        <w:spacing w:after="0" w:line="308" w:lineRule="auto"/>
        <w:tabs>
          <w:tab w:leader="none" w:pos="130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(the “Act”) in accordance with the rules and regulations prescribed by the Commission under Section 305(b)(2) of the Act.</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undersigned registrant hereby undertakes to supplement the prospectus, after the expiration of the subscription period (if any),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125" w:right="239" w:bottom="0" w:gutter="0" w:footer="0" w:header="0"/>
        </w:sectPr>
      </w:pPr>
    </w:p>
    <w:bookmarkStart w:id="26" w:name="page27"/>
    <w:bookmarkEnd w:id="26"/>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2015.</w:t>
      </w:r>
    </w:p>
    <w:p>
      <w:pPr>
        <w:spacing w:after="0" w:line="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Bonnie H. Anderson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Bonnie H. Anderson, Shelly D. Guyer and Julie A. Brooks,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458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22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Bonnie H. Anderson</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 (Principal</w:t>
            </w:r>
          </w:p>
        </w:tc>
        <w:tc>
          <w:tcPr>
            <w:tcW w:w="2280" w:type="dxa"/>
            <w:vAlign w:val="bottom"/>
          </w:tcPr>
          <w:p>
            <w:pPr>
              <w:spacing w:after="0"/>
              <w:rPr>
                <w:sz w:val="20"/>
                <w:szCs w:val="20"/>
                <w:color w:val="auto"/>
              </w:rPr>
            </w:pPr>
            <w:r>
              <w:rPr>
                <w:rFonts w:ascii="Arial" w:cs="Arial" w:eastAsia="Arial" w:hAnsi="Arial"/>
                <w:sz w:val="18"/>
                <w:szCs w:val="18"/>
                <w:color w:val="auto"/>
              </w:rPr>
              <w:t>June 24, 2015</w:t>
            </w:r>
          </w:p>
        </w:tc>
        <w:tc>
          <w:tcPr>
            <w:tcW w:w="40" w:type="dxa"/>
            <w:vAlign w:val="bottom"/>
          </w:tcPr>
          <w:p>
            <w:pPr>
              <w:spacing w:after="0"/>
              <w:rPr>
                <w:sz w:val="24"/>
                <w:szCs w:val="24"/>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color w:val="auto"/>
              </w:rPr>
              <w:t>Bonnie H. Anderson</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Executive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Shelly D. Guyer</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and Accounting</w:t>
            </w:r>
          </w:p>
        </w:tc>
        <w:tc>
          <w:tcPr>
            <w:tcW w:w="2280" w:type="dxa"/>
            <w:vAlign w:val="bottom"/>
          </w:tcPr>
          <w:p>
            <w:pPr>
              <w:spacing w:after="0"/>
              <w:rPr>
                <w:sz w:val="20"/>
                <w:szCs w:val="20"/>
                <w:color w:val="auto"/>
              </w:rPr>
            </w:pPr>
            <w:r>
              <w:rPr>
                <w:rFonts w:ascii="Arial" w:cs="Arial" w:eastAsia="Arial" w:hAnsi="Arial"/>
                <w:sz w:val="18"/>
                <w:szCs w:val="18"/>
                <w:color w:val="auto"/>
              </w:rPr>
              <w:t>June 24, 2015</w:t>
            </w:r>
          </w:p>
        </w:tc>
        <w:tc>
          <w:tcPr>
            <w:tcW w:w="40" w:type="dxa"/>
            <w:vAlign w:val="bottom"/>
          </w:tcPr>
          <w:p>
            <w:pPr>
              <w:spacing w:after="0"/>
              <w:rPr>
                <w:sz w:val="24"/>
                <w:szCs w:val="24"/>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color w:val="auto"/>
              </w:rPr>
              <w:t>Shelly D. Guyer</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 Atwood</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20"/>
                <w:szCs w:val="20"/>
                <w:color w:val="auto"/>
              </w:rPr>
            </w:pPr>
            <w:r>
              <w:rPr>
                <w:rFonts w:ascii="Arial" w:cs="Arial" w:eastAsia="Arial" w:hAnsi="Arial"/>
                <w:sz w:val="18"/>
                <w:szCs w:val="18"/>
                <w:color w:val="auto"/>
              </w:rPr>
              <w:t>June 24, 2015</w:t>
            </w:r>
          </w:p>
        </w:tc>
        <w:tc>
          <w:tcPr>
            <w:tcW w:w="40" w:type="dxa"/>
            <w:vAlign w:val="bottom"/>
          </w:tcPr>
          <w:p>
            <w:pPr>
              <w:spacing w:after="0"/>
              <w:rPr>
                <w:sz w:val="24"/>
                <w:szCs w:val="24"/>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color w:val="auto"/>
              </w:rPr>
              <w:t>Brian G. Atwood</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II-5</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40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L. Bishop</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June 24, 2015</w:t>
            </w:r>
          </w:p>
        </w:tc>
        <w:tc>
          <w:tcPr>
            <w:tcW w:w="40" w:type="dxa"/>
            <w:vAlign w:val="bottom"/>
          </w:tcPr>
          <w:p>
            <w:pPr>
              <w:spacing w:after="0"/>
              <w:rPr>
                <w:sz w:val="24"/>
                <w:szCs w:val="24"/>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color w:val="auto"/>
              </w:rPr>
              <w:t>John L. Bishop</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Fred E. Cohen, M.D., D. Phil.</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June 24, 2015</w:t>
            </w:r>
          </w:p>
        </w:tc>
        <w:tc>
          <w:tcPr>
            <w:tcW w:w="40" w:type="dxa"/>
            <w:vAlign w:val="bottom"/>
          </w:tcPr>
          <w:p>
            <w:pPr>
              <w:spacing w:after="0"/>
              <w:rPr>
                <w:sz w:val="24"/>
                <w:szCs w:val="24"/>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color w:val="auto"/>
              </w:rPr>
              <w:t>Fred E. Cohen, M.D., D. Phil.</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Karin Eastham</w:t>
            </w: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June 24, 2015</w:t>
            </w:r>
          </w:p>
        </w:tc>
        <w:tc>
          <w:tcPr>
            <w:tcW w:w="40" w:type="dxa"/>
            <w:vAlign w:val="bottom"/>
          </w:tcPr>
          <w:p>
            <w:pPr>
              <w:spacing w:after="0"/>
              <w:rPr>
                <w:sz w:val="24"/>
                <w:szCs w:val="24"/>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color w:val="auto"/>
              </w:rPr>
              <w:t>Karin Eastham</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-1931670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4" w:orient="portrait"/>
          <w:cols w:equalWidth="0" w:num="1">
            <w:col w:w="11460"/>
          </w:cols>
          <w:pgMar w:left="240" w:top="517" w:right="199"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 w:leader="none" w:pos="9120" w:val="left"/>
        </w:tabs>
        <w:rPr>
          <w:sz w:val="20"/>
          <w:szCs w:val="20"/>
          <w:color w:val="auto"/>
        </w:rPr>
      </w:pPr>
      <w:r>
        <w:rPr>
          <w:rFonts w:ascii="Arial" w:cs="Arial" w:eastAsia="Arial" w:hAnsi="Arial"/>
          <w:sz w:val="18"/>
          <w:szCs w:val="18"/>
          <w:color w:val="auto"/>
        </w:rPr>
        <w:t>/s/ Robert S. Epstein, M.D., M.S.</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June 24, 2015</w:t>
      </w:r>
    </w:p>
    <w:p>
      <w:pPr>
        <w:spacing w:after="0" w:line="20" w:lineRule="exact"/>
        <w:rPr>
          <w:sz w:val="20"/>
          <w:szCs w:val="20"/>
          <w:color w:val="auto"/>
        </w:rPr>
      </w:pPr>
    </w:p>
    <w:p>
      <w:pPr>
        <w:sectPr>
          <w:pgSz w:w="11900" w:h="16874" w:orient="portrait"/>
          <w:cols w:equalWidth="0" w:num="1">
            <w:col w:w="11460"/>
          </w:cols>
          <w:pgMar w:left="240" w:top="517" w:right="199"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080" w:type="dxa"/>
            <w:vAlign w:val="bottom"/>
            <w:gridSpan w:val="6"/>
          </w:tcPr>
          <w:p>
            <w:pPr>
              <w:spacing w:after="0"/>
              <w:rPr>
                <w:sz w:val="20"/>
                <w:szCs w:val="20"/>
                <w:color w:val="auto"/>
              </w:rPr>
            </w:pPr>
            <w:r>
              <w:rPr>
                <w:rFonts w:ascii="Arial" w:cs="Arial" w:eastAsia="Arial" w:hAnsi="Arial"/>
                <w:sz w:val="18"/>
                <w:szCs w:val="18"/>
                <w:color w:val="auto"/>
              </w:rPr>
              <w:t>Robert S. Epstein, M.D., M.S.</w:t>
            </w:r>
          </w:p>
        </w:tc>
        <w:tc>
          <w:tcPr>
            <w:tcW w:w="4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Evan Jones</w:t>
            </w: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2"/>
          </w:tcPr>
          <w:p>
            <w:pPr>
              <w:ind w:left="480"/>
              <w:spacing w:after="0"/>
              <w:rPr>
                <w:sz w:val="20"/>
                <w:szCs w:val="20"/>
                <w:color w:val="auto"/>
              </w:rPr>
            </w:pPr>
            <w:r>
              <w:rPr>
                <w:rFonts w:ascii="Arial" w:cs="Arial" w:eastAsia="Arial" w:hAnsi="Arial"/>
                <w:sz w:val="18"/>
                <w:szCs w:val="18"/>
                <w:color w:val="auto"/>
              </w:rPr>
              <w:t>June 24, 2015</w:t>
            </w:r>
          </w:p>
        </w:tc>
      </w:tr>
      <w:tr>
        <w:trPr>
          <w:trHeight w:val="224"/>
        </w:trPr>
        <w:tc>
          <w:tcPr>
            <w:tcW w:w="1500" w:type="dxa"/>
            <w:vAlign w:val="bottom"/>
            <w:gridSpan w:val="4"/>
          </w:tcPr>
          <w:p>
            <w:pPr>
              <w:spacing w:after="0"/>
              <w:rPr>
                <w:sz w:val="20"/>
                <w:szCs w:val="20"/>
                <w:color w:val="auto"/>
              </w:rPr>
            </w:pPr>
            <w:r>
              <w:rPr>
                <w:rFonts w:ascii="Arial" w:cs="Arial" w:eastAsia="Arial" w:hAnsi="Arial"/>
                <w:sz w:val="18"/>
                <w:szCs w:val="18"/>
                <w:color w:val="auto"/>
              </w:rPr>
              <w:t>Evan Jones</w:t>
            </w:r>
          </w:p>
        </w:tc>
        <w:tc>
          <w:tcPr>
            <w:tcW w:w="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Jesse I. Treu, Ph.D.</w:t>
            </w:r>
          </w:p>
        </w:tc>
        <w:tc>
          <w:tcPr>
            <w:tcW w:w="45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2"/>
          </w:tcPr>
          <w:p>
            <w:pPr>
              <w:ind w:left="480"/>
              <w:spacing w:after="0"/>
              <w:rPr>
                <w:sz w:val="20"/>
                <w:szCs w:val="20"/>
                <w:color w:val="auto"/>
              </w:rPr>
            </w:pPr>
            <w:r>
              <w:rPr>
                <w:rFonts w:ascii="Arial" w:cs="Arial" w:eastAsia="Arial" w:hAnsi="Arial"/>
                <w:sz w:val="18"/>
                <w:szCs w:val="18"/>
                <w:color w:val="auto"/>
              </w:rPr>
              <w:t>June 24, 2015</w:t>
            </w:r>
          </w:p>
        </w:tc>
      </w:tr>
      <w:tr>
        <w:trPr>
          <w:trHeight w:val="224"/>
        </w:trPr>
        <w:tc>
          <w:tcPr>
            <w:tcW w:w="1500" w:type="dxa"/>
            <w:vAlign w:val="bottom"/>
            <w:gridSpan w:val="4"/>
          </w:tcPr>
          <w:p>
            <w:pPr>
              <w:spacing w:after="0"/>
              <w:rPr>
                <w:sz w:val="20"/>
                <w:szCs w:val="20"/>
                <w:color w:val="auto"/>
              </w:rPr>
            </w:pPr>
            <w:r>
              <w:rPr>
                <w:rFonts w:ascii="Arial" w:cs="Arial" w:eastAsia="Arial" w:hAnsi="Arial"/>
                <w:sz w:val="18"/>
                <w:szCs w:val="18"/>
                <w:color w:val="auto"/>
                <w:w w:val="93"/>
              </w:rPr>
              <w:t>Jesse I. Treu, Ph.D.</w:t>
            </w:r>
          </w:p>
        </w:tc>
        <w:tc>
          <w:tcPr>
            <w:tcW w:w="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jc w:val="center"/>
              <w:ind w:right="1234"/>
              <w:spacing w:after="0"/>
              <w:rPr>
                <w:sz w:val="20"/>
                <w:szCs w:val="20"/>
                <w:color w:val="auto"/>
              </w:rPr>
            </w:pPr>
            <w:r>
              <w:rPr>
                <w:rFonts w:ascii="Arial" w:cs="Arial" w:eastAsia="Arial" w:hAnsi="Arial"/>
                <w:sz w:val="18"/>
                <w:szCs w:val="18"/>
                <w:color w:val="auto"/>
                <w:w w:val="99"/>
              </w:rPr>
              <w:t>II-6</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50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jc w:val="center"/>
              <w:ind w:right="1214"/>
              <w:spacing w:after="0"/>
              <w:rPr>
                <w:sz w:val="20"/>
                <w:szCs w:val="20"/>
                <w:color w:val="auto"/>
              </w:rPr>
            </w:pPr>
            <w:r>
              <w:rPr>
                <w:rFonts w:ascii="Arial" w:cs="Arial" w:eastAsia="Arial" w:hAnsi="Arial"/>
                <w:sz w:val="18"/>
                <w:szCs w:val="18"/>
                <w:b w:val="1"/>
                <w:bCs w:val="1"/>
                <w:color w:val="auto"/>
              </w:rPr>
              <w:t>EXHIBIT INDEX</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ind w:left="2060"/>
              <w:spacing w:after="0"/>
              <w:rPr>
                <w:sz w:val="20"/>
                <w:szCs w:val="20"/>
                <w:color w:val="auto"/>
              </w:rPr>
            </w:pPr>
            <w:r>
              <w:rPr>
                <w:rFonts w:ascii="Arial" w:cs="Arial" w:eastAsia="Arial" w:hAnsi="Arial"/>
                <w:sz w:val="14"/>
                <w:szCs w:val="14"/>
                <w:b w:val="1"/>
                <w:bCs w:val="1"/>
                <w:color w:val="auto"/>
              </w:rPr>
              <w:t>Description</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1.1*</w:t>
            </w:r>
          </w:p>
        </w:tc>
        <w:tc>
          <w:tcPr>
            <w:tcW w:w="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Form of Underwriting Agreement.</w:t>
            </w:r>
          </w:p>
        </w:tc>
        <w:tc>
          <w:tcPr>
            <w:tcW w:w="458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line="216" w:lineRule="exact"/>
              <w:rPr>
                <w:sz w:val="20"/>
                <w:szCs w:val="20"/>
                <w:color w:val="auto"/>
              </w:rPr>
            </w:pPr>
            <w:r>
              <w:rPr>
                <w:rFonts w:ascii="Arial" w:cs="Arial" w:eastAsia="Arial" w:hAnsi="Arial"/>
                <w:sz w:val="18"/>
                <w:szCs w:val="18"/>
                <w:color w:val="auto"/>
                <w:w w:val="97"/>
              </w:rPr>
              <w:t>Controlled Equity Offering</w:t>
            </w:r>
            <w:r>
              <w:rPr>
                <w:rFonts w:ascii="Arial" w:cs="Arial" w:eastAsia="Arial" w:hAnsi="Arial"/>
                <w:sz w:val="23"/>
                <w:szCs w:val="23"/>
                <w:color w:val="auto"/>
                <w:w w:val="97"/>
                <w:vertAlign w:val="superscript"/>
              </w:rPr>
              <w:t>SM</w:t>
            </w:r>
            <w:r>
              <w:rPr>
                <w:rFonts w:ascii="Arial" w:cs="Arial" w:eastAsia="Arial" w:hAnsi="Arial"/>
                <w:sz w:val="18"/>
                <w:szCs w:val="18"/>
                <w:color w:val="auto"/>
                <w:w w:val="97"/>
              </w:rPr>
              <w:t xml:space="preserve"> Sales Agreement, dated as of June 24, 2015, between the Company and Cantor Fitzgerald &amp; Co.</w:t>
            </w: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Form of Indenture relating to debt securities.</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rPr>
                <w:sz w:val="20"/>
                <w:szCs w:val="20"/>
                <w:color w:val="auto"/>
              </w:rPr>
            </w:pPr>
            <w:r>
              <w:rPr>
                <w:rFonts w:ascii="Arial" w:cs="Arial" w:eastAsia="Arial" w:hAnsi="Arial"/>
                <w:sz w:val="18"/>
                <w:szCs w:val="18"/>
                <w:color w:val="auto"/>
                <w:w w:val="94"/>
              </w:rPr>
              <w:t>Form of supplemental indenture or other instrument establishing the issuance of one or more series of debt securities (including the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8"/>
                <w:szCs w:val="18"/>
                <w:color w:val="auto"/>
              </w:rPr>
              <w:t>form of such debt security).</w:t>
            </w:r>
          </w:p>
        </w:tc>
        <w:tc>
          <w:tcPr>
            <w:tcW w:w="4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Form of Warrant Agreement and Warrant Certificate.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8"/>
                <w:szCs w:val="18"/>
                <w:color w:val="auto"/>
              </w:rPr>
              <w:t>Form of Deposit Agreement.</w:t>
            </w:r>
          </w:p>
        </w:tc>
        <w:tc>
          <w:tcPr>
            <w:tcW w:w="4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Form of Depositary Receipt (included in Exhibit 4.4).</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Form of Specimen Preferred Stock Certificate.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Form of Rights Agreement and Rights Certificate.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rPr>
                <w:sz w:val="20"/>
                <w:szCs w:val="20"/>
                <w:color w:val="auto"/>
              </w:rPr>
            </w:pPr>
            <w:r>
              <w:rPr>
                <w:rFonts w:ascii="Arial" w:cs="Arial" w:eastAsia="Arial" w:hAnsi="Arial"/>
                <w:sz w:val="18"/>
                <w:szCs w:val="18"/>
                <w:color w:val="auto"/>
                <w:w w:val="92"/>
              </w:rPr>
              <w:t>Specimen Common Stock Certificate (incorporated by reference to Exhibit 4.1 to the Registrant’s Registration Statement on Form S-1</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8"/>
                <w:szCs w:val="18"/>
                <w:color w:val="auto"/>
              </w:rPr>
              <w:t>(File No. 333-191282)).</w:t>
            </w:r>
          </w:p>
        </w:tc>
        <w:tc>
          <w:tcPr>
            <w:tcW w:w="4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rPr>
                <w:sz w:val="20"/>
                <w:szCs w:val="20"/>
                <w:color w:val="auto"/>
              </w:rPr>
            </w:pPr>
            <w:r>
              <w:rPr>
                <w:rFonts w:ascii="Arial" w:cs="Arial" w:eastAsia="Arial" w:hAnsi="Arial"/>
                <w:sz w:val="18"/>
                <w:szCs w:val="18"/>
                <w:color w:val="auto"/>
                <w:w w:val="93"/>
              </w:rPr>
              <w:t>Second Amended and Restated Investors Rights Agreement, dated November 6, 2012, between the Registrant and certain investors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rPr>
                <w:sz w:val="20"/>
                <w:szCs w:val="20"/>
                <w:color w:val="auto"/>
              </w:rPr>
            </w:pPr>
            <w:r>
              <w:rPr>
                <w:rFonts w:ascii="Arial" w:cs="Arial" w:eastAsia="Arial" w:hAnsi="Arial"/>
                <w:sz w:val="18"/>
                <w:szCs w:val="18"/>
                <w:color w:val="auto"/>
              </w:rPr>
              <w:t>(incorporated by reference to Exhibit 4.2 to the Registrant’s Registration Statement on Form S-1 (File No. 333-191282)).</w:t>
            </w: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rPr>
                <w:sz w:val="20"/>
                <w:szCs w:val="20"/>
                <w:color w:val="auto"/>
              </w:rPr>
            </w:pPr>
            <w:r>
              <w:rPr>
                <w:rFonts w:ascii="Arial" w:cs="Arial" w:eastAsia="Arial" w:hAnsi="Arial"/>
                <w:sz w:val="18"/>
                <w:szCs w:val="18"/>
                <w:color w:val="auto"/>
                <w:w w:val="92"/>
              </w:rPr>
              <w:t>Amendment to Second Amended and Restated Investors Rights Agreement, dated June 14, 2013, between the Registrant and certain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5"/>
          </w:tcPr>
          <w:p>
            <w:pPr>
              <w:ind w:left="80"/>
              <w:spacing w:after="0"/>
              <w:rPr>
                <w:sz w:val="20"/>
                <w:szCs w:val="20"/>
                <w:color w:val="auto"/>
              </w:rPr>
            </w:pPr>
            <w:r>
              <w:rPr>
                <w:rFonts w:ascii="Arial" w:cs="Arial" w:eastAsia="Arial" w:hAnsi="Arial"/>
                <w:sz w:val="18"/>
                <w:szCs w:val="18"/>
                <w:color w:val="auto"/>
                <w:w w:val="95"/>
              </w:rPr>
              <w:t>investors (incorporated by reference to Exhibit 4.3 to the Registrant’s Registration Statement on Form S-1 (File No. 333-191282)).</w:t>
            </w: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Opinion of Pillsbury Winthrop Shaw Pittman LLP.</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Opinion of Pillsbury Winthrop Shaw Pittman LLP.</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Statement regarding computation of Ratios.</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Consent of Pillsbury Winthrop Shaw Pittman LLP (included in Exhibit 5.2).</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w w:val="97"/>
              </w:rPr>
              <w:t>Consent of PricewaterhouseCoopers LLP, Independent Registered Public Accounting Firm.</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w w:val="97"/>
              </w:rPr>
              <w:t>Consent of PricewaterhouseCoopers LLP, Independent Registered Public Accounting Firm.</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Power of Attorney (included on the signature page hereof).</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gridSpan w:val="2"/>
          </w:tcPr>
          <w:p>
            <w:pPr>
              <w:ind w:left="200"/>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60" w:type="dxa"/>
            <w:vAlign w:val="bottom"/>
            <w:gridSpan w:val="3"/>
          </w:tcPr>
          <w:p>
            <w:pPr>
              <w:ind w:left="80"/>
              <w:spacing w:after="0"/>
              <w:rPr>
                <w:sz w:val="20"/>
                <w:szCs w:val="20"/>
                <w:color w:val="auto"/>
              </w:rPr>
            </w:pPr>
            <w:r>
              <w:rPr>
                <w:rFonts w:ascii="Arial" w:cs="Arial" w:eastAsia="Arial" w:hAnsi="Arial"/>
                <w:sz w:val="18"/>
                <w:szCs w:val="18"/>
                <w:color w:val="auto"/>
              </w:rPr>
              <w:t>Form T-1 Statement of Eligibility of the trustee for the debt securities.</w:t>
            </w: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-4469130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-4469130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260" w:hanging="412"/>
        <w:spacing w:after="0" w:line="277" w:lineRule="auto"/>
        <w:tabs>
          <w:tab w:leader="none" w:pos="4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be filed by amendment or pursuant to a report to be filed pursuant to Section 13 or 15(d) of the Securities Exchange Act of 1934, if applicable, and incorporated herein by reference.</w:t>
      </w:r>
    </w:p>
    <w:p>
      <w:pPr>
        <w:spacing w:after="0" w:line="170"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filed by amendment or pursuant to Trust Indenture Act Section 305(b)(2),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Equity Offering</w:t>
      </w:r>
      <w:r>
        <w:rPr>
          <w:rFonts w:ascii="Arial" w:cs="Arial" w:eastAsia="Arial" w:hAnsi="Arial"/>
          <w:sz w:val="23"/>
          <w:szCs w:val="23"/>
          <w:b w:val="1"/>
          <w:bCs w:val="1"/>
          <w:color w:val="auto"/>
          <w:vertAlign w:val="superscript"/>
        </w:rPr>
        <w:t>SM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24,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Veracyte,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Cantor Fitzgerald &amp; Co.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as follows:</w:t>
      </w:r>
    </w:p>
    <w:p>
      <w:pPr>
        <w:spacing w:after="0" w:line="166" w:lineRule="exact"/>
        <w:rPr>
          <w:sz w:val="20"/>
          <w:szCs w:val="20"/>
          <w:color w:val="auto"/>
        </w:rPr>
      </w:pPr>
    </w:p>
    <w:p>
      <w:pPr>
        <w:ind w:right="40" w:firstLine="656"/>
        <w:spacing w:after="0" w:line="268" w:lineRule="auto"/>
        <w:tabs>
          <w:tab w:leader="none" w:pos="129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Issuance and Sale of Shares</w:t>
      </w:r>
      <w:r>
        <w:rPr>
          <w:rFonts w:ascii="Arial" w:cs="Arial" w:eastAsia="Arial" w:hAnsi="Arial"/>
          <w:sz w:val="17"/>
          <w:szCs w:val="17"/>
          <w:color w:val="auto"/>
        </w:rPr>
        <w:t>. The Company agrees that, from time to time during the term of this Agreement, on the terms and subject to the conditions set forth herein, it may in its sole discretion issue and sell through the Agent, up to $25,000,000 of shares of common stock (the “</w:t>
      </w:r>
      <w:r>
        <w:rPr>
          <w:rFonts w:ascii="Arial" w:cs="Arial" w:eastAsia="Arial" w:hAnsi="Arial"/>
          <w:sz w:val="17"/>
          <w:szCs w:val="17"/>
          <w:b w:val="1"/>
          <w:bCs w:val="1"/>
          <w:u w:val="single" w:color="auto"/>
          <w:color w:val="auto"/>
        </w:rPr>
        <w:t>Placement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of the Company, par value $0.001 per share (the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provided, however, that in no event shall the Company issue or sell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the Agent such number or dollar amount of Placement Shares that would (a) exceed the number or dollar amount of shares of Common Stock registered on the effective Registration Statement (as defined below) pursuant to which the offering is being made, (b) exceed the number of authorized but unissued shares of Common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Arial" w:cs="Arial" w:eastAsia="Arial" w:hAnsi="Arial"/>
          <w:sz w:val="17"/>
          <w:szCs w:val="17"/>
          <w:b w:val="1"/>
          <w:bCs w:val="1"/>
          <w:u w:val="single" w:color="auto"/>
          <w:color w:val="auto"/>
        </w:rPr>
        <w:t>Maximum Amount</w:t>
      </w:r>
      <w:r>
        <w:rPr>
          <w:rFonts w:ascii="Arial" w:cs="Arial" w:eastAsia="Arial" w:hAnsi="Arial"/>
          <w:sz w:val="17"/>
          <w:szCs w:val="17"/>
          <w:color w:val="auto"/>
        </w:rPr>
        <w:t xml:space="preserve">”). Notwithstanding anything to the contrary contained herein, the parties hereto agree that compliance with the limitations set forth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on the amount of Placement Shares issued and sold under this Agreement shall be the sole responsibility of the Company and that Agent shall have no obligation in connection with such compliance. The issuance and sale of Placement Shares through Agent will be effected pursuant to the Registration Statement (as defined below) filed by the Company and which will be declared effective by the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although nothing in this Agreement shall be construed as requiring the Company to use the Registration Statement to issue Common Stock.</w:t>
      </w:r>
    </w:p>
    <w:p>
      <w:pPr>
        <w:spacing w:after="0" w:line="184"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The Company has filed or will file, in accordance with the provisions of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and the rules and regulations thereunder (the “</w:t>
      </w:r>
      <w:r>
        <w:rPr>
          <w:rFonts w:ascii="Arial" w:cs="Arial" w:eastAsia="Arial" w:hAnsi="Arial"/>
          <w:sz w:val="18"/>
          <w:szCs w:val="18"/>
          <w:b w:val="1"/>
          <w:bCs w:val="1"/>
          <w:u w:val="single" w:color="auto"/>
          <w:color w:val="auto"/>
        </w:rPr>
        <w:t>Securities Act Regulations</w:t>
      </w:r>
      <w:r>
        <w:rPr>
          <w:rFonts w:ascii="Arial" w:cs="Arial" w:eastAsia="Arial" w:hAnsi="Arial"/>
          <w:sz w:val="18"/>
          <w:szCs w:val="18"/>
          <w:color w:val="auto"/>
        </w:rPr>
        <w:t>”), with the Commission a registration statement on Form S-3, including one or more base prospectuses, relating to certain securities, including the Placement Shares to be issued from time to time by the Company, and which incorporates by reference certain documents that the Company has filed or will file in accordance with the provisions of the Securities Exchange Act of 1934, as amended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and the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regulations thereunder. The Company has prepared a prospectus supplement to the base prospectus included as part of the registration statement, which prospectus supplement specifically relates to the Placement Shares to be issued from time to time by the Company (the “</w:t>
      </w:r>
      <w:r>
        <w:rPr>
          <w:rFonts w:ascii="Arial" w:cs="Arial" w:eastAsia="Arial" w:hAnsi="Arial"/>
          <w:sz w:val="17"/>
          <w:szCs w:val="17"/>
          <w:b w:val="1"/>
          <w:bCs w:val="1"/>
          <w:u w:val="single" w:color="auto"/>
          <w:color w:val="auto"/>
        </w:rPr>
        <w:t>Prospectus Supplement</w:t>
      </w:r>
      <w:r>
        <w:rPr>
          <w:rFonts w:ascii="Arial" w:cs="Arial" w:eastAsia="Arial" w:hAnsi="Arial"/>
          <w:sz w:val="17"/>
          <w:szCs w:val="17"/>
          <w:color w:val="auto"/>
        </w:rPr>
        <w:t>”). The Company will furnish to the Agent, for use by the Agent, copies of the base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any then issued Issuer Free Writing Prospectus(es) (as defined below), is herein called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w:t>
      </w:r>
    </w:p>
    <w:p>
      <w:pPr>
        <w:spacing w:after="0" w:line="18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Any reference herein to the Registration Statement, any Prospectus Supplement, Prospectus or any Issuer Free Writing Prospectus (defined below) shall be deemed to refer to and include the documents, if any, incorporated by reference therein (the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163" w:lineRule="exact"/>
        <w:rPr>
          <w:sz w:val="20"/>
          <w:szCs w:val="20"/>
          <w:color w:val="auto"/>
        </w:rPr>
      </w:pPr>
    </w:p>
    <w:p>
      <w:pPr>
        <w:ind w:right="100" w:firstLine="656"/>
        <w:spacing w:after="0" w:line="256"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Placements</w:t>
      </w:r>
      <w:r>
        <w:rPr>
          <w:rFonts w:ascii="Arial" w:cs="Arial" w:eastAsia="Arial" w:hAnsi="Arial"/>
          <w:sz w:val="18"/>
          <w:szCs w:val="18"/>
          <w:color w:val="auto"/>
        </w:rPr>
        <w:t>. Each time that the Company wishes to issue and sell Placement Shares hereunder (each, a “</w:t>
      </w:r>
      <w:r>
        <w:rPr>
          <w:rFonts w:ascii="Arial" w:cs="Arial" w:eastAsia="Arial" w:hAnsi="Arial"/>
          <w:sz w:val="18"/>
          <w:szCs w:val="18"/>
          <w:b w:val="1"/>
          <w:bCs w:val="1"/>
          <w:u w:val="single" w:color="auto"/>
          <w:color w:val="auto"/>
        </w:rPr>
        <w:t>Placement</w:t>
      </w:r>
      <w:r>
        <w:rPr>
          <w:rFonts w:ascii="Arial" w:cs="Arial" w:eastAsia="Arial" w:hAnsi="Arial"/>
          <w:sz w:val="18"/>
          <w:szCs w:val="18"/>
          <w:color w:val="auto"/>
        </w:rPr>
        <w:t>”), it will notify the Agent by email notice (or other method mutually agreed to in writing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8"/>
          <w:szCs w:val="18"/>
          <w:b w:val="1"/>
          <w:bCs w:val="1"/>
          <w:u w:val="single" w:color="auto"/>
          <w:color w:val="auto"/>
        </w:rPr>
        <w:t>Placement Notice</w:t>
      </w:r>
      <w:r>
        <w:rPr>
          <w:rFonts w:ascii="Arial" w:cs="Arial" w:eastAsia="Arial" w:hAnsi="Arial"/>
          <w:sz w:val="18"/>
          <w:szCs w:val="18"/>
          <w:color w:val="auto"/>
        </w:rPr>
        <w:t xml:space="preserve">”), the form of which is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Placement Notice shall originate from any of the individuals from the Company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(with a copy to each of the other individuals from the Company listed on such schedule), and shall be addressed to each of the individuals from the Agent set forth on</w:t>
      </w:r>
    </w:p>
    <w:p>
      <w:pPr>
        <w:sectPr>
          <w:pgSz w:w="11900" w:h="16838" w:orient="portrait"/>
          <w:cols w:equalWidth="0" w:num="1">
            <w:col w:w="11420"/>
          </w:cols>
          <w:pgMar w:left="240" w:top="121"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29" w:name="page30"/>
    <w:bookmarkEnd w:id="29"/>
    <w:p>
      <w:pPr>
        <w:ind w:right="100"/>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may be amended from time to time. The Placement Notice shall be effective unless and until (i) the Agent declines to accept the terms contained therein for any reason, in its sole discretion, and the Agent provides notice thereof within two (2) Business Days (as defined below) of receipt of such Placement Notice, (ii) the entire amount of the Placement Shares thereunder have been sold, (iii) the Company suspends or terminates the Placement Notice or (iv) this Agreement has been terminated under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 amount of any discount, commission or other compensation to be paid by the Company to Agent in connection with the sale of the Placement Shares shall be calculated in accordance with the terms set forth in </w:t>
      </w:r>
      <w:r>
        <w:rPr>
          <w:rFonts w:ascii="Arial" w:cs="Arial" w:eastAsia="Arial" w:hAnsi="Arial"/>
          <w:sz w:val="16"/>
          <w:szCs w:val="16"/>
          <w:u w:val="single" w:color="auto"/>
          <w:color w:val="auto"/>
        </w:rPr>
        <w:t>Schedule 2</w:t>
      </w:r>
      <w:r>
        <w:rPr>
          <w:rFonts w:ascii="Arial" w:cs="Arial" w:eastAsia="Arial" w:hAnsi="Arial"/>
          <w:sz w:val="16"/>
          <w:szCs w:val="16"/>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67" w:lineRule="exact"/>
        <w:rPr>
          <w:sz w:val="20"/>
          <w:szCs w:val="20"/>
          <w:color w:val="auto"/>
        </w:rPr>
      </w:pPr>
    </w:p>
    <w:p>
      <w:pPr>
        <w:ind w:firstLine="656"/>
        <w:spacing w:after="0" w:line="269" w:lineRule="auto"/>
        <w:tabs>
          <w:tab w:leader="none" w:pos="129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Sale of Placement Shares by Agent</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5(a)</w:t>
      </w:r>
      <w:r>
        <w:rPr>
          <w:rFonts w:ascii="Arial" w:cs="Arial" w:eastAsia="Arial" w:hAnsi="Arial"/>
          <w:sz w:val="17"/>
          <w:szCs w:val="17"/>
          <w:color w:val="auto"/>
        </w:rPr>
        <w:t>, the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7"/>
          <w:szCs w:val="17"/>
          <w:b w:val="1"/>
          <w:bCs w:val="1"/>
          <w:u w:val="single" w:color="auto"/>
          <w:color w:val="auto"/>
        </w:rPr>
        <w:t>Exchange</w:t>
      </w:r>
      <w:r>
        <w:rPr>
          <w:rFonts w:ascii="Arial" w:cs="Arial" w:eastAsia="Arial" w:hAnsi="Arial"/>
          <w:sz w:val="17"/>
          <w:szCs w:val="17"/>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with respect to such sales, and the Net Proceeds (as defined below) payable to the Company, with an itemization of the deductions made by the Agent (as set forth in </w:t>
      </w:r>
      <w:r>
        <w:rPr>
          <w:rFonts w:ascii="Arial" w:cs="Arial" w:eastAsia="Arial" w:hAnsi="Arial"/>
          <w:sz w:val="17"/>
          <w:szCs w:val="17"/>
          <w:u w:val="single" w:color="auto"/>
          <w:color w:val="auto"/>
        </w:rPr>
        <w:t>Section 5(b)</w:t>
      </w:r>
      <w:r>
        <w:rPr>
          <w:rFonts w:ascii="Arial" w:cs="Arial" w:eastAsia="Arial" w:hAnsi="Arial"/>
          <w:sz w:val="17"/>
          <w:szCs w:val="17"/>
          <w:color w:val="auto"/>
        </w:rPr>
        <w:t>) from the gross proceeds that it receives from such sales. Subject to the terms of the Placement Notice, the Agent may sell Placement Shares by any method permitted by law deemed to be an “at the market” offering as defined in Rule 415 of the Securities Act Regulations, including without limitation sales made directly on the Exchange, on any other existing trading market for the Common Stock or to or through a market maker. Subject to the terms of a Placement Notice, the Agent may also sell Placement Shares by any other method permitted by law, including, but not limited to, in privately negotiated transactions. “</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any day on which Common Stock is traded on the Exchange.</w:t>
      </w:r>
    </w:p>
    <w:p>
      <w:pPr>
        <w:spacing w:after="0" w:line="179" w:lineRule="exact"/>
        <w:rPr>
          <w:rFonts w:ascii="Arial" w:cs="Arial" w:eastAsia="Arial" w:hAnsi="Arial"/>
          <w:sz w:val="17"/>
          <w:szCs w:val="17"/>
          <w:color w:val="auto"/>
        </w:rPr>
      </w:pPr>
    </w:p>
    <w:p>
      <w:pPr>
        <w:ind w:firstLine="656"/>
        <w:spacing w:after="0" w:line="272" w:lineRule="auto"/>
        <w:tabs>
          <w:tab w:leader="none" w:pos="129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the Agent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suspend any sale of Placement Shares (a “</w:t>
      </w:r>
      <w:r>
        <w:rPr>
          <w:rFonts w:ascii="Arial" w:cs="Arial" w:eastAsia="Arial" w:hAnsi="Arial"/>
          <w:sz w:val="17"/>
          <w:szCs w:val="17"/>
          <w:b w:val="1"/>
          <w:bCs w:val="1"/>
          <w:u w:val="single" w:color="auto"/>
          <w:color w:val="auto"/>
        </w:rPr>
        <w:t>Suspension</w:t>
      </w:r>
      <w:r>
        <w:rPr>
          <w:rFonts w:ascii="Arial" w:cs="Arial" w:eastAsia="Arial" w:hAnsi="Arial"/>
          <w:sz w:val="17"/>
          <w:szCs w:val="17"/>
          <w:color w:val="auto"/>
        </w:rPr>
        <w:t xml:space="preserve">”); provided, however,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17"/>
          <w:szCs w:val="17"/>
          <w:u w:val="single" w:color="auto"/>
          <w:color w:val="auto"/>
        </w:rPr>
        <w:t>Sections 7(l)</w:t>
      </w:r>
      <w:r>
        <w:rPr>
          <w:rFonts w:ascii="Arial" w:cs="Arial" w:eastAsia="Arial" w:hAnsi="Arial"/>
          <w:sz w:val="17"/>
          <w:szCs w:val="17"/>
          <w:color w:val="auto"/>
        </w:rPr>
        <w:t xml:space="preserve">, </w:t>
      </w:r>
      <w:r>
        <w:rPr>
          <w:rFonts w:ascii="Arial" w:cs="Arial" w:eastAsia="Arial" w:hAnsi="Arial"/>
          <w:sz w:val="17"/>
          <w:szCs w:val="17"/>
          <w:u w:val="single" w:color="auto"/>
          <w:color w:val="auto"/>
        </w:rPr>
        <w:t>7(m)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7(n)</w:t>
      </w:r>
      <w:r>
        <w:rPr>
          <w:rFonts w:ascii="Arial" w:cs="Arial" w:eastAsia="Arial" w:hAnsi="Arial"/>
          <w:sz w:val="17"/>
          <w:szCs w:val="17"/>
          <w:color w:val="auto"/>
        </w:rPr>
        <w:t xml:space="preserve"> with respect to the delivery of certificates, opinions, or comfort letters to the Agent, shall be waived. Each of the parties agrees that no such notice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be effective against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party unless it is made to one of the individuals named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as such Schedule may be amended from time to time.</w:t>
      </w:r>
    </w:p>
    <w:p>
      <w:pPr>
        <w:spacing w:after="0" w:line="22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Sale and Delivery to the Agent; 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0" w:lineRule="auto"/>
        <w:tabs>
          <w:tab w:leader="none" w:pos="1942"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Sale of Placement Shares</w:t>
      </w:r>
      <w:r>
        <w:rPr>
          <w:rFonts w:ascii="Arial" w:cs="Arial" w:eastAsia="Arial" w:hAnsi="Arial"/>
          <w:sz w:val="17"/>
          <w:szCs w:val="17"/>
          <w:i w:val="1"/>
          <w:iCs w:val="1"/>
          <w:color w:val="auto"/>
        </w:rPr>
        <w:t>.</w:t>
      </w:r>
      <w:r>
        <w:rPr>
          <w:rFonts w:ascii="Arial" w:cs="Arial" w:eastAsia="Arial" w:hAnsi="Arial"/>
          <w:sz w:val="17"/>
          <w:szCs w:val="17"/>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77" w:lineRule="exact"/>
        <w:rPr>
          <w:rFonts w:ascii="Arial" w:cs="Arial" w:eastAsia="Arial" w:hAnsi="Arial"/>
          <w:sz w:val="17"/>
          <w:szCs w:val="17"/>
          <w:color w:val="auto"/>
        </w:rPr>
      </w:pPr>
    </w:p>
    <w:p>
      <w:pPr>
        <w:ind w:right="40" w:firstLine="1305"/>
        <w:spacing w:after="0" w:line="279" w:lineRule="auto"/>
        <w:tabs>
          <w:tab w:leader="none" w:pos="1952"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specified in the applicable Placement Notice, settlement for sales of Placement Shares will occur on the third (3</w:t>
      </w:r>
      <w:r>
        <w:rPr>
          <w:rFonts w:ascii="Arial" w:cs="Arial" w:eastAsia="Arial" w:hAnsi="Arial"/>
          <w:sz w:val="20"/>
          <w:szCs w:val="20"/>
          <w:color w:val="auto"/>
          <w:vertAlign w:val="superscript"/>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xml:space="preserve">”). The Agent shall notify the Company of each sale of Placement Shares as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xml:space="preserve">”) will be equal to the aggregate sales price received by the Agent, after deduction for (i) the Agent’s commission, discount or other compensation for such sales payable by the Company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and (ii) any transaction fees imposed by any governmental or self-regulatory organization in respect of such sales.</w:t>
      </w:r>
    </w:p>
    <w:p>
      <w:pPr>
        <w:spacing w:after="0" w:line="175" w:lineRule="exact"/>
        <w:rPr>
          <w:rFonts w:ascii="Arial" w:cs="Arial" w:eastAsia="Arial" w:hAnsi="Arial"/>
          <w:sz w:val="16"/>
          <w:szCs w:val="16"/>
          <w:color w:val="auto"/>
        </w:rPr>
      </w:pPr>
    </w:p>
    <w:p>
      <w:pPr>
        <w:ind w:right="100" w:firstLine="1305"/>
        <w:spacing w:after="0" w:line="253" w:lineRule="auto"/>
        <w:tabs>
          <w:tab w:leader="none" w:pos="1955"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Delivery of Placement Shares</w:t>
      </w:r>
      <w:r>
        <w:rPr>
          <w:rFonts w:ascii="Arial" w:cs="Arial" w:eastAsia="Arial" w:hAnsi="Arial"/>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hereto, it will (i) hold the Agent harmless against any loss, claim, damage, or expense (including reasonable legal fees and expenses), as incurred, arising out of or in connection with such default by the Company or its transfer agent (if applicable) and (ii) pay to the Agent any commission,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discount, or other compensation to which it would otherwise have been entitled absent such default.</w:t>
      </w:r>
    </w:p>
    <w:p>
      <w:pPr>
        <w:sectPr>
          <w:pgSz w:w="11900" w:h="16838" w:orient="portrait"/>
          <w:cols w:equalWidth="0" w:num="1">
            <w:col w:w="11400"/>
          </w:cols>
          <w:pgMar w:left="240" w:top="733" w:right="259" w:bottom="0" w:gutter="0" w:footer="0" w:header="0"/>
        </w:sectPr>
      </w:pPr>
    </w:p>
    <w:bookmarkStart w:id="30" w:name="page31"/>
    <w:bookmarkEnd w:id="30"/>
    <w:p>
      <w:pPr>
        <w:ind w:right="140" w:firstLine="1305"/>
        <w:spacing w:after="0" w:line="259" w:lineRule="auto"/>
        <w:tabs>
          <w:tab w:leader="none" w:pos="195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Denominations; Registration</w:t>
      </w:r>
      <w:r>
        <w:rPr>
          <w:rFonts w:ascii="Arial" w:cs="Arial" w:eastAsia="Arial" w:hAnsi="Arial"/>
          <w:sz w:val="18"/>
          <w:szCs w:val="18"/>
          <w:i w:val="1"/>
          <w:iCs w:val="1"/>
          <w:color w:val="auto"/>
        </w:rPr>
        <w:t>.</w:t>
      </w:r>
      <w:r>
        <w:rPr>
          <w:rFonts w:ascii="Arial" w:cs="Arial" w:eastAsia="Arial" w:hAnsi="Arial"/>
          <w:sz w:val="18"/>
          <w:szCs w:val="18"/>
          <w:color w:val="auto"/>
        </w:rPr>
        <w:t xml:space="preserve"> Certificates for the Placement Shares, if any, shall be in such denominations and registered in such names as the Agent may request in writing at least one full Business Day (as defined below) before the Settlement Date. The certificates for the Placement Shares, if any, will be made available by the Company for examination and packaging by the Agent in The City of New York not later than noon (New York time) on the Business Day prior to the Settlement Date.</w:t>
      </w:r>
    </w:p>
    <w:p>
      <w:pPr>
        <w:spacing w:after="0" w:line="186" w:lineRule="exact"/>
        <w:rPr>
          <w:rFonts w:ascii="Arial" w:cs="Arial" w:eastAsia="Arial" w:hAnsi="Arial"/>
          <w:sz w:val="18"/>
          <w:szCs w:val="18"/>
          <w:color w:val="auto"/>
        </w:rPr>
      </w:pPr>
    </w:p>
    <w:p>
      <w:pPr>
        <w:ind w:right="20" w:firstLine="1305"/>
        <w:spacing w:after="0" w:line="270" w:lineRule="auto"/>
        <w:tabs>
          <w:tab w:leader="none" w:pos="1955"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Limitations on Offering Size</w:t>
      </w:r>
      <w:r>
        <w:rPr>
          <w:rFonts w:ascii="Arial" w:cs="Arial" w:eastAsia="Arial" w:hAnsi="Arial"/>
          <w:sz w:val="17"/>
          <w:szCs w:val="17"/>
          <w:i w:val="1"/>
          <w:iCs w:val="1"/>
          <w:color w:val="auto"/>
        </w:rPr>
        <w:t>.</w:t>
      </w:r>
      <w:r>
        <w:rPr>
          <w:rFonts w:ascii="Arial" w:cs="Arial" w:eastAsia="Arial" w:hAnsi="Arial"/>
          <w:sz w:val="17"/>
          <w:szCs w:val="17"/>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p>
      <w:pPr>
        <w:spacing w:after="0" w:line="181" w:lineRule="exact"/>
        <w:rPr>
          <w:rFonts w:ascii="Arial" w:cs="Arial" w:eastAsia="Arial" w:hAnsi="Arial"/>
          <w:sz w:val="17"/>
          <w:szCs w:val="17"/>
          <w:color w:val="auto"/>
        </w:rPr>
      </w:pPr>
    </w:p>
    <w:p>
      <w:pPr>
        <w:ind w:firstLine="656"/>
        <w:spacing w:after="0" w:line="342" w:lineRule="auto"/>
        <w:tabs>
          <w:tab w:leader="none" w:pos="129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Agent that as of the date of this Agreement and as of each Applicable Time (as defined below), unless such representation, warranty or agreement specifies a different time:</w:t>
      </w:r>
    </w:p>
    <w:p>
      <w:pPr>
        <w:spacing w:after="0" w:line="123" w:lineRule="exact"/>
        <w:rPr>
          <w:rFonts w:ascii="Arial" w:cs="Arial" w:eastAsia="Arial" w:hAnsi="Arial"/>
          <w:sz w:val="16"/>
          <w:szCs w:val="16"/>
          <w:color w:val="auto"/>
        </w:rPr>
      </w:pPr>
    </w:p>
    <w:p>
      <w:pPr>
        <w:ind w:firstLine="1305"/>
        <w:spacing w:after="0" w:line="287" w:lineRule="auto"/>
        <w:tabs>
          <w:tab w:leader="none" w:pos="1942"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the transactions contemplated by this Agreement meet the requirements for and comply with the conditions for the use of Form S-3 under the Securities Act. The Registration Statement has been or will be filed with the Commission and will be declared effective by the Commission under the Securities Act prior to the issuance of any Placement Notices by the Company.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pursuant to this Agreement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amendments or supplements thereto, and all Incorporated Documents that were filed with the Commission on or prior to the date of this Agreement have been delivered, or are available through EDGAR, to Agent and its counsel. The Company has not distributed and, prior to the later to occur of each Settlement Date and completion of the distribution of the Placement Shares, will not distribute any offering material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offering or sale of the Placement Shares other than the Registration Statement and the Prospectus and any Permitted Issuer Free Writing Prospectus (as defined below). The Common Stock is registered pursuant to Section 12(b) of the Exchange Act and is currently listed on the Exchange under the trading symbol “VCYT.”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93" w:lineRule="exact"/>
        <w:rPr>
          <w:sz w:val="20"/>
          <w:szCs w:val="20"/>
          <w:color w:val="auto"/>
        </w:rPr>
      </w:pPr>
    </w:p>
    <w:p>
      <w:pPr>
        <w:ind w:firstLine="1305"/>
        <w:spacing w:after="0" w:line="270" w:lineRule="auto"/>
        <w:tabs>
          <w:tab w:leader="none" w:pos="19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relating to the Placement Shares,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Incorporated Documents did not, and any further Incorporated Documents filed after the date of this Agreement will not, when filed with the Commission, contain an untrue statement of a material fact or omit to state a material fact required to be stated in such document or necessary to make the statements in such document, in the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w:t>
      </w:r>
    </w:p>
    <w:p>
      <w:pPr>
        <w:spacing w:after="0" w:line="181" w:lineRule="exact"/>
        <w:rPr>
          <w:rFonts w:ascii="Arial" w:cs="Arial" w:eastAsia="Arial" w:hAnsi="Arial"/>
          <w:sz w:val="17"/>
          <w:szCs w:val="17"/>
          <w:color w:val="auto"/>
        </w:rPr>
      </w:pPr>
    </w:p>
    <w:p>
      <w:pPr>
        <w:ind w:right="320" w:firstLine="1305"/>
        <w:spacing w:after="0" w:line="279" w:lineRule="auto"/>
        <w:tabs>
          <w:tab w:leader="none" w:pos="195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Conformity with Securities Act and Exchange Act</w:t>
      </w:r>
      <w:r>
        <w:rPr>
          <w:rFonts w:ascii="Arial" w:cs="Arial" w:eastAsia="Arial" w:hAnsi="Arial"/>
          <w:sz w:val="17"/>
          <w:szCs w:val="17"/>
          <w:color w:val="auto"/>
        </w:rPr>
        <w:t>. The Registration Statement, the Prospectus, any Issuer Free Writing Prospectus, or any amendment or supplement to any of the foregoing,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1" w:lineRule="exact"/>
        <w:rPr>
          <w:rFonts w:ascii="Arial" w:cs="Arial" w:eastAsia="Arial" w:hAnsi="Arial"/>
          <w:sz w:val="17"/>
          <w:szCs w:val="17"/>
          <w:color w:val="auto"/>
        </w:rPr>
      </w:pPr>
    </w:p>
    <w:p>
      <w:pPr>
        <w:ind w:firstLine="1305"/>
        <w:spacing w:after="0" w:line="289" w:lineRule="auto"/>
        <w:tabs>
          <w:tab w:leader="none" w:pos="195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to normal year end audit adjustments for interim financial statements) and have been prepared in compliance with the requirements of the Securities Act and Exchange Act, as applicable, and in conformity with generally accepted accounting principles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(except for such adjustments to accounting standards and practices as are noted therein) during the periods involved; the other financial and statistical data with respect to the Company and the Subsidiaries (as defined below) contained or incorporated by reference in the Registration Statement, the Prospectus and the Issuer Free Writing Prospectuses, if any, are accurately and fairly presented in all material respects and prepared on a basis consistent in all material respects with the financial statements and books and records of the Company; there are no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or in an Incorporated Document; and all disclosures contained or incorporated by reference in the Registration Statement, the Prospectus and the Issuer Free</w:t>
      </w:r>
    </w:p>
    <w:p>
      <w:pPr>
        <w:sectPr>
          <w:pgSz w:w="11900" w:h="16838" w:orient="portrait"/>
          <w:cols w:equalWidth="0" w:num="1">
            <w:col w:w="11400"/>
          </w:cols>
          <w:pgMar w:left="240" w:top="341" w:right="259" w:bottom="0" w:gutter="0" w:footer="0" w:header="0"/>
        </w:sectPr>
      </w:pPr>
    </w:p>
    <w:bookmarkStart w:id="31" w:name="page32"/>
    <w:bookmarkEnd w:id="31"/>
    <w:p>
      <w:pPr>
        <w:spacing w:after="0" w:line="10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24" w:lineRule="exact"/>
        <w:rPr>
          <w:sz w:val="20"/>
          <w:szCs w:val="20"/>
          <w:color w:val="auto"/>
        </w:rPr>
      </w:pPr>
    </w:p>
    <w:p>
      <w:pPr>
        <w:ind w:firstLine="1305"/>
        <w:spacing w:after="0" w:line="264" w:lineRule="auto"/>
        <w:tabs>
          <w:tab w:leader="none" w:pos="19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81" w:lineRule="exact"/>
        <w:rPr>
          <w:rFonts w:ascii="Arial" w:cs="Arial" w:eastAsia="Arial" w:hAnsi="Arial"/>
          <w:sz w:val="18"/>
          <w:szCs w:val="18"/>
          <w:color w:val="auto"/>
        </w:rPr>
      </w:pPr>
    </w:p>
    <w:p>
      <w:pPr>
        <w:ind w:right="20" w:firstLine="1305"/>
        <w:spacing w:after="0" w:line="289" w:lineRule="auto"/>
        <w:tabs>
          <w:tab w:leader="none" w:pos="194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and each of its Subsidiaries (as defined below) are, duly organized, validly existing as a corporation and in good standing under the laws of their respective jurisdictions of organization. The Company and each of its Subsidiaries (as defined below)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(as defined below) taken as a whole, or prevent or materially interfere with consummation of the transactions contemplated hereby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right="40" w:firstLine="1305"/>
        <w:spacing w:after="0" w:line="292" w:lineRule="auto"/>
        <w:tabs>
          <w:tab w:leader="none" w:pos="196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The subsidiaries set forth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(collectively, the “</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65" w:lineRule="exact"/>
        <w:rPr>
          <w:rFonts w:ascii="Arial" w:cs="Arial" w:eastAsia="Arial" w:hAnsi="Arial"/>
          <w:sz w:val="16"/>
          <w:szCs w:val="16"/>
          <w:color w:val="auto"/>
        </w:rPr>
      </w:pPr>
    </w:p>
    <w:p>
      <w:pPr>
        <w:ind w:right="360" w:firstLine="1305"/>
        <w:spacing w:after="0" w:line="264" w:lineRule="auto"/>
        <w:tabs>
          <w:tab w:leader="none" w:pos="19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Violation or Default</w:t>
      </w:r>
      <w:r>
        <w:rPr>
          <w:rFonts w:ascii="Arial" w:cs="Arial" w:eastAsia="Arial" w:hAnsi="Arial"/>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reasonably be expected to have a Material Adverse Effect.</w:t>
      </w:r>
    </w:p>
    <w:p>
      <w:pPr>
        <w:spacing w:after="0" w:line="165" w:lineRule="exact"/>
        <w:rPr>
          <w:sz w:val="20"/>
          <w:szCs w:val="20"/>
          <w:color w:val="auto"/>
        </w:rPr>
      </w:pPr>
    </w:p>
    <w:p>
      <w:pPr>
        <w:ind w:right="40" w:firstLine="1305"/>
        <w:spacing w:after="0" w:line="271" w:lineRule="auto"/>
        <w:tabs>
          <w:tab w:leader="none" w:pos="196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Subsequent to the respective dates as of which information is given in the Registration Statement, the Prospectus and the Free Writing Prospectuses, if any (including any Incorporated Documents),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Incorporated Documents).</w:t>
      </w:r>
    </w:p>
    <w:p>
      <w:pPr>
        <w:spacing w:after="0" w:line="178" w:lineRule="exact"/>
        <w:rPr>
          <w:rFonts w:ascii="Arial" w:cs="Arial" w:eastAsia="Arial" w:hAnsi="Arial"/>
          <w:sz w:val="17"/>
          <w:szCs w:val="17"/>
          <w:color w:val="auto"/>
        </w:rPr>
      </w:pPr>
    </w:p>
    <w:p>
      <w:pPr>
        <w:ind w:right="20" w:firstLine="1305"/>
        <w:spacing w:after="0" w:line="269" w:lineRule="auto"/>
        <w:tabs>
          <w:tab w:leader="none" w:pos="195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or other equity awards under the Company’s existing stock plans, or changes in the number of outstanding shares of Common Stock of the Company due to the issuance of shares upon the exercise or conversion of securities exercisable for, or convertible into, Common Stock outstanding on the date hereof or the vesting of restricted stock units outstanding on the date hereof) and such authorized capital stock conforms in all material respects to the description thereof set forth in the Registration Statement and the Prospectus. The description of the Common Stock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82" w:lineRule="exact"/>
        <w:rPr>
          <w:rFonts w:ascii="Arial" w:cs="Arial" w:eastAsia="Arial" w:hAnsi="Arial"/>
          <w:sz w:val="17"/>
          <w:szCs w:val="17"/>
          <w:color w:val="auto"/>
        </w:rPr>
      </w:pPr>
    </w:p>
    <w:p>
      <w:pPr>
        <w:ind w:firstLine="1305"/>
        <w:spacing w:after="0" w:line="277"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full legal right, power and authority to enter into this Agreement and perform the transactions contemplated hereby. This Agreement has been duly authorized, executed and delivered by the Company and is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legal, valid and binding agreement of the Company enforceable against the Company in accordance with its terms, except to the extent that enforceability may be limited by bankruptcy, insolvency, reorganization, moratorium or similar laws affecting creditors’ rights generally and by general equitable principles.</w:t>
      </w:r>
    </w:p>
    <w:p>
      <w:pPr>
        <w:spacing w:after="0" w:line="124" w:lineRule="exact"/>
        <w:rPr>
          <w:sz w:val="20"/>
          <w:szCs w:val="20"/>
          <w:color w:val="auto"/>
        </w:rPr>
      </w:pPr>
    </w:p>
    <w:p>
      <w:pPr>
        <w:ind w:right="200" w:firstLine="1305"/>
        <w:spacing w:after="0" w:line="297" w:lineRule="auto"/>
        <w:tabs>
          <w:tab w:leader="none" w:pos="196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Authorization of Placement Shares</w:t>
      </w:r>
      <w:r>
        <w:rPr>
          <w:rFonts w:ascii="Arial" w:cs="Arial" w:eastAsia="Arial" w:hAnsi="Arial"/>
          <w:sz w:val="16"/>
          <w:szCs w:val="16"/>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 or purchaser), including any statutory or contractual preemptive rights, resale rights, rights of first refusal or other similar rights, and will be registered pursuant to Section 12 of the</w:t>
      </w:r>
    </w:p>
    <w:p>
      <w:pPr>
        <w:sectPr>
          <w:pgSz w:w="11900" w:h="16941" w:orient="portrait"/>
          <w:cols w:equalWidth="0" w:num="1">
            <w:col w:w="11400"/>
          </w:cols>
          <w:pgMar w:left="240" w:top="125" w:right="259" w:bottom="0" w:gutter="0" w:footer="0" w:header="0"/>
        </w:sectPr>
      </w:pPr>
    </w:p>
    <w:bookmarkStart w:id="32" w:name="page33"/>
    <w:bookmarkEnd w:id="32"/>
    <w:p>
      <w:pPr>
        <w:ind w:right="580"/>
        <w:spacing w:after="0" w:line="277" w:lineRule="auto"/>
        <w:rPr>
          <w:sz w:val="20"/>
          <w:szCs w:val="20"/>
          <w:color w:val="auto"/>
        </w:rPr>
      </w:pPr>
      <w:r>
        <w:rPr>
          <w:rFonts w:ascii="Arial" w:cs="Arial" w:eastAsia="Arial" w:hAnsi="Arial"/>
          <w:sz w:val="18"/>
          <w:szCs w:val="18"/>
          <w:color w:val="auto"/>
        </w:rPr>
        <w:t>Exchange Act. The Placement Shares, when issued, will conform in all material respects to the description thereof set forth in or incorporated into the Prospectus.</w:t>
      </w:r>
    </w:p>
    <w:p>
      <w:pPr>
        <w:spacing w:after="0" w:line="170" w:lineRule="exact"/>
        <w:rPr>
          <w:sz w:val="20"/>
          <w:szCs w:val="20"/>
          <w:color w:val="auto"/>
        </w:rPr>
      </w:pPr>
    </w:p>
    <w:p>
      <w:pPr>
        <w:ind w:right="20" w:firstLine="1305"/>
        <w:spacing w:after="0" w:line="257" w:lineRule="auto"/>
        <w:tabs>
          <w:tab w:leader="none" w:pos="194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Consents Required</w:t>
      </w:r>
      <w:r>
        <w:rPr>
          <w:rFonts w:ascii="Arial" w:cs="Arial" w:eastAsia="Arial" w:hAnsi="Arial"/>
          <w:sz w:val="18"/>
          <w:szCs w:val="18"/>
          <w:color w:val="auto"/>
        </w:rPr>
        <w:t>. No consent, approval, authorization, order, registration or qualification of or with any court or arbitrator or governmental or regulatory authority is required for the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or the Exchange in connection with the sale of the Placement Shares by the Agent.</w:t>
      </w:r>
    </w:p>
    <w:p>
      <w:pPr>
        <w:spacing w:after="0" w:line="188" w:lineRule="exact"/>
        <w:rPr>
          <w:rFonts w:ascii="Arial" w:cs="Arial" w:eastAsia="Arial" w:hAnsi="Arial"/>
          <w:sz w:val="18"/>
          <w:szCs w:val="18"/>
          <w:color w:val="auto"/>
        </w:rPr>
      </w:pPr>
    </w:p>
    <w:p>
      <w:pPr>
        <w:ind w:right="40" w:firstLine="1305"/>
        <w:spacing w:after="0" w:line="269" w:lineRule="auto"/>
        <w:tabs>
          <w:tab w:leader="none" w:pos="195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 Preferential Rights</w:t>
      </w:r>
      <w:r>
        <w:rPr>
          <w:rFonts w:ascii="Arial" w:cs="Arial" w:eastAsia="Arial" w:hAnsi="Arial"/>
          <w:sz w:val="17"/>
          <w:szCs w:val="17"/>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(other than upon the exercise of options or warrants to purchase Common Stock or upon the vesting of restricted stock units or stock awards that may be granted from time to time under the Company’s stock plans),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for such rights as have been waived in writing on or prior to the date hereof.</w:t>
      </w:r>
    </w:p>
    <w:p>
      <w:pPr>
        <w:spacing w:after="0" w:line="178" w:lineRule="exact"/>
        <w:rPr>
          <w:rFonts w:ascii="Arial" w:cs="Arial" w:eastAsia="Arial" w:hAnsi="Arial"/>
          <w:sz w:val="17"/>
          <w:szCs w:val="17"/>
          <w:color w:val="auto"/>
        </w:rPr>
      </w:pPr>
    </w:p>
    <w:p>
      <w:pPr>
        <w:ind w:firstLine="1305"/>
        <w:spacing w:after="0" w:line="270" w:lineRule="auto"/>
        <w:tabs>
          <w:tab w:leader="none" w:pos="195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Independent Public Accounting Firm</w:t>
      </w:r>
      <w:r>
        <w:rPr>
          <w:rFonts w:ascii="Arial" w:cs="Arial" w:eastAsia="Arial" w:hAnsi="Arial"/>
          <w:sz w:val="17"/>
          <w:szCs w:val="17"/>
          <w:color w:val="auto"/>
        </w:rPr>
        <w:t>. PricewaterhouseCoopers LLP (the “</w:t>
      </w:r>
      <w:r>
        <w:rPr>
          <w:rFonts w:ascii="Arial" w:cs="Arial" w:eastAsia="Arial" w:hAnsi="Arial"/>
          <w:sz w:val="17"/>
          <w:szCs w:val="17"/>
          <w:b w:val="1"/>
          <w:bCs w:val="1"/>
          <w:u w:val="single" w:color="auto"/>
          <w:color w:val="auto"/>
        </w:rPr>
        <w:t>Former Accountant</w:t>
      </w:r>
      <w:r>
        <w:rPr>
          <w:rFonts w:ascii="Arial" w:cs="Arial" w:eastAsia="Arial" w:hAnsi="Arial"/>
          <w:sz w:val="17"/>
          <w:szCs w:val="17"/>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during the periods covered by their report, was an independent registered public accounting firm within the meaning of the Securities Act and the Public Company Accounting Oversight Board (United States). To the Company’s knowledge, the Former Accountant is not in violation of the auditor independence requirements of the Sarbanes-Oxley Act of 2002 (the “</w:t>
      </w:r>
      <w:r>
        <w:rPr>
          <w:rFonts w:ascii="Arial" w:cs="Arial" w:eastAsia="Arial" w:hAnsi="Arial"/>
          <w:sz w:val="17"/>
          <w:szCs w:val="17"/>
          <w:b w:val="1"/>
          <w:bCs w:val="1"/>
          <w:u w:val="single" w:color="auto"/>
          <w:color w:val="auto"/>
        </w:rPr>
        <w:t>Sarbanes-Oxley Act</w:t>
      </w:r>
      <w:r>
        <w:rPr>
          <w:rFonts w:ascii="Arial" w:cs="Arial" w:eastAsia="Arial" w:hAnsi="Arial"/>
          <w:sz w:val="17"/>
          <w:szCs w:val="17"/>
          <w:color w:val="auto"/>
        </w:rPr>
        <w:t>”) with respect to the Company. Ernst &amp; Young LLP (the “</w:t>
      </w:r>
      <w:r>
        <w:rPr>
          <w:rFonts w:ascii="Arial" w:cs="Arial" w:eastAsia="Arial" w:hAnsi="Arial"/>
          <w:sz w:val="17"/>
          <w:szCs w:val="17"/>
          <w:b w:val="1"/>
          <w:bCs w:val="1"/>
          <w:u w:val="single" w:color="auto"/>
          <w:color w:val="auto"/>
        </w:rPr>
        <w:t>Company Accountant</w:t>
      </w:r>
      <w:r>
        <w:rPr>
          <w:rFonts w:ascii="Arial" w:cs="Arial" w:eastAsia="Arial" w:hAnsi="Arial"/>
          <w:sz w:val="17"/>
          <w:szCs w:val="17"/>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during the periods covered by their report, was and currently is an independent registered public accounting firm within the meaning of the Securities Act and the Public Company Accounting Oversight Board (United States). To the Company’s knowledge, the Company Accountant is not in violation of the auditor independence requirements of the Sarbanes-Oxley Act with respect to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73" w:lineRule="auto"/>
        <w:tabs>
          <w:tab w:leader="none" w:pos="195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Enforceability of Agreements</w:t>
      </w:r>
      <w:r>
        <w:rPr>
          <w:rFonts w:ascii="Arial" w:cs="Arial" w:eastAsia="Arial" w:hAnsi="Arial"/>
          <w:sz w:val="17"/>
          <w:szCs w:val="17"/>
          <w:color w:val="auto"/>
        </w:rPr>
        <w:t>. All agreements between the Company and third parties expressly referenced in the Prospectus, other than such agreements that have been terminated or have expired by their terms,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reasonably be expected to have a Material Adverse Effect.</w:t>
      </w:r>
    </w:p>
    <w:p>
      <w:pPr>
        <w:spacing w:after="0" w:line="178" w:lineRule="exact"/>
        <w:rPr>
          <w:rFonts w:ascii="Arial" w:cs="Arial" w:eastAsia="Arial" w:hAnsi="Arial"/>
          <w:sz w:val="17"/>
          <w:szCs w:val="17"/>
          <w:color w:val="auto"/>
        </w:rPr>
      </w:pPr>
    </w:p>
    <w:p>
      <w:pPr>
        <w:ind w:right="40" w:firstLine="1305"/>
        <w:spacing w:after="0" w:line="270" w:lineRule="auto"/>
        <w:tabs>
          <w:tab w:leader="none" w:pos="195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Except as set forth in the Registration Statement or the Prospectus, (i) there are no legal, governmental or regulatory actions, suits or proceedings pending, nor, to the Company’s knowledge, any legal, governmental or regulatory audits or investigations, to which the Company or a Subsidiary is a party or to which any property of the Company or any of its Subsidiaries is the subject that, individually or in the aggregate, if determined adversely to the Company or any of its Subsidiaries, would reasonably be expected to have a Material Adverse Effect or materially and adversely affect the ability of the Company to perform its obligations under this Agreement; (ii) to the Company’s knowledge, no such actions, suits or proceedings are threatened or contemplated by any governmental or regulatory authority or threatened by others; (iii) there are no current or pending legal, governmental or regulatory audits, actions, suits, proceedings or, to the Company’s knowledge, investigations that are required under the Securities Act to be described in the Prospectus that are not so described; and (iv) there are no contracts or other documents that are required under the Securities Act to be filed as exhibits to the Registration Statement that are not so filed.</w:t>
      </w:r>
    </w:p>
    <w:p>
      <w:pPr>
        <w:spacing w:after="0" w:line="181" w:lineRule="exact"/>
        <w:rPr>
          <w:rFonts w:ascii="Arial" w:cs="Arial" w:eastAsia="Arial" w:hAnsi="Arial"/>
          <w:sz w:val="17"/>
          <w:szCs w:val="17"/>
          <w:color w:val="auto"/>
        </w:rPr>
      </w:pPr>
    </w:p>
    <w:p>
      <w:pPr>
        <w:ind w:right="60" w:firstLine="1305"/>
        <w:spacing w:after="0" w:line="270" w:lineRule="auto"/>
        <w:tabs>
          <w:tab w:leader="none" w:pos="1963"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Consents and Permits</w:t>
      </w:r>
      <w:r>
        <w:rPr>
          <w:rFonts w:ascii="Arial" w:cs="Arial" w:eastAsia="Arial" w:hAnsi="Arial"/>
          <w:sz w:val="17"/>
          <w:szCs w:val="17"/>
          <w:color w:val="auto"/>
        </w:rPr>
        <w:t>. Except as disclosed in the Registration Statement and the Prospectus,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or regulatory authorities (including, without limitation, the United States Food and Drug Administration (the “</w:t>
      </w:r>
      <w:r>
        <w:rPr>
          <w:rFonts w:ascii="Arial" w:cs="Arial" w:eastAsia="Arial" w:hAnsi="Arial"/>
          <w:sz w:val="17"/>
          <w:szCs w:val="17"/>
          <w:b w:val="1"/>
          <w:bCs w:val="1"/>
          <w:u w:val="single" w:color="auto"/>
          <w:color w:val="auto"/>
        </w:rPr>
        <w:t>FDA</w:t>
      </w:r>
      <w:r>
        <w:rPr>
          <w:rFonts w:ascii="Arial" w:cs="Arial" w:eastAsia="Arial" w:hAnsi="Arial"/>
          <w:sz w:val="17"/>
          <w:szCs w:val="17"/>
          <w:color w:val="auto"/>
        </w:rPr>
        <w:t>”), the United States Drug Enforcement Administration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their respective businesses as described in the Registration Statement and the Prospectus (collectively,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except for such Permits the failure of which to possess, obtain or make the same would not reasonably be expected to have a Material Adverse Effect; the Company and its Subsidiaries are in compliance with the terms and conditions of all such Permits, except where the failure to be in compliance would not reasonably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be expected to have a Material Adverse Effect; all of the Permits are valid and in full force and effect, except where any invalidity, individually or in the aggregate, would not reasonably be expected to have a Material Adverse Effect; and neither the Company nor any of its Subsidiaries has received any written notice of proceedings relating to the limitation, revocation, cancellation, suspension, modification or non-renewal of any such Permit which, individually or in the aggregate, if the subject of an unfavorable decision, ruling or finding, would reasonably be expected to have a Material Adverse Effect, and has any reason to believe that any such license, certificate, permit or authorization will not be renewed in the ordinary course to the extent requried.</w:t>
      </w:r>
    </w:p>
    <w:p>
      <w:pPr>
        <w:sectPr>
          <w:pgSz w:w="11900" w:h="16838" w:orient="portrait"/>
          <w:cols w:equalWidth="0" w:num="1">
            <w:col w:w="11420"/>
          </w:cols>
          <w:pgMar w:left="240" w:top="125" w:right="239" w:bottom="0" w:gutter="0" w:footer="0" w:header="0"/>
        </w:sectPr>
      </w:pPr>
    </w:p>
    <w:bookmarkStart w:id="33" w:name="page34"/>
    <w:bookmarkEnd w:id="33"/>
    <w:p>
      <w:pPr>
        <w:spacing w:after="0" w:line="95" w:lineRule="exact"/>
        <w:rPr>
          <w:sz w:val="20"/>
          <w:szCs w:val="20"/>
          <w:color w:val="auto"/>
        </w:rPr>
      </w:pPr>
    </w:p>
    <w:p>
      <w:pPr>
        <w:ind w:right="40" w:firstLine="1305"/>
        <w:spacing w:after="0" w:line="288" w:lineRule="auto"/>
        <w:tabs>
          <w:tab w:leader="none" w:pos="195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Regulatory Filings</w:t>
      </w:r>
      <w:r>
        <w:rPr>
          <w:rFonts w:ascii="Arial" w:cs="Arial" w:eastAsia="Arial" w:hAnsi="Arial"/>
          <w:sz w:val="16"/>
          <w:szCs w:val="16"/>
          <w:color w:val="auto"/>
        </w:rPr>
        <w:t>. Except as disclosed in the Registration Statement and the Prospectus, neither the Company nor any of its Subsidiaries has failed to file with the applicable regulatory authorities (including, without limitation, the FDA, or any foreign, federal, state, provincial or local governmental or regulatory authority performing functions similar to those performed by the FDA) any required filing, declaration, listing, registration, report or submission, except for such failures that, individually or in the aggregate, would not reasonably be expected to have a Material Adverse Effect; except as disclosed in the Registration Statement and the Prospectus, all such filings, declarations, listings, registrations, reports or submissions were in compliance in all material respects with applicable laws when filed and no deficiencies have been asserted by any applicable regulatory authority with respect to any such filings, declarations, listings, registrations, reports or submissions, except for any failure to comply or deficiencies that, individually or in the aggregate, would not reasonably be expected to have a Material Adverse Effect. Except as disclosed in the Registration Statement and the Prospectus, the Company has operated and currently is, in all material respects, in compliance with the United States Federal Food, Drug, and Cosmetic Act, all applicable rules and regulations of the FDA and other federal, state, local and foreign governmental bodies exercising comparable authority.</w:t>
      </w:r>
    </w:p>
    <w:p>
      <w:pPr>
        <w:spacing w:after="0" w:line="169" w:lineRule="exact"/>
        <w:rPr>
          <w:rFonts w:ascii="Arial" w:cs="Arial" w:eastAsia="Arial" w:hAnsi="Arial"/>
          <w:sz w:val="16"/>
          <w:szCs w:val="16"/>
          <w:color w:val="auto"/>
        </w:rPr>
      </w:pPr>
    </w:p>
    <w:p>
      <w:pPr>
        <w:ind w:firstLine="1305"/>
        <w:spacing w:after="0" w:line="269" w:lineRule="auto"/>
        <w:tabs>
          <w:tab w:leader="none" w:pos="1953"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disclosed in the Registration Statement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reasonably necessary for the conduct of their respective businesses as now conducted except to the extent that the failure to own, possess, license or otherwise hold adequate rights to use such Intellectual Property would not, individually or in the aggregate, reasonably be expected to have a Material Adverse Effect. Except as disclosed in the Registration Statement and the Prospectus (i) to the Company’s knowledge,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w:t>
      </w:r>
    </w:p>
    <w:p>
      <w:pPr>
        <w:ind w:right="40" w:firstLine="8"/>
        <w:spacing w:after="0" w:line="252"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has been commenced against any patent or patent application described in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(x) in the case of any of clauses (i)-(vii) above, for any such infringement by third parties or any such pending or threatened suit, action, proceeding or claim as would not, individually or in the aggregate, reasonably be expected to result in a Material Adverse Effect, and (y) in the case of clause (vii) above, for any non-compliance as would not, individually or in the aggregate, reasonably be expected to result in a Material Adverse Effect.</w:t>
      </w:r>
    </w:p>
    <w:p>
      <w:pPr>
        <w:spacing w:after="0" w:line="194" w:lineRule="exact"/>
        <w:rPr>
          <w:rFonts w:ascii="Arial" w:cs="Arial" w:eastAsia="Arial" w:hAnsi="Arial"/>
          <w:sz w:val="18"/>
          <w:szCs w:val="18"/>
          <w:color w:val="auto"/>
        </w:rPr>
      </w:pPr>
    </w:p>
    <w:p>
      <w:pPr>
        <w:ind w:right="20" w:firstLine="1305"/>
        <w:spacing w:after="0" w:line="270" w:lineRule="auto"/>
        <w:tabs>
          <w:tab w:leader="none" w:pos="1952"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Clinical Studies</w:t>
      </w:r>
      <w:r>
        <w:rPr>
          <w:rFonts w:ascii="Arial" w:cs="Arial" w:eastAsia="Arial" w:hAnsi="Arial"/>
          <w:sz w:val="17"/>
          <w:szCs w:val="17"/>
          <w:color w:val="auto"/>
        </w:rPr>
        <w:t>. To the Company’s knowledge, the clinical studies and tests and clinical trials conducted by or on behalf of the Company that are described in the Registration Statement and the Prospectus were, and, if still pending, are, to the Company’s knowledge,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Registration Statement and the Prospectus are accurate and complete in all material respects; the Company is not aware of any studies, tests or trials not described in the Registration Statement and the Prospectus, the results of which reasonably call into question in any material respect the results of the studies, tests and trials described in the Registration Statement and the Prospectus; and the Company has not received any written notice or correspondence from the FDA or any foreign, state or local governmental body exercising comparable authority or any institutional review board or comparable authority requiring the termination, suspension, clinical hold or material modification of any studies, tests or trials that are described in the Registration Statement and the Prospectus.</w:t>
      </w:r>
    </w:p>
    <w:p>
      <w:pPr>
        <w:spacing w:after="0" w:line="177" w:lineRule="exact"/>
        <w:rPr>
          <w:rFonts w:ascii="Arial" w:cs="Arial" w:eastAsia="Arial" w:hAnsi="Arial"/>
          <w:sz w:val="17"/>
          <w:szCs w:val="17"/>
          <w:color w:val="auto"/>
        </w:rPr>
      </w:pPr>
    </w:p>
    <w:p>
      <w:pPr>
        <w:ind w:right="240" w:firstLine="1305"/>
        <w:spacing w:after="0" w:line="255" w:lineRule="auto"/>
        <w:tabs>
          <w:tab w:leader="none" w:pos="195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Market Capitalization</w:t>
      </w:r>
      <w:r>
        <w:rPr>
          <w:rFonts w:ascii="Arial" w:cs="Arial" w:eastAsia="Arial" w:hAnsi="Arial"/>
          <w:sz w:val="18"/>
          <w:szCs w:val="18"/>
          <w:color w:val="auto"/>
        </w:rPr>
        <w:t>. At the time the Registration Statement was or will be originally declared effective, and at the time any subsequent Annual Reports on Form 10-K are filed with the Commission, the Company met or will meet the then applicable requirements for the use of Form S-3 under the Securities Act, including, but not limited to, General Instruction I.B.1 of Form S-3 (or in the case of subsequent Annual Reports on Form 10-K, General Instruction I.B.1 or General Instruction I.B.6).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89" w:lineRule="exact"/>
        <w:rPr>
          <w:rFonts w:ascii="Arial" w:cs="Arial" w:eastAsia="Arial" w:hAnsi="Arial"/>
          <w:sz w:val="18"/>
          <w:szCs w:val="18"/>
          <w:color w:val="auto"/>
        </w:rPr>
      </w:pPr>
    </w:p>
    <w:p>
      <w:pPr>
        <w:ind w:right="180" w:firstLine="1305"/>
        <w:spacing w:after="0" w:line="264" w:lineRule="auto"/>
        <w:tabs>
          <w:tab w:leader="none" w:pos="196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66" w:lineRule="exact"/>
        <w:rPr>
          <w:sz w:val="20"/>
          <w:szCs w:val="20"/>
          <w:color w:val="auto"/>
        </w:rPr>
      </w:pPr>
    </w:p>
    <w:p>
      <w:pPr>
        <w:ind w:right="80" w:firstLine="1305"/>
        <w:spacing w:after="0" w:line="259" w:lineRule="auto"/>
        <w:tabs>
          <w:tab w:leader="none" w:pos="195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any of the Subsidiaries, nor, to the knowledge of the Company,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86"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Broker/Dealer Relationships</w:t>
      </w:r>
      <w:r>
        <w:rPr>
          <w:rFonts w:ascii="Arial" w:cs="Arial" w:eastAsia="Arial" w:hAnsi="Arial"/>
          <w:sz w:val="17"/>
          <w:szCs w:val="17"/>
          <w:color w:val="auto"/>
        </w:rPr>
        <w:t>. Neither the Company nor any of the Subsidiaries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ectPr>
          <w:pgSz w:w="11900" w:h="16934" w:orient="portrait"/>
          <w:cols w:equalWidth="0" w:num="1">
            <w:col w:w="11420"/>
          </w:cols>
          <w:pgMar w:left="240" w:top="125" w:right="239" w:bottom="0" w:gutter="0" w:footer="0" w:header="0"/>
        </w:sectPr>
      </w:pPr>
    </w:p>
    <w:bookmarkStart w:id="34" w:name="page35"/>
    <w:bookmarkEnd w:id="34"/>
    <w:p>
      <w:pPr>
        <w:spacing w:after="0" w:line="72" w:lineRule="exact"/>
        <w:rPr>
          <w:sz w:val="20"/>
          <w:szCs w:val="20"/>
          <w:color w:val="auto"/>
        </w:rPr>
      </w:pPr>
    </w:p>
    <w:p>
      <w:pPr>
        <w:ind w:right="40" w:firstLine="1305"/>
        <w:spacing w:after="0" w:line="277" w:lineRule="auto"/>
        <w:tabs>
          <w:tab w:leader="none" w:pos="195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the Agent or legal counsel for the Agent for any legal, tax or accounting advice in connection with the offering and sale of the Placement Shares.</w:t>
      </w:r>
    </w:p>
    <w:p>
      <w:pPr>
        <w:spacing w:after="0" w:line="170" w:lineRule="exact"/>
        <w:rPr>
          <w:sz w:val="20"/>
          <w:szCs w:val="20"/>
          <w:color w:val="auto"/>
        </w:rPr>
      </w:pPr>
    </w:p>
    <w:p>
      <w:pPr>
        <w:ind w:right="40" w:firstLine="1305"/>
        <w:spacing w:after="0" w:line="255" w:lineRule="auto"/>
        <w:tabs>
          <w:tab w:leader="none" w:pos="192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reasonably be expected to have a Material Adverse Effect.</w:t>
      </w:r>
    </w:p>
    <w:p>
      <w:pPr>
        <w:spacing w:after="0" w:line="189" w:lineRule="exact"/>
        <w:rPr>
          <w:rFonts w:ascii="Arial" w:cs="Arial" w:eastAsia="Arial" w:hAnsi="Arial"/>
          <w:sz w:val="18"/>
          <w:szCs w:val="18"/>
          <w:color w:val="auto"/>
        </w:rPr>
      </w:pPr>
    </w:p>
    <w:p>
      <w:pPr>
        <w:ind w:firstLine="1305"/>
        <w:spacing w:after="0" w:line="270" w:lineRule="auto"/>
        <w:tabs>
          <w:tab w:leader="none" w:pos="194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Title to Real and Personal Property</w:t>
      </w:r>
      <w:r>
        <w:rPr>
          <w:rFonts w:ascii="Arial" w:cs="Arial" w:eastAsia="Arial" w:hAnsi="Arial"/>
          <w:sz w:val="17"/>
          <w:szCs w:val="17"/>
          <w:color w:val="auto"/>
        </w:rPr>
        <w:t>. Except as set forth in the Registration Statement or the Prospectus, the Company and its Subsidiaries have good and marketable title in fee simple to all items of real property owned by them, good and valid title to all personal property described in the Registration Statement or Prospectus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reasonably be expected to have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individually or in the aggregate, reasonably be expected to have a Material Adverse Effect. To the Company’s knowledge, each of the properties of the Company and 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Subsidiaries complies with all applicable codes, laws and regulations (including, without limitation, building and zoning codes, laws and regulations and laws relating to access to such properties), except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and its Subsidiaries or otherwise reasonably be expected to have a Material Adverse Effect. None of the Company or its Subsidiaries has received from any governmental or regulatory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reasonably be expected to have a Material Adverse Effect, individually or in the aggregate.</w:t>
      </w:r>
    </w:p>
    <w:p>
      <w:pPr>
        <w:spacing w:after="0" w:line="179" w:lineRule="exact"/>
        <w:rPr>
          <w:sz w:val="20"/>
          <w:szCs w:val="20"/>
          <w:color w:val="auto"/>
        </w:rPr>
      </w:pPr>
    </w:p>
    <w:p>
      <w:pPr>
        <w:ind w:firstLine="1305"/>
        <w:spacing w:after="0" w:line="271" w:lineRule="auto"/>
        <w:tabs>
          <w:tab w:leader="none" w:pos="195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ind w:right="20" w:firstLine="1305"/>
        <w:spacing w:after="0" w:line="287" w:lineRule="auto"/>
        <w:tabs>
          <w:tab w:leader="none" w:pos="194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maintains a consolidated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As of the end of the Company’s most recently completed fiscal year, the Company’s internal control over financial reporting was effective and, as of the end of the most recently completed fiscal year, the Company was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Evaluation Date</w:t>
      </w:r>
      <w:r>
        <w:rPr>
          <w:rFonts w:ascii="Arial" w:cs="Arial" w:eastAsia="Arial" w:hAnsi="Arial"/>
          <w:sz w:val="17"/>
          <w:szCs w:val="17"/>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were effective at the reasonable assurance level.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178" w:lineRule="exact"/>
        <w:rPr>
          <w:sz w:val="20"/>
          <w:szCs w:val="20"/>
          <w:color w:val="auto"/>
        </w:rPr>
      </w:pPr>
    </w:p>
    <w:p>
      <w:pPr>
        <w:ind w:right="180" w:firstLine="1305"/>
        <w:spacing w:after="0" w:line="255" w:lineRule="auto"/>
        <w:tabs>
          <w:tab w:leader="none" w:pos="195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ectPr>
          <w:pgSz w:w="11900" w:h="16910" w:orient="portrait"/>
          <w:cols w:equalWidth="0" w:num="1">
            <w:col w:w="11420"/>
          </w:cols>
          <w:pgMar w:left="240" w:top="341" w:right="239" w:bottom="0" w:gutter="0" w:footer="0" w:header="0"/>
        </w:sectPr>
      </w:pPr>
    </w:p>
    <w:bookmarkStart w:id="35" w:name="page36"/>
    <w:bookmarkEnd w:id="35"/>
    <w:p>
      <w:pPr>
        <w:spacing w:after="0" w:line="137" w:lineRule="exact"/>
        <w:rPr>
          <w:sz w:val="20"/>
          <w:szCs w:val="20"/>
          <w:color w:val="auto"/>
        </w:rPr>
      </w:pPr>
    </w:p>
    <w:p>
      <w:pPr>
        <w:ind w:right="260" w:firstLine="1305"/>
        <w:spacing w:after="0" w:line="264" w:lineRule="auto"/>
        <w:tabs>
          <w:tab w:leader="none" w:pos="193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Finder’s Fees</w:t>
      </w:r>
      <w:r>
        <w:rPr>
          <w:rFonts w:ascii="Arial" w:cs="Arial" w:eastAsia="Arial" w:hAnsi="Arial"/>
          <w:sz w:val="18"/>
          <w:szCs w:val="18"/>
          <w:color w:val="auto"/>
        </w:rPr>
        <w:t>. Neither the Company nor any of the Subsidiaries has incurred any liability for any finder’s fees, brokerage commissions or similar payments in connection with the transactions herein contemplated, except as may otherwise exist with respect to Agent pursuant to this Agreement.</w:t>
      </w:r>
    </w:p>
    <w:p>
      <w:pPr>
        <w:spacing w:after="0" w:line="181" w:lineRule="exact"/>
        <w:rPr>
          <w:rFonts w:ascii="Arial" w:cs="Arial" w:eastAsia="Arial" w:hAnsi="Arial"/>
          <w:sz w:val="18"/>
          <w:szCs w:val="18"/>
          <w:color w:val="auto"/>
        </w:rPr>
      </w:pPr>
    </w:p>
    <w:p>
      <w:pPr>
        <w:ind w:right="340" w:firstLine="1305"/>
        <w:spacing w:after="0" w:line="277" w:lineRule="auto"/>
        <w:tabs>
          <w:tab w:leader="none" w:pos="197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Labor Disputes</w:t>
      </w:r>
      <w:r>
        <w:rPr>
          <w:rFonts w:ascii="Arial" w:cs="Arial" w:eastAsia="Arial" w:hAnsi="Arial"/>
          <w:sz w:val="18"/>
          <w:szCs w:val="18"/>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170" w:lineRule="exact"/>
        <w:rPr>
          <w:rFonts w:ascii="Arial" w:cs="Arial" w:eastAsia="Arial" w:hAnsi="Arial"/>
          <w:sz w:val="18"/>
          <w:szCs w:val="18"/>
          <w:color w:val="auto"/>
        </w:rPr>
      </w:pPr>
    </w:p>
    <w:p>
      <w:pPr>
        <w:ind w:right="60" w:firstLine="1305"/>
        <w:spacing w:after="0" w:line="264" w:lineRule="auto"/>
        <w:tabs>
          <w:tab w:leader="none" w:pos="194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320" w:firstLine="1305"/>
        <w:spacing w:after="0" w:line="273" w:lineRule="auto"/>
        <w:tabs>
          <w:tab w:leader="none" w:pos="197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Operations</w:t>
      </w:r>
      <w:r>
        <w:rPr>
          <w:rFonts w:ascii="Arial" w:cs="Arial" w:eastAsia="Arial" w:hAnsi="Arial"/>
          <w:sz w:val="17"/>
          <w:szCs w:val="17"/>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u w:val="single" w:color="auto"/>
          <w:color w:val="auto"/>
        </w:rPr>
        <w:t>Money Laundering Laws</w:t>
      </w:r>
      <w:r>
        <w:rPr>
          <w:rFonts w:ascii="Arial" w:cs="Arial" w:eastAsia="Arial" w:hAnsi="Arial"/>
          <w:sz w:val="17"/>
          <w:szCs w:val="17"/>
          <w:color w:val="auto"/>
        </w:rPr>
        <w:t>”), except as would not reasonably be expected to result in a Material Adverse Effect; and no action, suit or proceeding by or before any court or governmental agency, authority or body or any arbitrator involving the Company or any of 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Subsidiaries with respect to the Money Laundering Laws is pending or, to the knowledge of the Company, threatened.</w:t>
      </w:r>
    </w:p>
    <w:p>
      <w:pPr>
        <w:spacing w:after="0" w:line="225" w:lineRule="exact"/>
        <w:rPr>
          <w:sz w:val="20"/>
          <w:szCs w:val="20"/>
          <w:color w:val="auto"/>
        </w:rPr>
      </w:pPr>
    </w:p>
    <w:p>
      <w:pPr>
        <w:ind w:right="100" w:firstLine="1305"/>
        <w:spacing w:after="0" w:line="273" w:lineRule="auto"/>
        <w:tabs>
          <w:tab w:leader="none" w:pos="194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Off-Balance Sheet Arrangements</w:t>
      </w:r>
      <w:r>
        <w:rPr>
          <w:rFonts w:ascii="Arial" w:cs="Arial" w:eastAsia="Arial" w:hAnsi="Arial"/>
          <w:sz w:val="17"/>
          <w:szCs w:val="17"/>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Arial" w:cs="Arial" w:eastAsia="Arial" w:hAnsi="Arial"/>
          <w:sz w:val="17"/>
          <w:szCs w:val="17"/>
          <w:b w:val="1"/>
          <w:bCs w:val="1"/>
          <w:u w:val="single" w:color="auto"/>
          <w:color w:val="auto"/>
        </w:rPr>
        <w:t>Off Balance Sheet Transaction</w:t>
      </w:r>
      <w:r>
        <w:rPr>
          <w:rFonts w:ascii="Arial" w:cs="Arial" w:eastAsia="Arial" w:hAnsi="Arial"/>
          <w:sz w:val="17"/>
          <w:szCs w:val="17"/>
          <w:color w:val="auto"/>
        </w:rPr>
        <w:t>”) that would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78" w:lineRule="exact"/>
        <w:rPr>
          <w:rFonts w:ascii="Arial" w:cs="Arial" w:eastAsia="Arial" w:hAnsi="Arial"/>
          <w:sz w:val="17"/>
          <w:szCs w:val="17"/>
          <w:color w:val="auto"/>
        </w:rPr>
      </w:pPr>
    </w:p>
    <w:p>
      <w:pPr>
        <w:ind w:firstLine="1305"/>
        <w:spacing w:after="0" w:line="277" w:lineRule="auto"/>
        <w:tabs>
          <w:tab w:leader="none" w:pos="194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is not a party to any agreement with an agent or underwriter for any other “at-the-market” or continuous equity transaction.</w:t>
      </w:r>
    </w:p>
    <w:p>
      <w:pPr>
        <w:spacing w:after="0" w:line="170" w:lineRule="exact"/>
        <w:rPr>
          <w:rFonts w:ascii="Arial" w:cs="Arial" w:eastAsia="Arial" w:hAnsi="Arial"/>
          <w:sz w:val="18"/>
          <w:szCs w:val="18"/>
          <w:color w:val="auto"/>
        </w:rPr>
      </w:pPr>
    </w:p>
    <w:p>
      <w:pPr>
        <w:ind w:right="20" w:firstLine="1305"/>
        <w:spacing w:after="0" w:line="289" w:lineRule="auto"/>
        <w:tabs>
          <w:tab w:leader="none" w:pos="1976"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To the knowledge of the Company, each material employee benefit plan, within the meaning of Section 3(3) of the Employee Retirement Income Security Act of 1974, as amended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66" w:lineRule="exact"/>
        <w:rPr>
          <w:rFonts w:ascii="Arial" w:cs="Arial" w:eastAsia="Arial" w:hAnsi="Arial"/>
          <w:sz w:val="16"/>
          <w:szCs w:val="16"/>
          <w:color w:val="auto"/>
        </w:rPr>
      </w:pPr>
    </w:p>
    <w:p>
      <w:pPr>
        <w:ind w:right="60" w:firstLine="1305"/>
        <w:spacing w:after="0" w:line="254" w:lineRule="auto"/>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No forward-looking statement (within the meaning of Section 27A of the Securities Act and Section 21E of the Exchange Act) (a “</w:t>
      </w:r>
      <w:r>
        <w:rPr>
          <w:rFonts w:ascii="Arial" w:cs="Arial" w:eastAsia="Arial" w:hAnsi="Arial"/>
          <w:sz w:val="18"/>
          <w:szCs w:val="18"/>
          <w:b w:val="1"/>
          <w:bCs w:val="1"/>
          <w:u w:val="single" w:color="auto"/>
          <w:color w:val="auto"/>
        </w:rPr>
        <w:t>Forward-Looking Statement</w:t>
      </w:r>
      <w:r>
        <w:rPr>
          <w:rFonts w:ascii="Arial" w:cs="Arial" w:eastAsia="Arial" w:hAnsi="Arial"/>
          <w:sz w:val="18"/>
          <w:szCs w:val="18"/>
          <w:color w:val="auto"/>
        </w:rPr>
        <w:t>”) contained in the Registration Statement and the Prospectus has been made or reaffirmed without a reasonable basis or has been disclosed other than in good faith. The Forward-Looking Statements incorporated by reference in the Registration Statement and the Prospectus from the Company’s Annual Report on Form 10-K for the fiscal year most recently ended (i) are within the coverage of the safe harbor for forward-looking statements set forth in Section 27A of the Securities Act, Rule 175(b) under the Securities Act or Rule 3b-6 under the Exchange Act, as applicable, (ii) at the time made,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spacing w:after="0" w:line="192" w:lineRule="exact"/>
        <w:rPr>
          <w:rFonts w:ascii="Arial" w:cs="Arial" w:eastAsia="Arial" w:hAnsi="Arial"/>
          <w:sz w:val="18"/>
          <w:szCs w:val="18"/>
          <w:color w:val="auto"/>
        </w:rPr>
      </w:pPr>
    </w:p>
    <w:p>
      <w:pPr>
        <w:ind w:right="40" w:firstLine="1305"/>
        <w:spacing w:after="0" w:line="277" w:lineRule="auto"/>
        <w:tabs>
          <w:tab w:leader="none" w:pos="194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Agent Purchases</w:t>
      </w:r>
      <w:r>
        <w:rPr>
          <w:rFonts w:ascii="Arial" w:cs="Arial" w:eastAsia="Arial" w:hAnsi="Arial"/>
          <w:sz w:val="18"/>
          <w:szCs w:val="18"/>
          <w:color w:val="auto"/>
        </w:rPr>
        <w:t>. The Company acknowledges and agrees that Agent has informed the Company that the Agent may, to the extent permitted under the Securities Act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Exchange Act, purchase and sell Common Stock for its own account while this Agreement is in effect, provided, that (i) no such purchase or sales shall take place while a Placement Notice is in effect (except to the extent each Agent may engage in sales of Placement Shares purchased or deemed purchased from the Company as a “riskless principal” or in a similar capacity) and (ii) the Company shall not be deemed to have authorized or consented to any such purchases or sales by the Agent.</w:t>
      </w:r>
    </w:p>
    <w:p>
      <w:pPr>
        <w:spacing w:after="0" w:line="187" w:lineRule="exact"/>
        <w:rPr>
          <w:sz w:val="20"/>
          <w:szCs w:val="20"/>
          <w:color w:val="auto"/>
        </w:rPr>
      </w:pPr>
    </w:p>
    <w:p>
      <w:pPr>
        <w:jc w:val="both"/>
        <w:ind w:right="200" w:firstLine="1305"/>
        <w:spacing w:after="0" w:line="264" w:lineRule="auto"/>
        <w:tabs>
          <w:tab w:leader="none" w:pos="194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1" w:lineRule="exact"/>
        <w:rPr>
          <w:rFonts w:ascii="Arial" w:cs="Arial" w:eastAsia="Arial" w:hAnsi="Arial"/>
          <w:sz w:val="18"/>
          <w:szCs w:val="18"/>
          <w:color w:val="auto"/>
        </w:rPr>
      </w:pPr>
    </w:p>
    <w:p>
      <w:pPr>
        <w:jc w:val="both"/>
        <w:ind w:right="80" w:firstLine="1305"/>
        <w:spacing w:after="0" w:line="264" w:lineRule="auto"/>
        <w:tabs>
          <w:tab w:leader="none" w:pos="194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p>
      <w:pPr>
        <w:spacing w:after="0" w:line="181" w:lineRule="exact"/>
        <w:rPr>
          <w:rFonts w:ascii="Arial" w:cs="Arial" w:eastAsia="Arial" w:hAnsi="Arial"/>
          <w:sz w:val="18"/>
          <w:szCs w:val="18"/>
          <w:color w:val="auto"/>
        </w:rPr>
      </w:pPr>
    </w:p>
    <w:p>
      <w:pPr>
        <w:ind w:right="140" w:firstLine="1305"/>
        <w:spacing w:after="0" w:line="342" w:lineRule="auto"/>
        <w:tabs>
          <w:tab w:leader="none" w:pos="194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to the Company’s knowledge, the Subsidiaries, nor to the Company’s knowledge, any of their respective executive officers has, in the past five years, made any unlawful contributions to any candidate for any political office (or</w:t>
      </w:r>
    </w:p>
    <w:p>
      <w:pPr>
        <w:sectPr>
          <w:pgSz w:w="11900" w:h="16975" w:orient="portrait"/>
          <w:cols w:equalWidth="0" w:num="1">
            <w:col w:w="11420"/>
          </w:cols>
          <w:pgMar w:left="240" w:top="341" w:right="239" w:bottom="0" w:gutter="0" w:footer="0" w:header="0"/>
        </w:sectPr>
      </w:pPr>
    </w:p>
    <w:bookmarkStart w:id="36" w:name="page37"/>
    <w:bookmarkEnd w:id="36"/>
    <w:p>
      <w:pPr>
        <w:spacing w:after="0" w:line="285" w:lineRule="auto"/>
        <w:rPr>
          <w:sz w:val="20"/>
          <w:szCs w:val="20"/>
          <w:color w:val="auto"/>
        </w:rPr>
      </w:pPr>
      <w:r>
        <w:rPr>
          <w:rFonts w:ascii="Arial" w:cs="Arial" w:eastAsia="Arial" w:hAnsi="Arial"/>
          <w:sz w:val="16"/>
          <w:szCs w:val="16"/>
          <w:color w:val="auto"/>
        </w:rPr>
        <w:t>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to the Company’s knowledge,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 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308" w:lineRule="auto"/>
        <w:tabs>
          <w:tab w:leader="none" w:pos="196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Status Under the Securities Act</w:t>
      </w:r>
      <w:r>
        <w:rPr>
          <w:rFonts w:ascii="Arial" w:cs="Arial" w:eastAsia="Arial" w:hAnsi="Arial"/>
          <w:sz w:val="17"/>
          <w:szCs w:val="17"/>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46" w:lineRule="exact"/>
        <w:rPr>
          <w:rFonts w:ascii="Arial" w:cs="Arial" w:eastAsia="Arial" w:hAnsi="Arial"/>
          <w:sz w:val="17"/>
          <w:szCs w:val="17"/>
          <w:color w:val="auto"/>
        </w:rPr>
      </w:pPr>
    </w:p>
    <w:p>
      <w:pPr>
        <w:jc w:val="both"/>
        <w:ind w:firstLine="1305"/>
        <w:spacing w:after="0" w:line="288" w:lineRule="auto"/>
        <w:tabs>
          <w:tab w:leader="none" w:pos="196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 in an Issuer Free Writing Prospectus</w:t>
      </w:r>
      <w:r>
        <w:rPr>
          <w:rFonts w:ascii="Arial" w:cs="Arial" w:eastAsia="Arial" w:hAnsi="Arial"/>
          <w:sz w:val="16"/>
          <w:szCs w:val="16"/>
          <w:color w:val="auto"/>
        </w:rPr>
        <w:t xml:space="preserve">. Each Issuer Free Writing Prospectus, as of its issue date and as of each Applicable Time (as defined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below), did not, does not and will not include any information that conflicted, conflicts or will conflict with the information contained in the Registration Statement or the Prospectus, including any Incorporated Document that has not been superseded or modified.</w:t>
      </w: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The foregoing sentence does not apply to statements in or omissions from any Issuer Free Writing Prospectus based upon and in conformity with written information furnished to the Company by the Agent specifically for use therein.</w:t>
      </w:r>
    </w:p>
    <w:p>
      <w:pPr>
        <w:spacing w:after="0" w:line="183" w:lineRule="exact"/>
        <w:rPr>
          <w:rFonts w:ascii="Arial" w:cs="Arial" w:eastAsia="Arial" w:hAnsi="Arial"/>
          <w:sz w:val="16"/>
          <w:szCs w:val="16"/>
          <w:color w:val="auto"/>
        </w:rPr>
      </w:pPr>
    </w:p>
    <w:p>
      <w:pPr>
        <w:ind w:firstLine="1305"/>
        <w:spacing w:after="0" w:line="253" w:lineRule="auto"/>
        <w:tabs>
          <w:tab w:leader="none" w:pos="194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violation of the provisions of any statute or any order, rule or regulation applicable to the Company or of any court or of any federal, state or other regulatory authority or other government body having jurisdiction over the Company other than, with respect to this clause (y) only, any violation that would not have a Material Adverse Effect.</w:t>
      </w:r>
    </w:p>
    <w:p>
      <w:pPr>
        <w:spacing w:after="0" w:line="190" w:lineRule="exact"/>
        <w:rPr>
          <w:rFonts w:ascii="Arial" w:cs="Arial" w:eastAsia="Arial" w:hAnsi="Arial"/>
          <w:sz w:val="18"/>
          <w:szCs w:val="18"/>
          <w:color w:val="auto"/>
        </w:rPr>
      </w:pPr>
    </w:p>
    <w:p>
      <w:pPr>
        <w:jc w:val="both"/>
        <w:ind w:right="60" w:firstLine="1305"/>
        <w:spacing w:after="0" w:line="266" w:lineRule="auto"/>
        <w:tabs>
          <w:tab w:leader="none" w:pos="194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(i) The Company represents that, neither the Company nor any of its Subsidiaries (collectively, the “</w:t>
      </w:r>
      <w:r>
        <w:rPr>
          <w:rFonts w:ascii="Arial" w:cs="Arial" w:eastAsia="Arial" w:hAnsi="Arial"/>
          <w:sz w:val="18"/>
          <w:szCs w:val="18"/>
          <w:b w:val="1"/>
          <w:bCs w:val="1"/>
          <w:u w:val="single" w:color="auto"/>
          <w:color w:val="auto"/>
        </w:rPr>
        <w:t>Entity</w:t>
      </w:r>
      <w:r>
        <w:rPr>
          <w:rFonts w:ascii="Arial" w:cs="Arial" w:eastAsia="Arial" w:hAnsi="Arial"/>
          <w:sz w:val="18"/>
          <w:szCs w:val="18"/>
          <w:color w:val="auto"/>
        </w:rPr>
        <w:t>”) or, to the Company’s knowledge, any director, officer, employee, agent, affiliate or representative of the Entity, is a government, individual, or entity (in this paragraph (uu), “</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that is, or is owned or controlled by a Person that is:</w:t>
      </w:r>
    </w:p>
    <w:p>
      <w:pPr>
        <w:spacing w:after="0" w:line="180" w:lineRule="exact"/>
        <w:rPr>
          <w:rFonts w:ascii="Arial" w:cs="Arial" w:eastAsia="Arial" w:hAnsi="Arial"/>
          <w:sz w:val="18"/>
          <w:szCs w:val="18"/>
          <w:color w:val="auto"/>
        </w:rPr>
      </w:pPr>
    </w:p>
    <w:p>
      <w:pPr>
        <w:ind w:left="1300" w:right="80" w:firstLine="653"/>
        <w:spacing w:after="0" w:line="264" w:lineRule="auto"/>
        <w:tabs>
          <w:tab w:leader="none" w:pos="22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nor</w:t>
      </w:r>
    </w:p>
    <w:p>
      <w:pPr>
        <w:spacing w:after="0" w:line="181" w:lineRule="exact"/>
        <w:rPr>
          <w:rFonts w:ascii="Arial" w:cs="Arial" w:eastAsia="Arial" w:hAnsi="Arial"/>
          <w:sz w:val="18"/>
          <w:szCs w:val="18"/>
          <w:color w:val="auto"/>
        </w:rPr>
      </w:pPr>
    </w:p>
    <w:p>
      <w:pPr>
        <w:ind w:left="1300" w:right="800" w:firstLine="653"/>
        <w:spacing w:after="0" w:line="277" w:lineRule="auto"/>
        <w:tabs>
          <w:tab w:leader="none" w:pos="22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170" w:lineRule="exact"/>
        <w:rPr>
          <w:sz w:val="20"/>
          <w:szCs w:val="20"/>
          <w:color w:val="auto"/>
        </w:rPr>
      </w:pPr>
    </w:p>
    <w:p>
      <w:pPr>
        <w:ind w:left="220" w:right="600" w:firstLine="1085"/>
        <w:spacing w:after="0" w:line="277" w:lineRule="auto"/>
        <w:tabs>
          <w:tab w:leader="none" w:pos="16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Entity represents and covenants that it will not, directly or indirectly, use the proceeds of the offering, or lend, contribute or otherwise make available such proceeds to any subsidiary, joint venture partner or other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40" w:firstLine="653"/>
        <w:spacing w:after="0" w:line="277" w:lineRule="auto"/>
        <w:tabs>
          <w:tab w:leader="none" w:pos="22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560" w:firstLine="653"/>
        <w:spacing w:after="0" w:line="277" w:lineRule="auto"/>
        <w:tabs>
          <w:tab w:leader="none" w:pos="22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220" w:firstLine="1085"/>
        <w:spacing w:after="0" w:line="264" w:lineRule="auto"/>
        <w:tabs>
          <w:tab w:leader="none" w:pos="16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Entity represents and covenants that, except as detailed in the Registration Statement and the Prospectus, for the past 5 years,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81" w:lineRule="exact"/>
        <w:rPr>
          <w:sz w:val="20"/>
          <w:szCs w:val="20"/>
          <w:color w:val="auto"/>
        </w:rPr>
      </w:pPr>
    </w:p>
    <w:p>
      <w:pPr>
        <w:ind w:firstLine="1305"/>
        <w:spacing w:after="0" w:line="264" w:lineRule="auto"/>
        <w:tabs>
          <w:tab w:leader="none" w:pos="194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Stock Transfer Taxes</w:t>
      </w:r>
      <w:r>
        <w:rPr>
          <w:rFonts w:ascii="Arial" w:cs="Arial" w:eastAsia="Arial" w:hAnsi="Arial"/>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complied with in all material respects.</w:t>
      </w:r>
    </w:p>
    <w:p>
      <w:pPr>
        <w:spacing w:after="0" w:line="181" w:lineRule="exact"/>
        <w:rPr>
          <w:rFonts w:ascii="Arial" w:cs="Arial" w:eastAsia="Arial" w:hAnsi="Arial"/>
          <w:sz w:val="18"/>
          <w:szCs w:val="18"/>
          <w:color w:val="auto"/>
        </w:rPr>
      </w:pPr>
    </w:p>
    <w:p>
      <w:pPr>
        <w:ind w:right="320" w:firstLine="1305"/>
        <w:spacing w:after="0" w:line="342" w:lineRule="auto"/>
        <w:tabs>
          <w:tab w:leader="none" w:pos="1973"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has operated and currently is in compliance with the Clinical Laboratory Improvement Amendments of 1998 and other applicable rules and regulations of federal, state and foreign governmental agencies or bodies engaged in regulation of</w:t>
      </w:r>
    </w:p>
    <w:p>
      <w:pPr>
        <w:sectPr>
          <w:pgSz w:w="11900" w:h="16838" w:orient="portrait"/>
          <w:cols w:equalWidth="0" w:num="1">
            <w:col w:w="11400"/>
          </w:cols>
          <w:pgMar w:left="240" w:top="125" w:right="259" w:bottom="0" w:gutter="0" w:footer="0" w:header="0"/>
        </w:sectPr>
      </w:pPr>
    </w:p>
    <w:bookmarkStart w:id="37" w:name="page38"/>
    <w:bookmarkEnd w:id="37"/>
    <w:p>
      <w:pPr>
        <w:ind w:right="640"/>
        <w:spacing w:after="0" w:line="277" w:lineRule="auto"/>
        <w:rPr>
          <w:sz w:val="20"/>
          <w:szCs w:val="20"/>
          <w:color w:val="auto"/>
        </w:rPr>
      </w:pPr>
      <w:r>
        <w:rPr>
          <w:rFonts w:ascii="Arial" w:cs="Arial" w:eastAsia="Arial" w:hAnsi="Arial"/>
          <w:sz w:val="18"/>
          <w:szCs w:val="18"/>
          <w:color w:val="auto"/>
        </w:rPr>
        <w:t>clinical laboratories or biohazardous materials, except where the failure to so operate or be in compliance would not reasonably be expected to have a Material Adverse Effect.</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24"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Agent that:</w:t>
      </w:r>
    </w:p>
    <w:p>
      <w:pPr>
        <w:spacing w:after="0" w:line="225" w:lineRule="exact"/>
        <w:rPr>
          <w:rFonts w:ascii="Arial" w:cs="Arial" w:eastAsia="Arial" w:hAnsi="Arial"/>
          <w:sz w:val="18"/>
          <w:szCs w:val="18"/>
          <w:color w:val="auto"/>
        </w:rPr>
      </w:pPr>
    </w:p>
    <w:p>
      <w:pPr>
        <w:ind w:right="20" w:firstLine="1305"/>
        <w:spacing w:after="0" w:line="270" w:lineRule="auto"/>
        <w:tabs>
          <w:tab w:leader="none" w:pos="1942"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Registration Statement Amendments</w:t>
      </w:r>
      <w:r>
        <w:rPr>
          <w:rFonts w:ascii="Arial" w:cs="Arial" w:eastAsia="Arial" w:hAnsi="Arial"/>
          <w:sz w:val="17"/>
          <w:szCs w:val="17"/>
          <w:color w:val="auto"/>
        </w:rPr>
        <w:t>. After the date of this Agreement and during any period in which a Prospectus relating to any Placement Shares is required to be delivered by Agent under the Securities Act (including in circumstances where such requirement may be satisfied pursuant to Rule 172 under the Securities Act),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such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 within a reasonable period of time before the filing and the Agent has not objected in writing thereto in good faith and with reasonable grounds within two (2) Business Days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Agent shall have with respect to the failure by the Company to obtain such consent shall be to cease making sales under this Agreement), (iv) the Company will furnish to the Agent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relating to the Placement Shares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6"/>
          <w:szCs w:val="16"/>
          <w:u w:val="single" w:color="auto"/>
          <w:color w:val="auto"/>
        </w:rPr>
        <w:t>Section 7(a)</w:t>
      </w:r>
      <w:r>
        <w:rPr>
          <w:rFonts w:ascii="Arial" w:cs="Arial" w:eastAsia="Arial" w:hAnsi="Arial"/>
          <w:sz w:val="16"/>
          <w:szCs w:val="16"/>
          <w:color w:val="auto"/>
        </w:rPr>
        <w:t>, based on the Company’s reasonable opinion or reasonable objections, shall be made exclusively by the Company).</w:t>
      </w:r>
    </w:p>
    <w:p>
      <w:pPr>
        <w:spacing w:after="0" w:line="175" w:lineRule="exact"/>
        <w:rPr>
          <w:sz w:val="20"/>
          <w:szCs w:val="20"/>
          <w:color w:val="auto"/>
        </w:rPr>
      </w:pPr>
    </w:p>
    <w:p>
      <w:pPr>
        <w:ind w:right="120" w:firstLine="1305"/>
        <w:spacing w:after="0" w:line="291" w:lineRule="auto"/>
        <w:tabs>
          <w:tab w:leader="none" w:pos="19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Notice of Commission Stop Orders</w:t>
      </w:r>
      <w:r>
        <w:rPr>
          <w:rFonts w:ascii="Arial" w:cs="Arial" w:eastAsia="Arial" w:hAnsi="Arial"/>
          <w:sz w:val="16"/>
          <w:szCs w:val="16"/>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67" w:lineRule="exact"/>
        <w:rPr>
          <w:rFonts w:ascii="Arial" w:cs="Arial" w:eastAsia="Arial" w:hAnsi="Arial"/>
          <w:sz w:val="16"/>
          <w:szCs w:val="16"/>
          <w:color w:val="auto"/>
        </w:rPr>
      </w:pPr>
    </w:p>
    <w:p>
      <w:pPr>
        <w:ind w:firstLine="1305"/>
        <w:spacing w:after="0" w:line="272" w:lineRule="auto"/>
        <w:tabs>
          <w:tab w:leader="none" w:pos="195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Delivery of Prospectus; Subsequent Changes</w:t>
      </w:r>
      <w:r>
        <w:rPr>
          <w:rFonts w:ascii="Arial" w:cs="Arial" w:eastAsia="Arial" w:hAnsi="Arial"/>
          <w:sz w:val="17"/>
          <w:szCs w:val="17"/>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430B and to notify the Agent promptly of all such filings relating to the Placement Shares.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best interests of the Company to do so.</w:t>
      </w:r>
    </w:p>
    <w:p>
      <w:pPr>
        <w:spacing w:after="0" w:line="178" w:lineRule="exact"/>
        <w:rPr>
          <w:sz w:val="20"/>
          <w:szCs w:val="20"/>
          <w:color w:val="auto"/>
        </w:rPr>
      </w:pPr>
    </w:p>
    <w:p>
      <w:pPr>
        <w:ind w:right="100" w:firstLine="1305"/>
        <w:spacing w:after="0" w:line="264" w:lineRule="auto"/>
        <w:tabs>
          <w:tab w:leader="none" w:pos="195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the Company will use its reasonable best efforts to cause the Placement Shares to be listed on the Exchange.</w:t>
      </w:r>
    </w:p>
    <w:p>
      <w:pPr>
        <w:spacing w:after="0" w:line="181" w:lineRule="exact"/>
        <w:rPr>
          <w:rFonts w:ascii="Arial" w:cs="Arial" w:eastAsia="Arial" w:hAnsi="Arial"/>
          <w:sz w:val="18"/>
          <w:szCs w:val="18"/>
          <w:color w:val="auto"/>
        </w:rPr>
      </w:pPr>
    </w:p>
    <w:p>
      <w:pPr>
        <w:ind w:right="20" w:firstLine="1305"/>
        <w:spacing w:after="0" w:line="291" w:lineRule="auto"/>
        <w:tabs>
          <w:tab w:leader="none" w:pos="195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provided, however, that the Company shall not be required to furnish any document (other than the Prospectus) to the Agent to the extent such document is available on EDGAR.</w:t>
      </w:r>
    </w:p>
    <w:p>
      <w:pPr>
        <w:sectPr>
          <w:pgSz w:w="11900" w:h="16838" w:orient="portrait"/>
          <w:cols w:equalWidth="0" w:num="1">
            <w:col w:w="11420"/>
          </w:cols>
          <w:pgMar w:left="240" w:top="125" w:right="239" w:bottom="0" w:gutter="0" w:footer="0" w:header="0"/>
        </w:sectPr>
      </w:pPr>
    </w:p>
    <w:bookmarkStart w:id="38" w:name="page39"/>
    <w:bookmarkEnd w:id="38"/>
    <w:p>
      <w:pPr>
        <w:spacing w:after="0" w:line="96" w:lineRule="exact"/>
        <w:rPr>
          <w:sz w:val="20"/>
          <w:szCs w:val="20"/>
          <w:color w:val="auto"/>
        </w:rPr>
      </w:pPr>
    </w:p>
    <w:p>
      <w:pPr>
        <w:ind w:right="20" w:firstLine="1305"/>
        <w:spacing w:after="0" w:line="264" w:lineRule="auto"/>
        <w:tabs>
          <w:tab w:leader="none" w:pos="194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“Use of Proceeds.”</w:t>
      </w:r>
    </w:p>
    <w:p>
      <w:pPr>
        <w:spacing w:after="0" w:line="248" w:lineRule="exact"/>
        <w:rPr>
          <w:rFonts w:ascii="Arial" w:cs="Arial" w:eastAsia="Arial" w:hAnsi="Arial"/>
          <w:sz w:val="16"/>
          <w:szCs w:val="16"/>
          <w:color w:val="auto"/>
        </w:rPr>
      </w:pPr>
    </w:p>
    <w:p>
      <w:pPr>
        <w:ind w:right="20" w:firstLine="1305"/>
        <w:spacing w:after="0" w:line="293" w:lineRule="auto"/>
        <w:tabs>
          <w:tab w:leader="none" w:pos="19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Without the prior written consent of Agent, which consent shall not be unreasonably withheld, conditioned or delayed,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(5th) Trading Day immediately prior to the date on which any Placement Notice is delivered to Agent hereunder and ending on the fifth (5th) Trading Day immediately following the final Settlement Date with respect to Placement Shares sold pursuant to such Placement Notice (or, if the Placement Notice has been terminated or suspended prior to the sale of all Placement Shares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covered by a Placement Notice, the date of such suspension or termination); and will not directly or indirectly in any other “at-the-market”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later of the termination of this Agreement and the thirtieth (30th) day immediately following the final Settlement Date with respect to Placement Shares sold pursuant to such Placement Notice; provided, however, that such restrictions will not be required in connection with the Company’s issuance or sale of (i) Common Stock, options to purchase Common Stock, restricted stock units or other equity securities or Common Stock issuable upon the exercise or vesting of options, restricted stock units or other equity securities,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the exercise of warrants, options or other rights or the vesting of restricted stock units in effect or outstanding, and disclosed in filings by the Company available on EDGAR or otherwise in writing to the Agent and (iii) Common Stock or securities convertible into or exchangeable for shares of Common Stock as consideration for mergers, acquisitions, licenses, other business combinations or strategic alliances or corporate partnering transactions occurring after the date of this Agreement which are not issued for capital raising purposes.</w:t>
      </w:r>
    </w:p>
    <w:p>
      <w:pPr>
        <w:spacing w:after="0" w:line="188" w:lineRule="exact"/>
        <w:rPr>
          <w:sz w:val="20"/>
          <w:szCs w:val="20"/>
          <w:color w:val="auto"/>
        </w:rPr>
      </w:pPr>
    </w:p>
    <w:p>
      <w:pPr>
        <w:ind w:right="100" w:firstLine="1305"/>
        <w:spacing w:after="0" w:line="264" w:lineRule="auto"/>
        <w:tabs>
          <w:tab w:leader="none" w:pos="196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81" w:lineRule="exact"/>
        <w:rPr>
          <w:rFonts w:ascii="Arial" w:cs="Arial" w:eastAsia="Arial" w:hAnsi="Arial"/>
          <w:sz w:val="18"/>
          <w:szCs w:val="18"/>
          <w:color w:val="auto"/>
        </w:rPr>
      </w:pPr>
    </w:p>
    <w:p>
      <w:pPr>
        <w:ind w:right="60" w:firstLine="1305"/>
        <w:spacing w:after="0" w:line="286" w:lineRule="auto"/>
        <w:tabs>
          <w:tab w:leader="none" w:pos="195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Due Diligence Cooperation</w:t>
      </w:r>
      <w:r>
        <w:rPr>
          <w:rFonts w:ascii="Arial" w:cs="Arial" w:eastAsia="Arial" w:hAnsi="Arial"/>
          <w:sz w:val="17"/>
          <w:szCs w:val="17"/>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65" w:lineRule="exact"/>
        <w:rPr>
          <w:rFonts w:ascii="Arial" w:cs="Arial" w:eastAsia="Arial" w:hAnsi="Arial"/>
          <w:sz w:val="17"/>
          <w:szCs w:val="17"/>
          <w:color w:val="auto"/>
        </w:rPr>
      </w:pPr>
    </w:p>
    <w:p>
      <w:pPr>
        <w:ind w:right="40" w:firstLine="1305"/>
        <w:spacing w:after="0" w:line="255"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The Company agrees that on such dates as the Securities Act shall require the filing of a prospectus supplement with respect to the sale of Placement Shares hereunder, the Company will (i) file a prospectus supplement with the Commission under the applicable paragraph of Rule 424(b) under the Securities Act (each and every filing date under Rule 424(b), a “</w:t>
      </w:r>
      <w:r>
        <w:rPr>
          <w:rFonts w:ascii="Arial" w:cs="Arial" w:eastAsia="Arial" w:hAnsi="Arial"/>
          <w:sz w:val="18"/>
          <w:szCs w:val="18"/>
          <w:b w:val="1"/>
          <w:bCs w:val="1"/>
          <w:u w:val="single" w:color="auto"/>
          <w:color w:val="auto"/>
        </w:rPr>
        <w:t>Filing Date</w:t>
      </w:r>
      <w:r>
        <w:rPr>
          <w:rFonts w:ascii="Arial" w:cs="Arial" w:eastAsia="Arial" w:hAnsi="Arial"/>
          <w:sz w:val="18"/>
          <w:szCs w:val="18"/>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89" w:lineRule="exact"/>
        <w:rPr>
          <w:rFonts w:ascii="Arial" w:cs="Arial" w:eastAsia="Arial" w:hAnsi="Arial"/>
          <w:sz w:val="18"/>
          <w:szCs w:val="18"/>
          <w:color w:val="auto"/>
        </w:rPr>
      </w:pPr>
    </w:p>
    <w:p>
      <w:pPr>
        <w:ind w:right="220" w:firstLine="1305"/>
        <w:spacing w:after="0" w:line="277" w:lineRule="auto"/>
        <w:tabs>
          <w:tab w:leader="none" w:pos="196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(1) On or prior to the date of the first Placement Notice and (2) following delivery of the first Placement Notice, each time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4"/>
        <w:spacing w:after="0" w:line="257" w:lineRule="auto"/>
        <w:tabs>
          <w:tab w:leader="none" w:pos="8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files the Prospectus relating to the Placement Shares (other than as part of any filing prior to the time of the initial effectiveness of the Registration Statement)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8" w:lineRule="exact"/>
        <w:rPr>
          <w:rFonts w:ascii="Arial" w:cs="Arial" w:eastAsia="Arial" w:hAnsi="Arial"/>
          <w:sz w:val="18"/>
          <w:szCs w:val="18"/>
          <w:color w:val="auto"/>
        </w:rPr>
      </w:pPr>
    </w:p>
    <w:p>
      <w:pPr>
        <w:ind w:left="660" w:right="620" w:hanging="4"/>
        <w:spacing w:after="0" w:line="277" w:lineRule="auto"/>
        <w:tabs>
          <w:tab w:leader="none" w:pos="9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amended financial information or a material amendment to the previously filed Form 10-K);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225" w:lineRule="exact"/>
        <w:rPr>
          <w:rFonts w:ascii="Arial" w:cs="Arial" w:eastAsia="Arial" w:hAnsi="Arial"/>
          <w:sz w:val="18"/>
          <w:szCs w:val="18"/>
          <w:color w:val="auto"/>
        </w:rPr>
      </w:pPr>
    </w:p>
    <w:p>
      <w:pPr>
        <w:ind w:left="660" w:right="120" w:hanging="4"/>
        <w:spacing w:after="0" w:line="279" w:lineRule="auto"/>
        <w:tabs>
          <w:tab w:leader="none" w:pos="965" w:val="left"/>
        </w:tabs>
        <w:numPr>
          <w:ilvl w:val="0"/>
          <w:numId w:val="82"/>
        </w:numPr>
        <w:rPr>
          <w:rFonts w:ascii="Arial" w:cs="Arial" w:eastAsia="Arial" w:hAnsi="Arial"/>
          <w:sz w:val="17"/>
          <w:szCs w:val="17"/>
          <w:color w:val="auto"/>
        </w:rPr>
      </w:pPr>
      <w:r>
        <w:rPr>
          <w:rFonts w:ascii="Arial" w:cs="Arial" w:eastAsia="Arial" w:hAnsi="Arial"/>
          <w:sz w:val="17"/>
          <w:szCs w:val="17"/>
          <w:color w:val="auto"/>
        </w:rPr>
        <w:t>files a current report on Form 8-K containing amended financial information relating to the Company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7"/>
          <w:szCs w:val="17"/>
          <w:b w:val="1"/>
          <w:bCs w:val="1"/>
          <w:u w:val="single" w:color="auto"/>
          <w:color w:val="auto"/>
        </w:rPr>
        <w:t>Representation Date</w:t>
      </w:r>
      <w:r>
        <w:rPr>
          <w:rFonts w:ascii="Arial" w:cs="Arial" w:eastAsia="Arial" w:hAnsi="Arial"/>
          <w:sz w:val="17"/>
          <w:szCs w:val="17"/>
          <w:color w:val="auto"/>
        </w:rPr>
        <w:t>”);</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Company shall furnish the Agent (but in the case of clause (iv) above only if the Agent reasonably determines that the information contained in such Form 8-K is material) with a certificate dated the Representation Date, in form and substance satisfactory to Agent and its counsel, substantially similar to the forms previously provided to Agent and its counsel, modified, as necessary, to relate to the Registration Statement and the Prospectus as then amended or supplemented. The requirement to provide a certificate under this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shall be waived for any Representation Date occurring at a time at which no Placement Notice is pending (including, for clarity, a time a Suspension is in effect), which waiver shall continue until the earlier to occur of the date the Company delivers a Placement Notice hereunder or instructions for the sale of Placement Shares under a suspended Placement Notice (which for such</w:t>
      </w:r>
    </w:p>
    <w:p>
      <w:pPr>
        <w:sectPr>
          <w:pgSz w:w="11900" w:h="16934" w:orient="portrait"/>
          <w:cols w:equalWidth="0" w:num="1">
            <w:col w:w="11420"/>
          </w:cols>
          <w:pgMar w:left="240" w:top="125" w:right="239" w:bottom="0" w:gutter="0" w:footer="0" w:header="0"/>
        </w:sectPr>
      </w:pPr>
    </w:p>
    <w:bookmarkStart w:id="39" w:name="page40"/>
    <w:bookmarkEnd w:id="39"/>
    <w:p>
      <w:pPr>
        <w:spacing w:after="0" w:line="9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calendar quarter shall be considered a Representation Date) and the next occurring Representation Date. Notwithstanding the foregoing, if the Company subsequently decides to sell Placement Shares following a Representation Date when the Company relied on such waiver and did not provide the Agent with a certificate under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dated as of the date of the Placement Notice or the date that the instructions for the sale of Placement Shares are issued, as applicable.</w:t>
      </w:r>
    </w:p>
    <w:p>
      <w:pPr>
        <w:spacing w:after="0" w:line="173" w:lineRule="exact"/>
        <w:rPr>
          <w:sz w:val="20"/>
          <w:szCs w:val="20"/>
          <w:color w:val="auto"/>
        </w:rPr>
      </w:pPr>
    </w:p>
    <w:p>
      <w:pPr>
        <w:ind w:right="320" w:firstLine="1305"/>
        <w:spacing w:after="0" w:line="257" w:lineRule="auto"/>
        <w:tabs>
          <w:tab w:leader="none" w:pos="194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xml:space="preserve">. (1) On or prior to the date of the first Placement Notice and (2) within five (5) Trading Days of each Representation Date with respect to which the Company is obligated to deliver a certificate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xml:space="preserve"> for which no waiver is applicable and excluding the date of this Agreement, the Company shall cause to be furnished to the Agent a written opinion of Pillsbury Winthrop Shaw Pittman LLP (“</w:t>
      </w:r>
      <w:r>
        <w:rPr>
          <w:rFonts w:ascii="Arial" w:cs="Arial" w:eastAsia="Arial" w:hAnsi="Arial"/>
          <w:sz w:val="18"/>
          <w:szCs w:val="18"/>
          <w:b w:val="1"/>
          <w:bCs w:val="1"/>
          <w:u w:val="single" w:color="auto"/>
          <w:color w:val="auto"/>
        </w:rPr>
        <w:t>Company Counsel</w:t>
      </w:r>
      <w:r>
        <w:rPr>
          <w:rFonts w:ascii="Arial" w:cs="Arial" w:eastAsia="Arial" w:hAnsi="Arial"/>
          <w:sz w:val="18"/>
          <w:szCs w:val="18"/>
          <w:color w:val="auto"/>
        </w:rPr>
        <w:t>”), or other counsel satisfactory to the Agent, in form and substance satisfactory to Agent and its counsel, substantially similar to the forms previously provided to Agent and its counsel,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modified, as necessary, to relate to the Registration Statement and the Prospectus as then amended or supplemented; provided, however, the Company shall be required to furnish to Agent no more than one opinion hereunder per calendar quarter; provided, further, that in lieu of such opinions for subsequent periodic filings under the Exchange Act, counsel may furnish the Agent with a letter (a “</w:t>
      </w:r>
      <w:r>
        <w:rPr>
          <w:rFonts w:ascii="Arial" w:cs="Arial" w:eastAsia="Arial" w:hAnsi="Arial"/>
          <w:sz w:val="16"/>
          <w:szCs w:val="16"/>
          <w:b w:val="1"/>
          <w:bCs w:val="1"/>
          <w:u w:val="single" w:color="auto"/>
          <w:color w:val="auto"/>
        </w:rPr>
        <w:t>Reliance Letter</w:t>
      </w:r>
      <w:r>
        <w:rPr>
          <w:rFonts w:ascii="Arial" w:cs="Arial" w:eastAsia="Arial" w:hAnsi="Arial"/>
          <w:sz w:val="16"/>
          <w:szCs w:val="16"/>
          <w:color w:val="auto"/>
        </w:rPr>
        <w:t xml:space="preserve">”) to the effect that the Agent may rely on a prior opinion delivered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58" w:lineRule="exact"/>
        <w:rPr>
          <w:sz w:val="20"/>
          <w:szCs w:val="20"/>
          <w:color w:val="auto"/>
        </w:rPr>
      </w:pPr>
    </w:p>
    <w:p>
      <w:pPr>
        <w:ind w:right="140" w:firstLine="1305"/>
        <w:spacing w:after="0" w:line="269" w:lineRule="auto"/>
        <w:tabs>
          <w:tab w:leader="none" w:pos="1952"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(1) On or prior to the date of the first Placement Notice and (2) within five (5) Trading Days of each Representation Date with respect to which the Company is obligated to deliver a certificate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for which no waiver is applicable and excluding the date of this Agreement, the Company shall cause its current independent registered public accounting firm to furnish the Agent letters (the “</w:t>
      </w:r>
      <w:r>
        <w:rPr>
          <w:rFonts w:ascii="Arial" w:cs="Arial" w:eastAsia="Arial" w:hAnsi="Arial"/>
          <w:sz w:val="17"/>
          <w:szCs w:val="17"/>
          <w:b w:val="1"/>
          <w:bCs w:val="1"/>
          <w:u w:val="single" w:color="auto"/>
          <w:color w:val="auto"/>
        </w:rPr>
        <w:t>Comfort Letters</w:t>
      </w:r>
      <w:r>
        <w:rPr>
          <w:rFonts w:ascii="Arial" w:cs="Arial" w:eastAsia="Arial" w:hAnsi="Arial"/>
          <w:sz w:val="17"/>
          <w:szCs w:val="17"/>
          <w:color w:val="auto"/>
        </w:rPr>
        <w:t xml:space="preserve">”), dated the date the Comfort Letter is delivered, which shall meet the requirements set forth in this </w:t>
      </w:r>
      <w:r>
        <w:rPr>
          <w:rFonts w:ascii="Arial" w:cs="Arial" w:eastAsia="Arial" w:hAnsi="Arial"/>
          <w:sz w:val="17"/>
          <w:szCs w:val="17"/>
          <w:u w:val="single" w:color="auto"/>
          <w:color w:val="auto"/>
        </w:rPr>
        <w:t>Section 7(n)</w:t>
      </w:r>
      <w:r>
        <w:rPr>
          <w:rFonts w:ascii="Arial" w:cs="Arial" w:eastAsia="Arial" w:hAnsi="Arial"/>
          <w:sz w:val="17"/>
          <w:szCs w:val="17"/>
          <w:color w:val="auto"/>
        </w:rPr>
        <w:t>; provided, that if reasonably requested by the Agent, the Company shall cause a Comfort Letter to be furnished to the Agent within ten (10) Trading Days of the date of occurrence of any material transaction or event, including the restatement of the Company’s financial statements. The Comfort Letter from the Company’s current independent registered public accounting firm shall be in a form and substance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9" w:lineRule="exact"/>
        <w:rPr>
          <w:rFonts w:ascii="Arial" w:cs="Arial" w:eastAsia="Arial" w:hAnsi="Arial"/>
          <w:sz w:val="17"/>
          <w:szCs w:val="17"/>
          <w:color w:val="auto"/>
        </w:rPr>
      </w:pPr>
    </w:p>
    <w:p>
      <w:pPr>
        <w:ind w:right="40" w:firstLine="1305"/>
        <w:spacing w:after="0" w:line="259"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Common Stock, or pay anyone any compensation for soliciting purchases of the Placement Shares other than the Agent.</w:t>
      </w:r>
    </w:p>
    <w:p>
      <w:pPr>
        <w:spacing w:after="0" w:line="186" w:lineRule="exact"/>
        <w:rPr>
          <w:rFonts w:ascii="Arial" w:cs="Arial" w:eastAsia="Arial" w:hAnsi="Arial"/>
          <w:sz w:val="18"/>
          <w:szCs w:val="18"/>
          <w:color w:val="auto"/>
        </w:rPr>
      </w:pPr>
    </w:p>
    <w:p>
      <w:pPr>
        <w:ind w:firstLine="1305"/>
        <w:spacing w:after="0" w:line="264"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81" w:lineRule="exact"/>
        <w:rPr>
          <w:rFonts w:ascii="Arial" w:cs="Arial" w:eastAsia="Arial" w:hAnsi="Arial"/>
          <w:sz w:val="18"/>
          <w:szCs w:val="18"/>
          <w:color w:val="auto"/>
        </w:rPr>
      </w:pPr>
    </w:p>
    <w:p>
      <w:pPr>
        <w:ind w:right="40" w:firstLine="1305"/>
        <w:spacing w:after="0" w:line="259"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Offer to Sell</w:t>
      </w:r>
      <w:r>
        <w:rPr>
          <w:rFonts w:ascii="Arial" w:cs="Arial" w:eastAsia="Arial" w:hAnsi="Arial"/>
          <w:sz w:val="18"/>
          <w:szCs w:val="18"/>
          <w:color w:val="auto"/>
        </w:rPr>
        <w:t>. Other than a Permitted Issuer Free Writing Prospectus approved in advance by the Company and the Agent,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89" w:lineRule="auto"/>
        <w:tabs>
          <w:tab w:leader="none" w:pos="1963"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Blue Sky and Other Qualifications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66" w:lineRule="exact"/>
        <w:rPr>
          <w:rFonts w:ascii="Arial" w:cs="Arial" w:eastAsia="Arial" w:hAnsi="Arial"/>
          <w:sz w:val="16"/>
          <w:szCs w:val="16"/>
          <w:color w:val="auto"/>
        </w:rPr>
      </w:pPr>
    </w:p>
    <w:p>
      <w:pPr>
        <w:ind w:right="60" w:firstLine="1305"/>
        <w:spacing w:after="0" w:line="284" w:lineRule="auto"/>
        <w:tabs>
          <w:tab w:leader="none" w:pos="1959"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will maintain and keep accurate books and records reflecting its consolidated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w:t>
      </w:r>
    </w:p>
    <w:p>
      <w:pPr>
        <w:spacing w:after="0" w:line="4" w:lineRule="exact"/>
        <w:rPr>
          <w:rFonts w:ascii="Arial" w:cs="Arial" w:eastAsia="Arial" w:hAnsi="Arial"/>
          <w:sz w:val="16"/>
          <w:szCs w:val="16"/>
          <w:color w:val="auto"/>
        </w:rPr>
      </w:pPr>
    </w:p>
    <w:p>
      <w:pPr>
        <w:ind w:right="120" w:firstLine="8"/>
        <w:spacing w:after="0" w:line="288" w:lineRule="auto"/>
        <w:tabs>
          <w:tab w:leader="none" w:pos="3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w:t>
      </w:r>
    </w:p>
    <w:p>
      <w:pPr>
        <w:sectPr>
          <w:pgSz w:w="11900" w:h="16930" w:orient="portrait"/>
          <w:cols w:equalWidth="0" w:num="1">
            <w:col w:w="11420"/>
          </w:cols>
          <w:pgMar w:left="240" w:top="125" w:right="239" w:bottom="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color w:val="auto"/>
        </w:rPr>
        <w:t>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70" w:lineRule="exact"/>
        <w:rPr>
          <w:sz w:val="20"/>
          <w:szCs w:val="20"/>
          <w:color w:val="auto"/>
        </w:rPr>
      </w:pPr>
    </w:p>
    <w:p>
      <w:pPr>
        <w:ind w:right="60" w:firstLine="1305"/>
        <w:spacing w:after="0" w:line="259" w:lineRule="auto"/>
        <w:tabs>
          <w:tab w:leader="none" w:pos="195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Secretary’s Certificate; Further Documentation</w:t>
      </w:r>
      <w:r>
        <w:rPr>
          <w:rFonts w:ascii="Arial" w:cs="Arial" w:eastAsia="Arial" w:hAnsi="Arial"/>
          <w:sz w:val="18"/>
          <w:szCs w:val="18"/>
          <w:color w:val="auto"/>
        </w:rPr>
        <w:t>. On or prior to the date of the first Placement Notice, the Company shall deliver to the Agent a certificate of the Secretary of the Company and attested to by an executive officer of the Company, dated as of such date, certifying as to (i) the Restated Certificate of Incorporation of the Company, (ii) the Amended and Restated Bylaws of the Company, (iii) the resolutions of the Board of Directors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Company, or a duly authorized committee of such Board of Directors,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with respect to which the Company is obligated to deliver a certificate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xml:space="preserve"> for which no waiver is applicable and excluding the date of this Agreement, the Company shall have furnished to the Agent such further information, certificates and documents as the Agent may reasonably request.</w:t>
      </w:r>
    </w:p>
    <w:p>
      <w:pPr>
        <w:spacing w:after="0" w:line="188" w:lineRule="exact"/>
        <w:rPr>
          <w:sz w:val="20"/>
          <w:szCs w:val="20"/>
          <w:color w:val="auto"/>
        </w:rPr>
      </w:pPr>
    </w:p>
    <w:p>
      <w:pPr>
        <w:ind w:left="1300" w:hanging="644"/>
        <w:spacing w:after="0"/>
        <w:tabs>
          <w:tab w:leader="none" w:pos="130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will pay all expenses incident to the performance of its obligations under this Agreement, including</w:t>
      </w:r>
    </w:p>
    <w:p>
      <w:pPr>
        <w:spacing w:after="0" w:line="46" w:lineRule="exact"/>
        <w:rPr>
          <w:rFonts w:ascii="Arial" w:cs="Arial" w:eastAsia="Arial" w:hAnsi="Arial"/>
          <w:sz w:val="16"/>
          <w:szCs w:val="16"/>
          <w:color w:val="auto"/>
        </w:rPr>
      </w:pPr>
    </w:p>
    <w:p>
      <w:pPr>
        <w:ind w:right="20" w:firstLine="8"/>
        <w:spacing w:after="0" w:line="267" w:lineRule="auto"/>
        <w:tabs>
          <w:tab w:leader="none" w:pos="2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preparation and filing of the Registration Statement, including any fees required by the Commission, and the printing or electronic delivery of the Prospectus as originally filed and of each amendment and supplement thereto relating to the Placement Shares,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expenses of Agent including, but not limited to, the fees and disbursements of the counsel to the Agent, payable upon the execution of this Agreement, in an amount not to exceed $50,000; (vi) the qualification or exemption of the Placement Shares under state securities laws in accordance with the provisions of </w:t>
      </w:r>
      <w:r>
        <w:rPr>
          <w:rFonts w:ascii="Arial" w:cs="Arial" w:eastAsia="Arial" w:hAnsi="Arial"/>
          <w:sz w:val="17"/>
          <w:szCs w:val="17"/>
          <w:u w:val="single" w:color="auto"/>
          <w:color w:val="auto"/>
        </w:rPr>
        <w:t>Section 7(r)</w:t>
      </w:r>
      <w:r>
        <w:rPr>
          <w:rFonts w:ascii="Arial" w:cs="Arial" w:eastAsia="Arial" w:hAnsi="Arial"/>
          <w:sz w:val="17"/>
          <w:szCs w:val="17"/>
          <w:color w:val="auto"/>
        </w:rPr>
        <w:t xml:space="preserve"> hereof, including filing fees, but excluding fees of the Agent’s counsel, (vii) the printing and delivery to the Agent of copies of any Permitted Issuer Free Writing Prospectus and the Prospectus and any amendments or supplements thereto relating to the Placement Shares in such number as the Agent shall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82" w:lineRule="exact"/>
        <w:rPr>
          <w:rFonts w:ascii="Arial" w:cs="Arial" w:eastAsia="Arial" w:hAnsi="Arial"/>
          <w:sz w:val="17"/>
          <w:szCs w:val="17"/>
          <w:color w:val="auto"/>
        </w:rPr>
      </w:pPr>
    </w:p>
    <w:p>
      <w:pPr>
        <w:ind w:right="300" w:firstLine="656"/>
        <w:spacing w:after="0" w:line="302" w:lineRule="auto"/>
        <w:tabs>
          <w:tab w:leader="none" w:pos="1296"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Conditions to Agent’s Obligations</w:t>
      </w:r>
      <w:r>
        <w:rPr>
          <w:rFonts w:ascii="Arial" w:cs="Arial" w:eastAsia="Arial" w:hAnsi="Arial"/>
          <w:sz w:val="16"/>
          <w:szCs w:val="16"/>
          <w:color w:val="auto"/>
        </w:rPr>
        <w:t>. The obligations of the Agent hereunder with respect to a Placement will be subject to the continuing accuracy and completeness of the representations and warranties made by the Company herein, to the due performance in all material respects by the Company of its obligations hereunder, to the completion by the Agent of a due diligence review satisfactory to it in its reasonable judgment, and to the continuing satisfaction (or waiver by the Agent in its sole discretion) in all material respects of the following additional conditions:</w:t>
      </w:r>
    </w:p>
    <w:p>
      <w:pPr>
        <w:spacing w:after="0" w:line="154" w:lineRule="exact"/>
        <w:rPr>
          <w:rFonts w:ascii="Arial" w:cs="Arial" w:eastAsia="Arial" w:hAnsi="Arial"/>
          <w:sz w:val="16"/>
          <w:szCs w:val="16"/>
          <w:color w:val="auto"/>
        </w:rPr>
      </w:pPr>
    </w:p>
    <w:p>
      <w:pPr>
        <w:ind w:right="180" w:firstLine="1305"/>
        <w:spacing w:after="0" w:line="264" w:lineRule="auto"/>
        <w:tabs>
          <w:tab w:leader="none" w:pos="1942"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88" w:lineRule="auto"/>
        <w:tabs>
          <w:tab w:leader="none" w:pos="1952"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right="100" w:firstLine="8"/>
        <w:spacing w:after="0" w:line="287" w:lineRule="auto"/>
        <w:tabs>
          <w:tab w:leader="none" w:pos="26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66" w:lineRule="exact"/>
        <w:rPr>
          <w:rFonts w:ascii="Arial" w:cs="Arial" w:eastAsia="Arial" w:hAnsi="Arial"/>
          <w:sz w:val="16"/>
          <w:szCs w:val="16"/>
          <w:color w:val="auto"/>
        </w:rPr>
      </w:pPr>
    </w:p>
    <w:p>
      <w:pPr>
        <w:jc w:val="both"/>
        <w:ind w:right="40" w:firstLine="1305"/>
        <w:spacing w:after="0" w:line="312" w:lineRule="auto"/>
        <w:tabs>
          <w:tab w:leader="none" w:pos="1955"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6" w:lineRule="exact"/>
        <w:rPr>
          <w:rFonts w:ascii="Arial" w:cs="Arial" w:eastAsia="Arial" w:hAnsi="Arial"/>
          <w:sz w:val="16"/>
          <w:szCs w:val="16"/>
          <w:color w:val="auto"/>
        </w:rPr>
      </w:pPr>
    </w:p>
    <w:p>
      <w:pPr>
        <w:ind w:firstLine="1305"/>
        <w:spacing w:after="0" w:line="254" w:lineRule="auto"/>
        <w:tabs>
          <w:tab w:leader="none" w:pos="195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Material Changes</w:t>
      </w:r>
      <w:r>
        <w:rPr>
          <w:rFonts w:ascii="Arial" w:cs="Arial" w:eastAsia="Arial" w:hAnsi="Arial"/>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be reasonably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2"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Agent shall have received the opinion of Company Counsel required to be delivered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41" w:name="page42"/>
    <w:bookmarkEnd w:id="41"/>
    <w:p>
      <w:pPr>
        <w:spacing w:after="0" w:line="114" w:lineRule="exact"/>
        <w:rPr>
          <w:sz w:val="20"/>
          <w:szCs w:val="20"/>
          <w:color w:val="auto"/>
        </w:rPr>
      </w:pPr>
    </w:p>
    <w:p>
      <w:pPr>
        <w:ind w:right="180" w:firstLine="1305"/>
        <w:spacing w:after="0" w:line="277" w:lineRule="auto"/>
        <w:tabs>
          <w:tab w:leader="none" w:pos="194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The Agent shall have received the Comfort Letter required to be delivered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305"/>
        <w:spacing w:after="0" w:line="277" w:lineRule="auto"/>
        <w:tabs>
          <w:tab w:leader="none" w:pos="1965"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The Agent shall have received the certificate required to be delivered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305"/>
        <w:spacing w:after="0" w:line="277" w:lineRule="auto"/>
        <w:tabs>
          <w:tab w:leader="none" w:pos="1952"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70" w:lineRule="exact"/>
        <w:rPr>
          <w:rFonts w:ascii="Arial" w:cs="Arial" w:eastAsia="Arial" w:hAnsi="Arial"/>
          <w:sz w:val="18"/>
          <w:szCs w:val="18"/>
          <w:color w:val="auto"/>
        </w:rPr>
      </w:pPr>
    </w:p>
    <w:p>
      <w:pPr>
        <w:ind w:right="280" w:firstLine="1305"/>
        <w:spacing w:after="0" w:line="264" w:lineRule="auto"/>
        <w:tabs>
          <w:tab w:leader="none" w:pos="196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xml:space="preserve">. On each date on which the Company is required to deliver a certificate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the Company shall have furnished to the Agent such appropriate further information, opinions, certificates, letters and other documents as the Agent may reasonably request.</w:t>
      </w:r>
    </w:p>
    <w:p>
      <w:pPr>
        <w:spacing w:after="0" w:line="181" w:lineRule="exact"/>
        <w:rPr>
          <w:rFonts w:ascii="Arial" w:cs="Arial" w:eastAsia="Arial" w:hAnsi="Arial"/>
          <w:sz w:val="18"/>
          <w:szCs w:val="18"/>
          <w:color w:val="auto"/>
        </w:rPr>
      </w:pPr>
    </w:p>
    <w:p>
      <w:pPr>
        <w:ind w:right="300" w:firstLine="1305"/>
        <w:spacing w:after="0" w:line="342" w:lineRule="auto"/>
        <w:tabs>
          <w:tab w:leader="none" w:pos="1953"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23" w:lineRule="exact"/>
        <w:rPr>
          <w:rFonts w:ascii="Arial" w:cs="Arial" w:eastAsia="Arial" w:hAnsi="Arial"/>
          <w:sz w:val="16"/>
          <w:szCs w:val="16"/>
          <w:color w:val="auto"/>
        </w:rPr>
      </w:pPr>
    </w:p>
    <w:p>
      <w:pPr>
        <w:ind w:right="60" w:firstLine="1305"/>
        <w:spacing w:after="0" w:line="264" w:lineRule="auto"/>
        <w:tabs>
          <w:tab w:leader="none" w:pos="1952"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Approval for Listing</w:t>
      </w:r>
      <w:r>
        <w:rPr>
          <w:rFonts w:ascii="Arial" w:cs="Arial" w:eastAsia="Arial" w:hAnsi="Arial"/>
          <w:sz w:val="18"/>
          <w:szCs w:val="18"/>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81" w:lineRule="exact"/>
        <w:rPr>
          <w:rFonts w:ascii="Arial" w:cs="Arial" w:eastAsia="Arial" w:hAnsi="Arial"/>
          <w:sz w:val="18"/>
          <w:szCs w:val="18"/>
          <w:color w:val="auto"/>
        </w:rPr>
      </w:pPr>
    </w:p>
    <w:p>
      <w:pPr>
        <w:ind w:right="620" w:firstLine="1305"/>
        <w:spacing w:after="0" w:line="277" w:lineRule="auto"/>
        <w:tabs>
          <w:tab w:leader="none" w:pos="196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If applicable, FINRA shall have raised no objection to the terms of this offering and the amount of compensation allowable or payable to the Agent as described in the Prospectus.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the Agent to terminate this Agreement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264" w:lineRule="auto"/>
        <w:tabs>
          <w:tab w:leader="none" w:pos="194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Company Indemnification</w:t>
      </w:r>
      <w:r>
        <w:rPr>
          <w:rFonts w:ascii="Arial" w:cs="Arial" w:eastAsia="Arial" w:hAnsi="Arial"/>
          <w:sz w:val="18"/>
          <w:szCs w:val="18"/>
          <w:color w:val="auto"/>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spacing w:after="0" w:line="181" w:lineRule="exact"/>
        <w:rPr>
          <w:rFonts w:ascii="Arial" w:cs="Arial" w:eastAsia="Arial" w:hAnsi="Arial"/>
          <w:sz w:val="18"/>
          <w:szCs w:val="18"/>
          <w:color w:val="auto"/>
        </w:rPr>
      </w:pPr>
    </w:p>
    <w:p>
      <w:pPr>
        <w:ind w:right="120" w:firstLine="1953"/>
        <w:spacing w:after="0" w:line="273" w:lineRule="auto"/>
        <w:tabs>
          <w:tab w:leader="none" w:pos="2614" w:val="left"/>
        </w:tabs>
        <w:numPr>
          <w:ilvl w:val="2"/>
          <w:numId w:val="94"/>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57" w:lineRule="auto"/>
        <w:tabs>
          <w:tab w:leader="none" w:pos="26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Arial" w:cs="Arial" w:eastAsia="Arial" w:hAnsi="Arial"/>
          <w:sz w:val="18"/>
          <w:szCs w:val="18"/>
          <w:u w:val="single" w:color="auto"/>
          <w:color w:val="auto"/>
        </w:rPr>
        <w:t>Section 10(d)</w:t>
      </w:r>
      <w:r>
        <w:rPr>
          <w:rFonts w:ascii="Arial" w:cs="Arial" w:eastAsia="Arial" w:hAnsi="Arial"/>
          <w:sz w:val="18"/>
          <w:szCs w:val="18"/>
          <w:color w:val="auto"/>
        </w:rPr>
        <w:t xml:space="preserve"> below) any such settlement is effected with the written consent of the Company, which consent shall not unreasonably be withheld, conditioned or delayed; and</w:t>
      </w:r>
    </w:p>
    <w:p>
      <w:pPr>
        <w:spacing w:after="0" w:line="188" w:lineRule="exact"/>
        <w:rPr>
          <w:rFonts w:ascii="Arial" w:cs="Arial" w:eastAsia="Arial" w:hAnsi="Arial"/>
          <w:sz w:val="18"/>
          <w:szCs w:val="18"/>
          <w:color w:val="auto"/>
        </w:rPr>
      </w:pPr>
    </w:p>
    <w:p>
      <w:pPr>
        <w:ind w:right="20" w:firstLine="1953"/>
        <w:spacing w:after="0" w:line="259" w:lineRule="auto"/>
        <w:tabs>
          <w:tab w:leader="none" w:pos="2633"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the Agent expressly for use in the Registration Statement (or any amendment thereto), or in any related Issuer Free Writing Prospectus or the Prospectus (or any amendment or supplement thereto).</w:t>
      </w:r>
    </w:p>
    <w:p>
      <w:pPr>
        <w:spacing w:after="0" w:line="187" w:lineRule="exact"/>
        <w:rPr>
          <w:sz w:val="20"/>
          <w:szCs w:val="20"/>
          <w:color w:val="auto"/>
        </w:rPr>
      </w:pPr>
    </w:p>
    <w:p>
      <w:pPr>
        <w:ind w:right="80" w:firstLine="1305"/>
        <w:spacing w:after="0" w:line="253"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Agent Indemnification</w:t>
      </w:r>
      <w:r>
        <w:rPr>
          <w:rFonts w:ascii="Arial" w:cs="Arial" w:eastAsia="Arial" w:hAnsi="Arial"/>
          <w:sz w:val="18"/>
          <w:szCs w:val="18"/>
          <w:color w:val="auto"/>
        </w:rPr>
        <w:t xml:space="preserve">. Agent agrees to indemnify and hold harmless the Company and its directors and each officer and director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Arial" w:cs="Arial" w:eastAsia="Arial" w:hAnsi="Arial"/>
          <w:sz w:val="18"/>
          <w:szCs w:val="18"/>
          <w:u w:val="single" w:color="auto"/>
          <w:color w:val="auto"/>
        </w:rPr>
        <w:t>Section 10(a)</w:t>
      </w:r>
      <w:r>
        <w:rPr>
          <w:rFonts w:ascii="Arial" w:cs="Arial" w:eastAsia="Arial" w:hAnsi="Arial"/>
          <w:sz w:val="18"/>
          <w:szCs w:val="18"/>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w:t>
      </w:r>
    </w:p>
    <w:p>
      <w:pPr>
        <w:spacing w:after="0" w:line="197" w:lineRule="exact"/>
        <w:rPr>
          <w:rFonts w:ascii="Arial" w:cs="Arial" w:eastAsia="Arial" w:hAnsi="Arial"/>
          <w:sz w:val="18"/>
          <w:szCs w:val="18"/>
          <w:color w:val="auto"/>
        </w:rPr>
      </w:pPr>
    </w:p>
    <w:p>
      <w:pPr>
        <w:ind w:firstLine="1305"/>
        <w:spacing w:after="0" w:line="312" w:lineRule="auto"/>
        <w:tabs>
          <w:tab w:leader="none" w:pos="195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notify each such indemnifying party of the commencement of such action, enclosing a copy of all papers served, but the omission so to notify such</w:t>
      </w:r>
    </w:p>
    <w:p>
      <w:pPr>
        <w:sectPr>
          <w:pgSz w:w="11900" w:h="16952" w:orient="portrait"/>
          <w:cols w:equalWidth="0" w:num="1">
            <w:col w:w="11400"/>
          </w:cols>
          <w:pgMar w:left="240" w:top="125" w:right="259" w:bottom="0" w:gutter="0" w:footer="0" w:header="0"/>
        </w:sectPr>
      </w:pPr>
    </w:p>
    <w:bookmarkStart w:id="42" w:name="page43"/>
    <w:bookmarkEnd w:id="42"/>
    <w:p>
      <w:pPr>
        <w:spacing w:after="0" w:line="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indemnifying party will not relieve the indemnifying party from (i) any liability that it might have to any indemnified party otherwise than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(ii) any liability that it may have to any indemnified party under the foregoing provision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384" w:lineRule="exact"/>
        <w:rPr>
          <w:sz w:val="20"/>
          <w:szCs w:val="20"/>
          <w:color w:val="auto"/>
        </w:rPr>
      </w:pPr>
    </w:p>
    <w:p>
      <w:pPr>
        <w:ind w:right="40" w:firstLine="1305"/>
        <w:spacing w:after="0" w:line="255"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Settlement Without Consent if Failure to Reimburse</w:t>
      </w:r>
      <w:r>
        <w:rPr>
          <w:rFonts w:ascii="Arial" w:cs="Arial" w:eastAsia="Arial" w:hAnsi="Arial"/>
          <w:sz w:val="18"/>
          <w:szCs w:val="18"/>
          <w:i w:val="1"/>
          <w:iCs w:val="1"/>
          <w:color w:val="auto"/>
        </w:rPr>
        <w:t>.</w:t>
      </w:r>
      <w:r>
        <w:rPr>
          <w:rFonts w:ascii="Arial" w:cs="Arial" w:eastAsia="Arial" w:hAnsi="Arial"/>
          <w:sz w:val="18"/>
          <w:szCs w:val="18"/>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Arial" w:cs="Arial" w:eastAsia="Arial" w:hAnsi="Arial"/>
          <w:sz w:val="18"/>
          <w:szCs w:val="18"/>
          <w:u w:val="single" w:color="auto"/>
          <w:color w:val="auto"/>
        </w:rPr>
        <w:t>Section 10(a)(ii)</w:t>
      </w:r>
      <w:r>
        <w:rPr>
          <w:rFonts w:ascii="Arial" w:cs="Arial" w:eastAsia="Arial" w:hAnsi="Arial"/>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93" w:lineRule="exact"/>
        <w:rPr>
          <w:rFonts w:ascii="Arial" w:cs="Arial" w:eastAsia="Arial" w:hAnsi="Arial"/>
          <w:sz w:val="18"/>
          <w:szCs w:val="18"/>
          <w:color w:val="auto"/>
        </w:rPr>
      </w:pPr>
    </w:p>
    <w:p>
      <w:pPr>
        <w:ind w:right="40" w:firstLine="1305"/>
        <w:spacing w:after="0" w:line="277" w:lineRule="auto"/>
        <w:tabs>
          <w:tab w:leader="none" w:pos="195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In order to provide for just and equitable contribution in circumstances in which the indemnification provided for in the foregoing paragraphs of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any person who controls a party to this Agreement within the meaning of the Securities Act, and any officers, directors, partners, employees or agents of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except to the extent that the failure to so notify such other party materially prejudiced the substantive rights or</w:t>
      </w:r>
    </w:p>
    <w:p>
      <w:pPr>
        <w:sectPr>
          <w:pgSz w:w="11900" w:h="16851" w:orient="portrait"/>
          <w:cols w:equalWidth="0" w:num="1">
            <w:col w:w="11400"/>
          </w:cols>
          <w:pgMar w:left="240" w:top="125" w:right="259" w:bottom="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51" w:orient="portrait"/>
          <w:cols w:equalWidth="0" w:num="1">
            <w:col w:w="11400"/>
          </w:cols>
          <w:pgMar w:left="240" w:top="125" w:right="259" w:bottom="0" w:gutter="0" w:footer="0" w:header="0"/>
          <w:type w:val="continuous"/>
        </w:sectPr>
      </w:pPr>
    </w:p>
    <w:bookmarkStart w:id="43" w:name="page44"/>
    <w:bookmarkEnd w:id="43"/>
    <w:p>
      <w:pPr>
        <w:ind w:right="2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defenses of the party from whom contribution is sought. Except for a settlement entered into pursuant to the last sentence of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hereof, no party will be liable for contribution with respect to any action or claim settled without its written consent if such consent is required pursuant to</w:t>
      </w:r>
    </w:p>
    <w:p>
      <w:pPr>
        <w:spacing w:after="0"/>
        <w:rPr>
          <w:sz w:val="20"/>
          <w:szCs w:val="20"/>
          <w:color w:val="auto"/>
        </w:rPr>
      </w:pPr>
      <w:r>
        <w:rPr>
          <w:rFonts w:ascii="Arial" w:cs="Arial" w:eastAsia="Arial" w:hAnsi="Arial"/>
          <w:sz w:val="18"/>
          <w:szCs w:val="18"/>
          <w:u w:val="single" w:color="auto"/>
          <w:color w:val="auto"/>
        </w:rPr>
        <w:t>Section 10(c)</w:t>
      </w:r>
      <w:r>
        <w:rPr>
          <w:rFonts w:ascii="Arial" w:cs="Arial" w:eastAsia="Arial" w:hAnsi="Arial"/>
          <w:sz w:val="18"/>
          <w:szCs w:val="18"/>
          <w:color w:val="auto"/>
        </w:rPr>
        <w:t xml:space="preserve"> hereof.</w:t>
      </w:r>
    </w:p>
    <w:p>
      <w:pPr>
        <w:spacing w:after="0" w:line="211" w:lineRule="exact"/>
        <w:rPr>
          <w:sz w:val="20"/>
          <w:szCs w:val="20"/>
          <w:color w:val="auto"/>
        </w:rPr>
      </w:pPr>
    </w:p>
    <w:p>
      <w:pPr>
        <w:ind w:right="40" w:firstLine="656"/>
        <w:spacing w:after="0" w:line="302" w:lineRule="auto"/>
        <w:tabs>
          <w:tab w:leader="none" w:pos="128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xml:space="preserve">. The indemnity and contribution agreements contained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5" w:lineRule="auto"/>
        <w:tabs>
          <w:tab w:leader="none" w:pos="1942"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(Payment of Expenses),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(Indemnification and Contribution),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(Representations and Agreements to Survive Delivery),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(Governing Law and Time; Waiver of Jury Trial)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(Consent to Jurisdiction) hereof shall remain in full force and effect notwithstanding such termination. If the Agent elects to terminate this Agreement as provided in this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the Agent shall provide the required notice as specified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(Notices).</w:t>
      </w:r>
    </w:p>
    <w:p>
      <w:pPr>
        <w:spacing w:after="0" w:line="175" w:lineRule="exact"/>
        <w:rPr>
          <w:rFonts w:ascii="Arial" w:cs="Arial" w:eastAsia="Arial" w:hAnsi="Arial"/>
          <w:sz w:val="16"/>
          <w:szCs w:val="16"/>
          <w:color w:val="auto"/>
        </w:rPr>
      </w:pPr>
    </w:p>
    <w:p>
      <w:pPr>
        <w:ind w:right="260" w:firstLine="1305"/>
        <w:spacing w:after="0" w:line="308" w:lineRule="auto"/>
        <w:tabs>
          <w:tab w:leader="none" w:pos="1952"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Company shall have the right, by giving ten (10) days notice as hereinafter specified to terminate this Agreement in its sole discretion at any time after the date of this Agreement. Any such termination shall be without liability of any party to any other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party except that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hereof shall remain in full force and effect notwithstanding such termination.</w:t>
      </w:r>
    </w:p>
    <w:p>
      <w:pPr>
        <w:spacing w:after="0" w:line="170" w:lineRule="exact"/>
        <w:rPr>
          <w:sz w:val="20"/>
          <w:szCs w:val="20"/>
          <w:color w:val="auto"/>
        </w:rPr>
      </w:pPr>
    </w:p>
    <w:p>
      <w:pPr>
        <w:ind w:right="500" w:firstLine="1305"/>
        <w:spacing w:after="0" w:line="312" w:lineRule="auto"/>
        <w:tabs>
          <w:tab w:leader="none" w:pos="19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hereof shall remain in full force and effect notwithstanding such termination.</w:t>
      </w:r>
    </w:p>
    <w:p>
      <w:pPr>
        <w:spacing w:after="0" w:line="146" w:lineRule="exact"/>
        <w:rPr>
          <w:rFonts w:ascii="Arial" w:cs="Arial" w:eastAsia="Arial" w:hAnsi="Arial"/>
          <w:sz w:val="16"/>
          <w:szCs w:val="16"/>
          <w:color w:val="auto"/>
        </w:rPr>
      </w:pPr>
    </w:p>
    <w:p>
      <w:pPr>
        <w:ind w:right="200" w:firstLine="1305"/>
        <w:spacing w:after="0" w:line="286" w:lineRule="auto"/>
        <w:tabs>
          <w:tab w:leader="none" w:pos="1952"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Unless earlier terminated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this Agreement shall automatically terminate upon the issuance and sale of all of the Placement Shares through the Agent on the terms and subject to the conditions set forth herein; provided that the provisions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hereof shall remain in full force and effect notwithstanding such termination.</w:t>
      </w:r>
    </w:p>
    <w:p>
      <w:pPr>
        <w:spacing w:after="0" w:line="165" w:lineRule="exact"/>
        <w:rPr>
          <w:rFonts w:ascii="Arial" w:cs="Arial" w:eastAsia="Arial" w:hAnsi="Arial"/>
          <w:sz w:val="17"/>
          <w:szCs w:val="17"/>
          <w:color w:val="auto"/>
        </w:rPr>
      </w:pPr>
    </w:p>
    <w:p>
      <w:pPr>
        <w:ind w:right="120" w:firstLine="1305"/>
        <w:spacing w:after="0" w:line="264" w:lineRule="auto"/>
        <w:tabs>
          <w:tab w:leader="none" w:pos="19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or otherwise by mutual agreement of the parties; provided, however, that any such termination by mutual agreement shall in all cases be deemed to provide that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remain in full force and effect.</w:t>
      </w:r>
    </w:p>
    <w:p>
      <w:pPr>
        <w:spacing w:after="0" w:line="181" w:lineRule="exact"/>
        <w:rPr>
          <w:rFonts w:ascii="Arial" w:cs="Arial" w:eastAsia="Arial" w:hAnsi="Arial"/>
          <w:sz w:val="18"/>
          <w:szCs w:val="18"/>
          <w:color w:val="auto"/>
        </w:rPr>
      </w:pPr>
    </w:p>
    <w:p>
      <w:pPr>
        <w:ind w:right="220" w:firstLine="1305"/>
        <w:spacing w:after="0" w:line="259" w:lineRule="auto"/>
        <w:tabs>
          <w:tab w:leader="none" w:pos="19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87" w:lineRule="exact"/>
        <w:rPr>
          <w:sz w:val="20"/>
          <w:szCs w:val="20"/>
          <w:color w:val="auto"/>
        </w:rPr>
      </w:pPr>
    </w:p>
    <w:p>
      <w:pPr>
        <w:ind w:right="60" w:firstLine="656"/>
        <w:spacing w:after="0" w:line="277" w:lineRule="auto"/>
        <w:tabs>
          <w:tab w:leader="none" w:pos="129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Capital Markets/Jeff Lumby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307-3730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Stephen Merkel,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307-3730</w:t>
      </w:r>
    </w:p>
    <w:p>
      <w:pPr>
        <w:sectPr>
          <w:pgSz w:w="11900" w:h="16838" w:orient="portrait"/>
          <w:cols w:equalWidth="0" w:num="1">
            <w:col w:w="11420"/>
          </w:cols>
          <w:pgMar w:left="240" w:top="733" w:right="239" w:bottom="0" w:gutter="0" w:footer="0" w:header="0"/>
        </w:sectPr>
      </w:pPr>
    </w:p>
    <w:bookmarkStart w:id="44" w:name="page45"/>
    <w:bookmarkEnd w:id="44"/>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and with a copy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(650) 243-6301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Stanton D. Wong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(415) 983-1200</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w:t>
      </w:r>
    </w:p>
    <w:p>
      <w:pPr>
        <w:ind w:right="20" w:firstLine="8"/>
        <w:spacing w:after="0" w:line="255" w:lineRule="auto"/>
        <w:tabs>
          <w:tab w:leader="none" w:pos="2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the Exchange and commercial banks in the City of New York are open for business.</w:t>
      </w:r>
    </w:p>
    <w:p>
      <w:pPr>
        <w:spacing w:after="0" w:line="18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xml:space="preserve">”) shall be deemed written notice for purposes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w:t>
      </w:r>
      <w:r>
        <w:rPr>
          <w:rFonts w:ascii="Arial" w:cs="Arial" w:eastAsia="Arial" w:hAnsi="Arial"/>
          <w:sz w:val="18"/>
          <w:szCs w:val="18"/>
          <w:b w:val="1"/>
          <w:bCs w:val="1"/>
          <w:color w:val="auto"/>
        </w:rPr>
        <w:t>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88" w:lineRule="exact"/>
        <w:rPr>
          <w:sz w:val="20"/>
          <w:szCs w:val="20"/>
          <w:color w:val="auto"/>
        </w:rPr>
      </w:pPr>
    </w:p>
    <w:p>
      <w:pPr>
        <w:ind w:right="60" w:firstLine="656"/>
        <w:spacing w:after="0" w:line="257" w:lineRule="auto"/>
        <w:tabs>
          <w:tab w:leader="none" w:pos="129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the Agent and their respective successors and the affiliates, controlling persons, officers and directors referred to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expressly provided in this Agreement. Neither party may assign its rights or obligations under this Agreement without the prior written consent of the other party; provided, however, that the Agent may assign its rights and obligations hereunder to an affiliate thereof without obtaining the Company’s consent so long as such affiliate is a registered broker-dealer and Agent provides notice of such assignment to the Company.</w:t>
      </w:r>
    </w:p>
    <w:p>
      <w:pPr>
        <w:spacing w:after="0" w:line="166" w:lineRule="exact"/>
        <w:rPr>
          <w:sz w:val="20"/>
          <w:szCs w:val="20"/>
          <w:color w:val="auto"/>
        </w:rPr>
      </w:pPr>
    </w:p>
    <w:p>
      <w:pPr>
        <w:ind w:right="500" w:firstLine="656"/>
        <w:spacing w:after="0" w:line="308" w:lineRule="auto"/>
        <w:tabs>
          <w:tab w:leader="none" w:pos="129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Adjustments for Stock Splits</w:t>
      </w:r>
      <w:r>
        <w:rPr>
          <w:rFonts w:ascii="Arial" w:cs="Arial" w:eastAsia="Arial" w:hAnsi="Arial"/>
          <w:sz w:val="17"/>
          <w:szCs w:val="17"/>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46" w:lineRule="exact"/>
        <w:rPr>
          <w:rFonts w:ascii="Arial" w:cs="Arial" w:eastAsia="Arial" w:hAnsi="Arial"/>
          <w:sz w:val="17"/>
          <w:szCs w:val="17"/>
          <w:color w:val="auto"/>
        </w:rPr>
      </w:pPr>
    </w:p>
    <w:p>
      <w:pPr>
        <w:ind w:firstLine="656"/>
        <w:spacing w:after="0" w:line="290" w:lineRule="auto"/>
        <w:tabs>
          <w:tab w:leader="none" w:pos="129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62" w:lineRule="exact"/>
        <w:rPr>
          <w:rFonts w:ascii="Arial" w:cs="Arial" w:eastAsia="Arial" w:hAnsi="Arial"/>
          <w:sz w:val="16"/>
          <w:szCs w:val="16"/>
          <w:color w:val="auto"/>
        </w:rPr>
      </w:pPr>
    </w:p>
    <w:p>
      <w:pPr>
        <w:ind w:right="120" w:firstLine="656"/>
        <w:spacing w:after="0" w:line="258" w:lineRule="auto"/>
        <w:tabs>
          <w:tab w:leader="none" w:pos="1292"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color w:val="auto"/>
        </w:rPr>
      </w:pPr>
    </w:p>
    <w:p>
      <w:pPr>
        <w:ind w:right="220" w:firstLine="656"/>
        <w:spacing w:after="0" w:line="266" w:lineRule="auto"/>
        <w:tabs>
          <w:tab w:leader="none" w:pos="1292"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w:t>
      </w:r>
    </w:p>
    <w:p>
      <w:pPr>
        <w:sectPr>
          <w:pgSz w:w="11900" w:h="16919" w:orient="portrait"/>
          <w:cols w:equalWidth="0" w:num="1">
            <w:col w:w="11400"/>
          </w:cols>
          <w:pgMar w:left="240" w:top="125" w:right="259" w:bottom="0" w:gutter="0" w:footer="0" w:header="0"/>
        </w:sectPr>
      </w:pPr>
    </w:p>
    <w:bookmarkStart w:id="45" w:name="page46"/>
    <w:bookmarkEnd w:id="45"/>
    <w:p>
      <w:pPr>
        <w:ind w:right="140"/>
        <w:spacing w:after="0" w:line="256" w:lineRule="auto"/>
        <w:rPr>
          <w:sz w:val="20"/>
          <w:szCs w:val="20"/>
          <w:color w:val="auto"/>
        </w:rPr>
      </w:pPr>
      <w:r>
        <w:rPr>
          <w:rFonts w:ascii="Arial" w:cs="Arial" w:eastAsia="Arial" w:hAnsi="Arial"/>
          <w:sz w:val="18"/>
          <w:szCs w:val="18"/>
          <w:b w:val="1"/>
          <w:bCs w:val="1"/>
          <w:color w:val="auto"/>
        </w:rPr>
        <w:t>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0" w:lineRule="exact"/>
        <w:rPr>
          <w:sz w:val="20"/>
          <w:szCs w:val="20"/>
          <w:color w:val="auto"/>
        </w:rPr>
      </w:pPr>
    </w:p>
    <w:p>
      <w:pPr>
        <w:ind w:right="480" w:firstLine="656"/>
        <w:spacing w:after="0" w:line="264" w:lineRule="auto"/>
        <w:tabs>
          <w:tab w:leader="none" w:pos="129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Use of Information</w:t>
      </w:r>
      <w:r>
        <w:rPr>
          <w:rFonts w:ascii="Arial" w:cs="Arial" w:eastAsia="Arial" w:hAnsi="Arial"/>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81" w:lineRule="exact"/>
        <w:rPr>
          <w:rFonts w:ascii="Arial" w:cs="Arial" w:eastAsia="Arial" w:hAnsi="Arial"/>
          <w:sz w:val="18"/>
          <w:szCs w:val="18"/>
          <w:color w:val="auto"/>
        </w:rPr>
      </w:pPr>
    </w:p>
    <w:p>
      <w:pPr>
        <w:ind w:right="140" w:firstLine="656"/>
        <w:spacing w:after="0" w:line="342" w:lineRule="auto"/>
        <w:tabs>
          <w:tab w:leader="none" w:pos="129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and exhibit headings herein are for convenience only and shall not affect the construction hereof.</w:t>
      </w:r>
    </w:p>
    <w:p>
      <w:pPr>
        <w:spacing w:after="0" w:line="236" w:lineRule="exact"/>
        <w:rPr>
          <w:rFonts w:ascii="Arial" w:cs="Arial" w:eastAsia="Arial" w:hAnsi="Arial"/>
          <w:sz w:val="17"/>
          <w:szCs w:val="17"/>
          <w:color w:val="auto"/>
        </w:rPr>
      </w:pPr>
    </w:p>
    <w:p>
      <w:pPr>
        <w:ind w:right="100" w:firstLine="656"/>
        <w:spacing w:after="0" w:line="253" w:lineRule="auto"/>
        <w:tabs>
          <w:tab w:leader="none" w:pos="129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xml:space="preserve">. The Company represents, warrants and agrees that, unless it obtains the prior consent of the Agent, which consent shall not be unreasonably withheld, conditioned or delayed, and the Agent represents, warrants and agrees that, unless it obtains the prior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8"/>
          <w:szCs w:val="18"/>
          <w:u w:val="single" w:color="auto"/>
          <w:color w:val="auto"/>
        </w:rPr>
        <w:t>Exhibit 22</w:t>
      </w:r>
      <w:r>
        <w:rPr>
          <w:rFonts w:ascii="Arial" w:cs="Arial" w:eastAsia="Arial" w:hAnsi="Arial"/>
          <w:sz w:val="18"/>
          <w:szCs w:val="18"/>
          <w:color w:val="auto"/>
        </w:rPr>
        <w:t xml:space="preserve"> hereto are Permitted Free Writing Prospectuses.</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rFonts w:ascii="Arial" w:cs="Arial" w:eastAsia="Arial" w:hAnsi="Arial"/>
          <w:sz w:val="18"/>
          <w:szCs w:val="18"/>
          <w:color w:val="auto"/>
        </w:rPr>
      </w:pPr>
    </w:p>
    <w:p>
      <w:pPr>
        <w:ind w:right="20" w:firstLine="1305"/>
        <w:spacing w:after="0" w:line="255" w:lineRule="auto"/>
        <w:tabs>
          <w:tab w:leader="none" w:pos="194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1305"/>
        <w:spacing w:after="0" w:line="277" w:lineRule="auto"/>
        <w:tabs>
          <w:tab w:leader="none" w:pos="19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260" w:firstLine="1305"/>
        <w:spacing w:after="0" w:line="342" w:lineRule="auto"/>
        <w:tabs>
          <w:tab w:leader="none" w:pos="195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23" w:lineRule="exact"/>
        <w:rPr>
          <w:rFonts w:ascii="Arial" w:cs="Arial" w:eastAsia="Arial" w:hAnsi="Arial"/>
          <w:sz w:val="16"/>
          <w:szCs w:val="16"/>
          <w:color w:val="auto"/>
        </w:rPr>
      </w:pPr>
    </w:p>
    <w:p>
      <w:pPr>
        <w:jc w:val="both"/>
        <w:ind w:right="20" w:firstLine="1305"/>
        <w:spacing w:after="0" w:line="264" w:lineRule="auto"/>
        <w:tabs>
          <w:tab w:leader="none" w:pos="19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firstLine="1305"/>
        <w:spacing w:after="0" w:line="255" w:lineRule="auto"/>
        <w:tabs>
          <w:tab w:leader="none" w:pos="195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the Agent’s counsel confidential to the extent not otherwise publicly-available.</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Time</w:t>
      </w:r>
      <w:r>
        <w:rPr>
          <w:rFonts w:ascii="Arial" w:cs="Arial" w:eastAsia="Arial" w:hAnsi="Arial"/>
          <w:sz w:val="17"/>
          <w:szCs w:val="17"/>
          <w:color w:val="auto"/>
        </w:rPr>
        <w:t>” means (i) each Representation Date and (ii) the time of each sale of any Placement Shares pursuant to this Agreement.</w:t>
      </w:r>
    </w:p>
    <w:p>
      <w:pPr>
        <w:spacing w:after="0" w:line="23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right="100" w:firstLine="8"/>
        <w:spacing w:after="0" w:line="277" w:lineRule="auto"/>
        <w:tabs>
          <w:tab w:leader="none" w:pos="21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ectPr>
          <w:pgSz w:w="11900" w:h="16838" w:orient="portrait"/>
          <w:cols w:equalWidth="0" w:num="1">
            <w:col w:w="11420"/>
          </w:cols>
          <w:pgMar w:left="240" w:top="121" w:right="239" w:bottom="0" w:gutter="0" w:footer="0" w:header="0"/>
        </w:sectPr>
      </w:pPr>
    </w:p>
    <w:bookmarkStart w:id="46" w:name="page47"/>
    <w:bookmarkEnd w:id="46"/>
    <w:p>
      <w:pPr>
        <w:ind w:right="5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Rule 164</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172</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405</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424</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424(b)</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430B</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Rule 433</w:t>
      </w:r>
      <w:r>
        <w:rPr>
          <w:rFonts w:ascii="Arial" w:cs="Arial" w:eastAsia="Arial" w:hAnsi="Arial"/>
          <w:sz w:val="18"/>
          <w:szCs w:val="18"/>
          <w:color w:val="auto"/>
        </w:rPr>
        <w:t>” refer to such rules under the Securities Act Regulations.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 For the purposes of clarity, any financial information that is furnished by the Company and not filed shall not be deemed incorporated by reference in the Registration Statement or the Prospectus.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Bonnie H. Anderson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ACCEPTED as of the date first-above written:</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CANTOR FITZGERALD &amp; CO.</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Lumby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Jeffrey Lumby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Managing Director</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VERACYTE, INC. —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12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1220" w:space="720"/>
            <w:col w:w="9340"/>
          </w:cols>
          <w:pgMar w:left="240" w:top="121" w:right="37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Cantor Fitzgerald &amp; Co.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w:t>
      </w:r>
    </w:p>
    <w:p>
      <w:pPr>
        <w:spacing w:after="0" w:line="200" w:lineRule="exact"/>
        <w:rPr>
          <w:sz w:val="20"/>
          <w:szCs w:val="20"/>
          <w:color w:val="auto"/>
        </w:rPr>
      </w:pPr>
    </w:p>
    <w:p>
      <w:pPr>
        <w:sectPr>
          <w:pgSz w:w="11900" w:h="16838" w:orient="portrait"/>
          <w:cols w:equalWidth="0" w:num="2">
            <w:col w:w="1220" w:space="720"/>
            <w:col w:w="9340"/>
          </w:cols>
          <w:pgMar w:left="240" w:top="121" w:right="379" w:bottom="0" w:gutter="0" w:footer="0" w:header="0"/>
          <w:type w:val="continuous"/>
        </w:sectPr>
      </w:pPr>
    </w:p>
    <w:p>
      <w:pPr>
        <w:spacing w:after="0" w:line="11"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Placement Notice</w:t>
      </w:r>
    </w:p>
    <w:p>
      <w:pPr>
        <w:spacing w:after="0" w:line="200" w:lineRule="exact"/>
        <w:rPr>
          <w:sz w:val="20"/>
          <w:szCs w:val="20"/>
          <w:color w:val="auto"/>
        </w:rPr>
      </w:pPr>
    </w:p>
    <w:p>
      <w:pPr>
        <w:sectPr>
          <w:pgSz w:w="11900" w:h="16838" w:orient="portrait"/>
          <w:cols w:equalWidth="0" w:num="2">
            <w:col w:w="1240" w:space="700"/>
            <w:col w:w="9340"/>
          </w:cols>
          <w:pgMar w:left="240" w:top="121" w:right="37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2015</w:t>
      </w:r>
    </w:p>
    <w:p>
      <w:pPr>
        <w:spacing w:after="0" w:line="200" w:lineRule="exact"/>
        <w:rPr>
          <w:sz w:val="20"/>
          <w:szCs w:val="20"/>
          <w:color w:val="auto"/>
        </w:rPr>
      </w:pPr>
    </w:p>
    <w:p>
      <w:pPr>
        <w:sectPr>
          <w:pgSz w:w="11900" w:h="16838" w:orient="portrait"/>
          <w:cols w:equalWidth="0" w:num="2">
            <w:col w:w="1220" w:space="720"/>
            <w:col w:w="9340"/>
          </w:cols>
          <w:pgMar w:left="240" w:top="121" w:right="37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Ladies and Gentlemen:</w:t>
      </w:r>
    </w:p>
    <w:p>
      <w:pPr>
        <w:sectPr>
          <w:pgSz w:w="11900" w:h="16838" w:orient="portrait"/>
          <w:cols w:equalWidth="0" w:num="1">
            <w:col w:w="11280"/>
          </w:cols>
          <w:pgMar w:left="240" w:top="121" w:right="379" w:bottom="0" w:gutter="0" w:footer="0" w:header="0"/>
          <w:type w:val="continuous"/>
        </w:sectPr>
      </w:pPr>
    </w:p>
    <w:bookmarkStart w:id="47" w:name="page48"/>
    <w:bookmarkEnd w:id="47"/>
    <w:p>
      <w:pPr>
        <w:ind w:left="660"/>
        <w:spacing w:after="0"/>
        <w:rPr>
          <w:sz w:val="20"/>
          <w:szCs w:val="20"/>
          <w:color w:val="auto"/>
        </w:rPr>
      </w:pPr>
      <w:r>
        <w:rPr>
          <w:rFonts w:ascii="Arial" w:cs="Arial" w:eastAsia="Arial" w:hAnsi="Arial"/>
          <w:sz w:val="16"/>
          <w:szCs w:val="16"/>
          <w:color w:val="auto"/>
        </w:rPr>
        <w:t>Pursuant to the terms and subject to the conditions contained in the Sales Agreement between Veracyte, Inc., a Delaware corporation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and Cantor Fitzgerald &amp; Co. (“</w:t>
      </w:r>
      <w:r>
        <w:rPr>
          <w:rFonts w:ascii="Arial" w:cs="Arial" w:eastAsia="Arial" w:hAnsi="Arial"/>
          <w:sz w:val="16"/>
          <w:szCs w:val="16"/>
          <w:b w:val="1"/>
          <w:bCs w:val="1"/>
          <w:u w:val="single" w:color="auto"/>
          <w:color w:val="auto"/>
        </w:rPr>
        <w:t>Agent</w:t>
      </w:r>
      <w:r>
        <w:rPr>
          <w:rFonts w:ascii="Arial" w:cs="Arial" w:eastAsia="Arial" w:hAnsi="Arial"/>
          <w:sz w:val="16"/>
          <w:szCs w:val="16"/>
          <w:color w:val="auto"/>
        </w:rPr>
        <w:t>”), dated June 24, 2015, the Company hereby requests that the Agent sell up to [·]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$0.001 per share, at a minimum market price of $[·] per share, during the time period beginning [month, day, time] and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shall pay to the Agent in cash, upon each sale of Placement Shares pursuant to this Agreement, an amount equal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40"/>
          </w:cols>
          <w:pgMar w:left="240" w:top="341" w:right="6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Shelly Guyer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Julie Brooks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Bonnie Anderson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 Lumby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 Feldman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Sameer Vasudev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230505</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238125</wp:posOffset>
            </wp:positionV>
            <wp:extent cx="1826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3537585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230505</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230505</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5880"/>
          </w:cols>
          <w:pgMar w:left="240" w:top="341" w:right="61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Allegro Diagnostics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Permitted Free Writing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40"/>
          </w:cols>
          <w:pgMar w:left="240" w:top="341" w:right="619" w:bottom="0" w:gutter="0" w:footer="0" w:header="0"/>
          <w:type w:val="continuous"/>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ind w:right="40"/>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5980" w:hanging="596"/>
        <w:spacing w:after="0"/>
        <w:tabs>
          <w:tab w:leader="none" w:pos="59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i w:val="1"/>
          <w:i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1920" w:type="dxa"/>
            <w:vAlign w:val="bottom"/>
          </w:tcPr>
          <w:p>
            <w:pPr>
              <w:ind w:left="1060"/>
              <w:spacing w:after="0"/>
              <w:rPr>
                <w:sz w:val="20"/>
                <w:szCs w:val="20"/>
                <w:color w:val="auto"/>
              </w:rPr>
            </w:pPr>
            <w:r>
              <w:rPr>
                <w:rFonts w:ascii="Arial" w:cs="Arial" w:eastAsia="Arial" w:hAnsi="Arial"/>
                <w:sz w:val="18"/>
                <w:szCs w:val="18"/>
                <w:b w:val="1"/>
                <w:bCs w:val="1"/>
                <w:color w:val="auto"/>
              </w:rPr>
              <w:t>Indenture</w:t>
            </w:r>
          </w:p>
        </w:tc>
        <w:tc>
          <w:tcPr>
            <w:tcW w:w="9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80" w:type="dxa"/>
            <w:vAlign w:val="bottom"/>
          </w:tcPr>
          <w:p>
            <w:pPr>
              <w:spacing w:after="0"/>
              <w:rPr>
                <w:sz w:val="20"/>
                <w:szCs w:val="20"/>
                <w:color w:val="auto"/>
              </w:rPr>
            </w:pPr>
          </w:p>
        </w:tc>
        <w:tc>
          <w:tcPr>
            <w:tcW w:w="19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Dated as of</w:t>
            </w: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i w:val="1"/>
                <w:iCs w:val="1"/>
                <w:color w:val="auto"/>
              </w:rPr>
              <w:t>, 20</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428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2"/>
        </w:trPr>
        <w:tc>
          <w:tcPr>
            <w:tcW w:w="4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
        </w:trPr>
        <w:tc>
          <w:tcPr>
            <w:tcW w:w="4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48"/>
        </w:trPr>
        <w:tc>
          <w:tcPr>
            <w:tcW w:w="428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4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and tie between Trust Indenture Act of 1939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ind w:left="4360"/>
              <w:spacing w:after="0"/>
              <w:rPr>
                <w:sz w:val="20"/>
                <w:szCs w:val="20"/>
                <w:color w:val="auto"/>
              </w:rPr>
            </w:pPr>
            <w:r>
              <w:rPr>
                <w:rFonts w:ascii="Arial" w:cs="Arial" w:eastAsia="Arial" w:hAnsi="Arial"/>
                <w:sz w:val="18"/>
                <w:szCs w:val="18"/>
                <w:b w:val="1"/>
                <w:bCs w:val="1"/>
                <w:color w:val="auto"/>
              </w:rPr>
              <w:t>Indenture, dated as of</w:t>
            </w:r>
          </w:p>
        </w:tc>
        <w:tc>
          <w:tcPr>
            <w:tcW w:w="1860" w:type="dxa"/>
            <w:vAlign w:val="bottom"/>
          </w:tcPr>
          <w:p>
            <w:pPr>
              <w:jc w:val="right"/>
              <w:ind w:right="1130"/>
              <w:spacing w:after="0"/>
              <w:rPr>
                <w:sz w:val="20"/>
                <w:szCs w:val="20"/>
                <w:color w:val="auto"/>
              </w:rPr>
            </w:pPr>
            <w:r>
              <w:rPr>
                <w:rFonts w:ascii="Arial" w:cs="Arial" w:eastAsia="Arial" w:hAnsi="Arial"/>
                <w:sz w:val="18"/>
                <w:szCs w:val="18"/>
                <w:b w:val="1"/>
                <w:bCs w:val="1"/>
                <w:color w:val="auto"/>
              </w:rPr>
              <w:t>, 20</w:t>
            </w: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Trust Indenture</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jc w:val="right"/>
              <w:ind w:right="1031"/>
              <w:spacing w:after="0"/>
              <w:rPr>
                <w:sz w:val="20"/>
                <w:szCs w:val="20"/>
                <w:color w:val="auto"/>
              </w:rPr>
            </w:pPr>
            <w:r>
              <w:rPr>
                <w:rFonts w:ascii="Arial" w:cs="Arial" w:eastAsia="Arial" w:hAnsi="Arial"/>
                <w:sz w:val="14"/>
                <w:szCs w:val="14"/>
                <w:b w:val="1"/>
                <w:bCs w:val="1"/>
                <w:color w:val="auto"/>
              </w:rPr>
              <w:t>Indenture</w:t>
            </w:r>
          </w:p>
        </w:tc>
        <w:tc>
          <w:tcPr>
            <w:tcW w:w="0" w:type="dxa"/>
            <w:vAlign w:val="bottom"/>
          </w:tcPr>
          <w:p>
            <w:pPr>
              <w:spacing w:after="0"/>
              <w:rPr>
                <w:sz w:val="1"/>
                <w:szCs w:val="1"/>
                <w:color w:val="auto"/>
              </w:rPr>
            </w:pPr>
          </w:p>
        </w:tc>
      </w:tr>
      <w:tr>
        <w:trPr>
          <w:trHeight w:val="17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Act Section</w:t>
            </w: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jc w:val="right"/>
              <w:ind w:right="1091"/>
              <w:spacing w:after="0"/>
              <w:rPr>
                <w:sz w:val="20"/>
                <w:szCs w:val="20"/>
                <w:color w:val="auto"/>
              </w:rPr>
            </w:pPr>
            <w:r>
              <w:rPr>
                <w:rFonts w:ascii="Arial" w:cs="Arial" w:eastAsia="Arial" w:hAnsi="Arial"/>
                <w:sz w:val="14"/>
                <w:szCs w:val="14"/>
                <w:b w:val="1"/>
                <w:bCs w:val="1"/>
                <w:color w:val="auto"/>
              </w:rPr>
              <w:t>Sections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(a)(2)</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(a)(3)</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(a)(4)</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1651"/>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(a)(5)</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(b)</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311(a)</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291"/>
              <w:spacing w:after="0"/>
              <w:rPr>
                <w:sz w:val="20"/>
                <w:szCs w:val="20"/>
                <w:color w:val="auto"/>
              </w:rPr>
            </w:pPr>
            <w:r>
              <w:rPr>
                <w:rFonts w:ascii="Arial" w:cs="Arial" w:eastAsia="Arial" w:hAnsi="Arial"/>
                <w:sz w:val="18"/>
                <w:szCs w:val="18"/>
                <w:color w:val="auto"/>
                <w:w w:val="84"/>
              </w:rPr>
              <w:t>613(a)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71"/>
              <w:spacing w:after="0"/>
              <w:rPr>
                <w:sz w:val="20"/>
                <w:szCs w:val="20"/>
                <w:color w:val="auto"/>
              </w:rPr>
            </w:pPr>
            <w:r>
              <w:rPr>
                <w:rFonts w:ascii="Arial" w:cs="Arial" w:eastAsia="Arial" w:hAnsi="Arial"/>
                <w:sz w:val="18"/>
                <w:szCs w:val="18"/>
                <w:color w:val="auto"/>
                <w:w w:val="88"/>
              </w:rPr>
              <w:t>613(b)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(b)(2)</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071"/>
              <w:spacing w:after="0"/>
              <w:rPr>
                <w:sz w:val="20"/>
                <w:szCs w:val="20"/>
                <w:color w:val="auto"/>
              </w:rPr>
            </w:pPr>
            <w:r>
              <w:rPr>
                <w:rFonts w:ascii="Arial" w:cs="Arial" w:eastAsia="Arial" w:hAnsi="Arial"/>
                <w:sz w:val="18"/>
                <w:szCs w:val="18"/>
                <w:color w:val="auto"/>
                <w:w w:val="89"/>
              </w:rPr>
              <w:t>703(a)(2)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71"/>
              <w:spacing w:after="0"/>
              <w:rPr>
                <w:sz w:val="20"/>
                <w:szCs w:val="20"/>
                <w:color w:val="auto"/>
              </w:rPr>
            </w:pPr>
            <w:r>
              <w:rPr>
                <w:rFonts w:ascii="Arial" w:cs="Arial" w:eastAsia="Arial" w:hAnsi="Arial"/>
                <w:sz w:val="18"/>
                <w:szCs w:val="18"/>
                <w:color w:val="auto"/>
                <w:w w:val="88"/>
              </w:rPr>
              <w:t>703(b)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312(a)</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w w:val="84"/>
              </w:rPr>
              <w:t>702(a)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(b)</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271"/>
              <w:spacing w:after="0"/>
              <w:rPr>
                <w:sz w:val="20"/>
                <w:szCs w:val="20"/>
                <w:color w:val="auto"/>
              </w:rPr>
            </w:pPr>
            <w:r>
              <w:rPr>
                <w:rFonts w:ascii="Arial" w:cs="Arial" w:eastAsia="Arial" w:hAnsi="Arial"/>
                <w:sz w:val="18"/>
                <w:szCs w:val="18"/>
                <w:color w:val="auto"/>
                <w:w w:val="88"/>
              </w:rPr>
              <w:t>702(b)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w w:val="86"/>
              </w:rPr>
              <w:t>702(c)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313(a)</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291"/>
              <w:spacing w:after="0"/>
              <w:rPr>
                <w:sz w:val="20"/>
                <w:szCs w:val="20"/>
                <w:color w:val="auto"/>
              </w:rPr>
            </w:pPr>
            <w:r>
              <w:rPr>
                <w:rFonts w:ascii="Arial" w:cs="Arial" w:eastAsia="Arial" w:hAnsi="Arial"/>
                <w:sz w:val="18"/>
                <w:szCs w:val="18"/>
                <w:color w:val="auto"/>
                <w:w w:val="84"/>
              </w:rPr>
              <w:t>703(a)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71"/>
              <w:spacing w:after="0"/>
              <w:rPr>
                <w:sz w:val="20"/>
                <w:szCs w:val="20"/>
                <w:color w:val="auto"/>
              </w:rPr>
            </w:pPr>
            <w:r>
              <w:rPr>
                <w:rFonts w:ascii="Arial" w:cs="Arial" w:eastAsia="Arial" w:hAnsi="Arial"/>
                <w:sz w:val="18"/>
                <w:szCs w:val="18"/>
                <w:color w:val="auto"/>
                <w:w w:val="88"/>
              </w:rPr>
              <w:t>703(b)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(c)</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1711"/>
              <w:spacing w:after="0"/>
              <w:rPr>
                <w:sz w:val="20"/>
                <w:szCs w:val="20"/>
                <w:color w:val="auto"/>
              </w:rPr>
            </w:pPr>
            <w:r>
              <w:rPr>
                <w:rFonts w:ascii="Arial" w:cs="Arial" w:eastAsia="Arial" w:hAnsi="Arial"/>
                <w:sz w:val="18"/>
                <w:szCs w:val="18"/>
                <w:color w:val="auto"/>
                <w:w w:val="89"/>
              </w:rPr>
              <w:t>703(a), 703(b)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w w:val="86"/>
              </w:rPr>
              <w:t>703(c)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314(a)</w:t>
            </w:r>
          </w:p>
        </w:tc>
        <w:tc>
          <w:tcPr>
            <w:tcW w:w="5000" w:type="dxa"/>
            <w:vAlign w:val="bottom"/>
            <w:gridSpan w:val="3"/>
          </w:tcPr>
          <w:p>
            <w:pPr>
              <w:ind w:left="2160"/>
              <w:spacing w:after="0"/>
              <w:rPr>
                <w:sz w:val="20"/>
                <w:szCs w:val="20"/>
                <w:color w:val="auto"/>
              </w:rPr>
            </w:pPr>
            <w:r>
              <w:rPr>
                <w:rFonts w:ascii="Arial" w:cs="Arial" w:eastAsia="Arial" w:hAnsi="Arial"/>
                <w:sz w:val="18"/>
                <w:szCs w:val="18"/>
                <w:color w:val="auto"/>
              </w:rPr>
              <w:t>704, 1004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(c)(1)</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(c)(2)</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(c)(3)</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1651"/>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(e)</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315(a)</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w w:val="84"/>
              </w:rPr>
              <w:t>601(a)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(b)</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w w:val="89"/>
              </w:rPr>
              <w:t>703(a)(7)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(c)</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271"/>
              <w:spacing w:after="0"/>
              <w:rPr>
                <w:sz w:val="20"/>
                <w:szCs w:val="20"/>
                <w:color w:val="auto"/>
              </w:rPr>
            </w:pPr>
            <w:r>
              <w:rPr>
                <w:rFonts w:ascii="Arial" w:cs="Arial" w:eastAsia="Arial" w:hAnsi="Arial"/>
                <w:sz w:val="18"/>
                <w:szCs w:val="18"/>
                <w:color w:val="auto"/>
                <w:w w:val="88"/>
              </w:rPr>
              <w:t>601(b)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w w:val="86"/>
              </w:rPr>
              <w:t>601(c)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(d)(l)</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071"/>
              <w:spacing w:after="0"/>
              <w:rPr>
                <w:sz w:val="20"/>
                <w:szCs w:val="20"/>
                <w:color w:val="auto"/>
              </w:rPr>
            </w:pPr>
            <w:r>
              <w:rPr>
                <w:rFonts w:ascii="Arial" w:cs="Arial" w:eastAsia="Arial" w:hAnsi="Arial"/>
                <w:sz w:val="18"/>
                <w:szCs w:val="18"/>
                <w:color w:val="auto"/>
                <w:w w:val="89"/>
              </w:rPr>
              <w:t>601(a)(1)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(d)(2)</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w w:val="90"/>
              </w:rPr>
              <w:t>601(c)(2)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(d)(3)</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071"/>
              <w:spacing w:after="0"/>
              <w:rPr>
                <w:sz w:val="20"/>
                <w:szCs w:val="20"/>
                <w:color w:val="auto"/>
              </w:rPr>
            </w:pPr>
            <w:r>
              <w:rPr>
                <w:rFonts w:ascii="Arial" w:cs="Arial" w:eastAsia="Arial" w:hAnsi="Arial"/>
                <w:sz w:val="18"/>
                <w:szCs w:val="18"/>
                <w:color w:val="auto"/>
                <w:w w:val="90"/>
              </w:rPr>
              <w:t>601(c)(3)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316(a)</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(a)(1)(A)</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(a)(1)(B)</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(a)(2)</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1651"/>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(c)</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jc w:val="right"/>
              <w:ind w:right="2291"/>
              <w:spacing w:after="0"/>
              <w:rPr>
                <w:sz w:val="20"/>
                <w:szCs w:val="20"/>
                <w:color w:val="auto"/>
              </w:rPr>
            </w:pPr>
            <w:r>
              <w:rPr>
                <w:rFonts w:ascii="Arial" w:cs="Arial" w:eastAsia="Arial" w:hAnsi="Arial"/>
                <w:sz w:val="18"/>
                <w:szCs w:val="18"/>
                <w:color w:val="auto"/>
                <w:w w:val="84"/>
              </w:rPr>
              <w:t>104(e)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317(a)(l)</w:t>
            </w:r>
          </w:p>
        </w:tc>
        <w:tc>
          <w:tcPr>
            <w:tcW w:w="5000" w:type="dxa"/>
            <w:vAlign w:val="bottom"/>
            <w:gridSpan w:val="3"/>
            <w:shd w:val="clear" w:color="auto" w:fill="CCEEFF"/>
          </w:tcPr>
          <w:p>
            <w:pPr>
              <w:jc w:val="right"/>
              <w:ind w:right="249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00"/>
              <w:spacing w:after="0"/>
              <w:rPr>
                <w:sz w:val="20"/>
                <w:szCs w:val="20"/>
                <w:color w:val="auto"/>
              </w:rPr>
            </w:pPr>
            <w:r>
              <w:rPr>
                <w:rFonts w:ascii="Arial" w:cs="Arial" w:eastAsia="Arial" w:hAnsi="Arial"/>
                <w:sz w:val="18"/>
                <w:szCs w:val="18"/>
                <w:color w:val="auto"/>
              </w:rPr>
              <w:t>(a)(2)</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w:t>
            </w:r>
          </w:p>
        </w:tc>
        <w:tc>
          <w:tcPr>
            <w:tcW w:w="500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 318(a)</w:t>
            </w:r>
          </w:p>
        </w:tc>
        <w:tc>
          <w:tcPr>
            <w:tcW w:w="5000" w:type="dxa"/>
            <w:vAlign w:val="bottom"/>
            <w:gridSpan w:val="3"/>
          </w:tcPr>
          <w:p>
            <w:pPr>
              <w:jc w:val="right"/>
              <w:ind w:right="249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8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14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r>
      <w:tr>
        <w:trPr>
          <w:trHeight w:val="426"/>
        </w:trPr>
        <w:tc>
          <w:tcPr>
            <w:tcW w:w="1400" w:type="dxa"/>
            <w:vAlign w:val="bottom"/>
          </w:tcPr>
          <w:p>
            <w:pPr>
              <w:spacing w:after="0"/>
              <w:rPr>
                <w:sz w:val="24"/>
                <w:szCs w:val="24"/>
                <w:color w:val="auto"/>
              </w:rPr>
            </w:pPr>
          </w:p>
        </w:tc>
        <w:tc>
          <w:tcPr>
            <w:tcW w:w="8880" w:type="dxa"/>
            <w:vAlign w:val="bottom"/>
          </w:tcPr>
          <w:p>
            <w:pPr>
              <w:jc w:val="center"/>
              <w:ind w:right="150"/>
              <w:spacing w:after="0"/>
              <w:rPr>
                <w:sz w:val="20"/>
                <w:szCs w:val="20"/>
                <w:color w:val="auto"/>
              </w:rPr>
            </w:pPr>
            <w:r>
              <w:rPr>
                <w:rFonts w:ascii="Arial" w:cs="Arial" w:eastAsia="Arial" w:hAnsi="Arial"/>
                <w:sz w:val="18"/>
                <w:szCs w:val="18"/>
                <w:color w:val="auto"/>
                <w:w w:val="96"/>
              </w:rPr>
              <w:t>ARTICLE ONE</w:t>
            </w: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w w:val="96"/>
              </w:rPr>
              <w:t>DEFINITIONS AND OTHER PROVISIONS OF GENERAL APPLICATION</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Compliance Certificates and Opinions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Form of Documents Delivered to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104.</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Acts of Holders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105.</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Notices, Etc. to Trustee and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106.</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Notice to Holders; Waiver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107.</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Conflict With Trust Indenture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108.</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Effect of Headings and Table of Contents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109.</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Successors and Assigns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110.</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Separability Clause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Benefits of Indenture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Governing Law</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113.</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Legal Holidays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114.</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Rules by Trustee and Agents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115.</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No Recourse Against Others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50"/>
              <w:spacing w:after="0"/>
              <w:rPr>
                <w:sz w:val="20"/>
                <w:szCs w:val="20"/>
                <w:color w:val="auto"/>
              </w:rPr>
            </w:pPr>
            <w:r>
              <w:rPr>
                <w:rFonts w:ascii="Arial" w:cs="Arial" w:eastAsia="Arial" w:hAnsi="Arial"/>
                <w:sz w:val="18"/>
                <w:szCs w:val="18"/>
                <w:color w:val="auto"/>
                <w:w w:val="97"/>
              </w:rPr>
              <w:t>ARTICLE TWO</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w w:val="95"/>
              </w:rPr>
              <w:t>SECURITY FORMS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Forms Generally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Form of Trustee’s Certificate of Authentication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w w:val="97"/>
              </w:rPr>
              <w:t>ARTICLE THREE</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w w:val="95"/>
              </w:rPr>
              <w:t>THE SECURITIES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301.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Amount Unlimited; Issuable in Series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Denominations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303.</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Execution, Authentication, Delivery and Dating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304.</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Temporary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305.</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Registration, Registration of Transfer and Exchange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306.</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Mutilated, Destroyed, Lost and Stolen Securities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307.</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Payment of Interest; Interest Rights Preserved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308.</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Persons Deemed Owners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309.</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Cancellation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310.</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Computation of 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311.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Global Securities; Exchanges; Registration and Registration of Transfer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0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r>
      <w:tr>
        <w:trPr>
          <w:trHeight w:val="780"/>
        </w:trPr>
        <w:tc>
          <w:tcPr>
            <w:tcW w:w="1400" w:type="dxa"/>
            <w:vAlign w:val="bottom"/>
          </w:tcPr>
          <w:p>
            <w:pPr>
              <w:spacing w:after="0"/>
              <w:rPr>
                <w:sz w:val="20"/>
                <w:szCs w:val="20"/>
                <w:color w:val="auto"/>
              </w:rPr>
            </w:pPr>
            <w:r>
              <w:rPr>
                <w:rFonts w:ascii="Arial" w:cs="Arial" w:eastAsia="Arial" w:hAnsi="Arial"/>
                <w:sz w:val="18"/>
                <w:szCs w:val="18"/>
                <w:color w:val="auto"/>
              </w:rPr>
              <w:t>SECTION 312.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Extension of Interest Payment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50"/>
              <w:spacing w:after="0"/>
              <w:rPr>
                <w:sz w:val="20"/>
                <w:szCs w:val="20"/>
                <w:color w:val="auto"/>
              </w:rPr>
            </w:pPr>
            <w:r>
              <w:rPr>
                <w:rFonts w:ascii="Arial" w:cs="Arial" w:eastAsia="Arial" w:hAnsi="Arial"/>
                <w:sz w:val="18"/>
                <w:szCs w:val="18"/>
                <w:color w:val="auto"/>
                <w:w w:val="96"/>
              </w:rPr>
              <w:t>ARTICLE FOUR</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w w:val="96"/>
              </w:rPr>
              <w:t>SATISFACTION AND DISCHARGE; DEFEASANCE</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Termination of Company’s Obligations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Defeasance and Discharge of Indenture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403.</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Defeasance of Certain Obligations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404.</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Conditions to Defeasance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405.</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Application of Trust Money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406.</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Reinstatement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50"/>
              <w:spacing w:after="0"/>
              <w:rPr>
                <w:sz w:val="20"/>
                <w:szCs w:val="20"/>
                <w:color w:val="auto"/>
              </w:rPr>
            </w:pPr>
            <w:r>
              <w:rPr>
                <w:rFonts w:ascii="Arial" w:cs="Arial" w:eastAsia="Arial" w:hAnsi="Arial"/>
                <w:sz w:val="18"/>
                <w:szCs w:val="18"/>
                <w:color w:val="auto"/>
                <w:w w:val="99"/>
              </w:rPr>
              <w:t>ARTICLE FIVE</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8880" w:type="dxa"/>
            <w:vAlign w:val="bottom"/>
          </w:tcPr>
          <w:p>
            <w:pPr>
              <w:jc w:val="center"/>
              <w:ind w:right="170"/>
              <w:spacing w:after="0"/>
              <w:rPr>
                <w:sz w:val="20"/>
                <w:szCs w:val="20"/>
                <w:color w:val="auto"/>
              </w:rPr>
            </w:pPr>
            <w:r>
              <w:rPr>
                <w:rFonts w:ascii="Arial" w:cs="Arial" w:eastAsia="Arial" w:hAnsi="Arial"/>
                <w:sz w:val="18"/>
                <w:szCs w:val="18"/>
                <w:color w:val="auto"/>
                <w:w w:val="95"/>
              </w:rPr>
              <w:t>REMEDIES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Events of Default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Acceleration of Maturity; Rescission and Annulment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503.</w:t>
            </w:r>
          </w:p>
        </w:tc>
        <w:tc>
          <w:tcPr>
            <w:tcW w:w="8880" w:type="dxa"/>
            <w:vAlign w:val="bottom"/>
          </w:tcPr>
          <w:p>
            <w:pPr>
              <w:ind w:left="260"/>
              <w:spacing w:after="0"/>
              <w:rPr>
                <w:sz w:val="20"/>
                <w:szCs w:val="20"/>
                <w:color w:val="auto"/>
              </w:rPr>
            </w:pPr>
            <w:r>
              <w:rPr>
                <w:rFonts w:ascii="Arial" w:cs="Arial" w:eastAsia="Arial" w:hAnsi="Arial"/>
                <w:sz w:val="18"/>
                <w:szCs w:val="18"/>
                <w:i w:val="1"/>
                <w:iCs w:val="1"/>
                <w:color w:val="auto"/>
              </w:rPr>
              <w:t>Collection of Indebtedness and Suits for Enforcement by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Trustee May File Proofs of Claim</w:t>
            </w: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505.</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Trustee May Enforce Claims Without Possession of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Application of Money Collected</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507.</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Limitation on Suits</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Unconditional Right of Holders to Receive Principal, Premium and Interest</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509.</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Restoration of Rights and Remedies</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510.</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Rights and Remedies Cumulative</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Delay or Omission Not Waiver</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Control by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513.</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Waiver of Past Defaults</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Undertaking for Costs</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515.</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Waiver of Stay or Extension Laws</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50"/>
              <w:spacing w:after="0"/>
              <w:rPr>
                <w:sz w:val="20"/>
                <w:szCs w:val="20"/>
                <w:color w:val="auto"/>
              </w:rPr>
            </w:pPr>
            <w:r>
              <w:rPr>
                <w:rFonts w:ascii="Arial" w:cs="Arial" w:eastAsia="Arial" w:hAnsi="Arial"/>
                <w:sz w:val="18"/>
                <w:szCs w:val="18"/>
                <w:color w:val="auto"/>
                <w:w w:val="98"/>
              </w:rPr>
              <w:t>ARTICLE SIX</w:t>
            </w:r>
          </w:p>
        </w:tc>
        <w:tc>
          <w:tcPr>
            <w:tcW w:w="170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4"/>
              </w:rPr>
              <w:t>THE TRUSTEE</w:t>
            </w:r>
          </w:p>
        </w:tc>
        <w:tc>
          <w:tcPr>
            <w:tcW w:w="170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601.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Certain Duties and Responsibilities</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Notice of Defaults</w:t>
            </w: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603.</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Certain Rights of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Not Responsible for Recitals or Issuance of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605.</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May Hold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606.</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Money Held in Trust</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607.</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Compensation and Reimbursement</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608.</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Disqualification; Conflicting Interests</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609.</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Corporate Trustee Required; Eligibility</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rPr>
              <w:t>ii</w:t>
            </w:r>
          </w:p>
        </w:tc>
        <w:tc>
          <w:tcPr>
            <w:tcW w:w="1700" w:type="dxa"/>
            <w:vAlign w:val="bottom"/>
          </w:tcPr>
          <w:p>
            <w:pPr>
              <w:spacing w:after="0"/>
              <w:rPr>
                <w:sz w:val="24"/>
                <w:szCs w:val="24"/>
                <w:color w:val="auto"/>
              </w:rPr>
            </w:pPr>
          </w:p>
        </w:tc>
      </w:tr>
      <w:tr>
        <w:trPr>
          <w:trHeight w:val="132"/>
        </w:trPr>
        <w:tc>
          <w:tcPr>
            <w:tcW w:w="1440" w:type="dxa"/>
            <w:vAlign w:val="bottom"/>
            <w:tcBorders>
              <w:bottom w:val="single" w:sz="8" w:color="010101"/>
            </w:tcBorders>
          </w:tcPr>
          <w:p>
            <w:pPr>
              <w:spacing w:after="0"/>
              <w:rPr>
                <w:sz w:val="11"/>
                <w:szCs w:val="11"/>
                <w:color w:val="auto"/>
              </w:rPr>
            </w:pPr>
          </w:p>
        </w:tc>
        <w:tc>
          <w:tcPr>
            <w:tcW w:w="83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r>
      <w:tr>
        <w:trPr>
          <w:trHeight w:val="766"/>
        </w:trPr>
        <w:tc>
          <w:tcPr>
            <w:tcW w:w="1440" w:type="dxa"/>
            <w:vAlign w:val="bottom"/>
          </w:tcPr>
          <w:p>
            <w:pPr>
              <w:spacing w:after="0"/>
              <w:rPr>
                <w:sz w:val="20"/>
                <w:szCs w:val="20"/>
                <w:color w:val="auto"/>
              </w:rPr>
            </w:pPr>
            <w:r>
              <w:rPr>
                <w:rFonts w:ascii="Arial" w:cs="Arial" w:eastAsia="Arial" w:hAnsi="Arial"/>
                <w:sz w:val="18"/>
                <w:szCs w:val="18"/>
                <w:color w:val="auto"/>
              </w:rPr>
              <w:t>SECTION 610.</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Resignation and Removal; Appointment of Successor</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Acceptance of Appointment by Successor</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Merger, Conversion, Consolidation or Succession to Business</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613.</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Preferential Collection of Claims Against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614.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Appointment of Authenticating Agent</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7"/>
              </w:rPr>
              <w:t>ARTICLE SEVEN</w:t>
            </w:r>
          </w:p>
        </w:tc>
        <w:tc>
          <w:tcPr>
            <w:tcW w:w="170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50"/>
              <w:spacing w:after="0"/>
              <w:rPr>
                <w:sz w:val="20"/>
                <w:szCs w:val="20"/>
                <w:color w:val="auto"/>
              </w:rPr>
            </w:pPr>
            <w:r>
              <w:rPr>
                <w:rFonts w:ascii="Arial" w:cs="Arial" w:eastAsia="Arial" w:hAnsi="Arial"/>
                <w:sz w:val="18"/>
                <w:szCs w:val="18"/>
                <w:color w:val="auto"/>
                <w:w w:val="95"/>
              </w:rPr>
              <w:t>HOLDERS’ LISTS AND REPORTS BY TRUSTEE AND COMPANY</w:t>
            </w:r>
          </w:p>
        </w:tc>
        <w:tc>
          <w:tcPr>
            <w:tcW w:w="170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701.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Company to Furnish Trustee Names and Addresses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Preservation of Information; Communications to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703.</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Reports by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704.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Reports by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8"/>
              </w:rPr>
              <w:t>ARTICLE EIGHT</w:t>
            </w:r>
          </w:p>
        </w:tc>
        <w:tc>
          <w:tcPr>
            <w:tcW w:w="170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5"/>
              </w:rPr>
              <w:t>CONSOLIDATION, MERGER, CONVEYANCE OR TRANSFER</w:t>
            </w:r>
          </w:p>
        </w:tc>
        <w:tc>
          <w:tcPr>
            <w:tcW w:w="170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801.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Company May Consolidate, Etc. Only on Certain Terms</w:t>
            </w: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Successor Substituted for the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8"/>
              </w:rPr>
              <w:t>ARTICLE NINE</w:t>
            </w:r>
          </w:p>
        </w:tc>
        <w:tc>
          <w:tcPr>
            <w:tcW w:w="170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50"/>
              <w:spacing w:after="0"/>
              <w:rPr>
                <w:sz w:val="20"/>
                <w:szCs w:val="20"/>
                <w:color w:val="auto"/>
              </w:rPr>
            </w:pPr>
            <w:r>
              <w:rPr>
                <w:rFonts w:ascii="Arial" w:cs="Arial" w:eastAsia="Arial" w:hAnsi="Arial"/>
                <w:sz w:val="18"/>
                <w:szCs w:val="18"/>
                <w:color w:val="auto"/>
                <w:w w:val="96"/>
              </w:rPr>
              <w:t>SUPPLEMENTAL INDENTURES</w:t>
            </w:r>
          </w:p>
        </w:tc>
        <w:tc>
          <w:tcPr>
            <w:tcW w:w="170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901.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903.</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Execution of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Effect of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905.</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Conformity With Trust Indenture Act</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906.</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Reference in Securities to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907.</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Revocation and Effect of Consents</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908.</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Modification Without Supplemental Indenture</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7"/>
              </w:rPr>
              <w:t>ARTICLE TEN</w:t>
            </w:r>
          </w:p>
        </w:tc>
        <w:tc>
          <w:tcPr>
            <w:tcW w:w="170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color w:val="auto"/>
                <w:w w:val="98"/>
              </w:rPr>
              <w:t>COVENANTS</w:t>
            </w:r>
          </w:p>
        </w:tc>
        <w:tc>
          <w:tcPr>
            <w:tcW w:w="170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1001.</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Payment of Principal, Premium and Interest</w:t>
            </w: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1002.</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Maintenance of Office or Agency</w:t>
            </w: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1003.</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Money for Securities Payments to Be Held in Trust</w:t>
            </w: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1004.</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Statement as to Compliance</w:t>
            </w: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1005.</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Corporate Existence</w:t>
            </w:r>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1006.</w:t>
            </w:r>
          </w:p>
        </w:tc>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Waiver of Certain Covenants</w:t>
            </w:r>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-6562090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-6562090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60" w:type="dxa"/>
            <w:vAlign w:val="bottom"/>
          </w:tcPr>
          <w:p>
            <w:pPr>
              <w:jc w:val="center"/>
              <w:ind w:left="510"/>
              <w:spacing w:after="0"/>
              <w:rPr>
                <w:sz w:val="20"/>
                <w:szCs w:val="20"/>
                <w:color w:val="auto"/>
              </w:rPr>
            </w:pPr>
            <w:r>
              <w:rPr>
                <w:rFonts w:ascii="Arial" w:cs="Arial" w:eastAsia="Arial" w:hAnsi="Arial"/>
                <w:sz w:val="18"/>
                <w:szCs w:val="18"/>
                <w:color w:val="auto"/>
              </w:rPr>
              <w:t>iii</w:t>
            </w:r>
          </w:p>
        </w:tc>
        <w:tc>
          <w:tcPr>
            <w:tcW w:w="4420" w:type="dxa"/>
            <w:vAlign w:val="bottom"/>
          </w:tcPr>
          <w:p>
            <w:pPr>
              <w:spacing w:after="0"/>
              <w:rPr>
                <w:sz w:val="20"/>
                <w:szCs w:val="20"/>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r>
      <w:tr>
        <w:trPr>
          <w:trHeight w:val="780"/>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60" w:type="dxa"/>
            <w:vAlign w:val="bottom"/>
          </w:tcPr>
          <w:p>
            <w:pPr>
              <w:jc w:val="center"/>
              <w:ind w:left="510"/>
              <w:spacing w:after="0"/>
              <w:rPr>
                <w:sz w:val="20"/>
                <w:szCs w:val="20"/>
                <w:color w:val="auto"/>
              </w:rPr>
            </w:pPr>
            <w:r>
              <w:rPr>
                <w:rFonts w:ascii="Arial" w:cs="Arial" w:eastAsia="Arial" w:hAnsi="Arial"/>
                <w:sz w:val="18"/>
                <w:szCs w:val="18"/>
                <w:color w:val="auto"/>
                <w:w w:val="98"/>
              </w:rPr>
              <w:t>ARTICLE ELEVEN</w:t>
            </w:r>
          </w:p>
        </w:tc>
        <w:tc>
          <w:tcPr>
            <w:tcW w:w="442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60" w:type="dxa"/>
            <w:vAlign w:val="bottom"/>
          </w:tcPr>
          <w:p>
            <w:pPr>
              <w:jc w:val="center"/>
              <w:ind w:left="510"/>
              <w:spacing w:after="0"/>
              <w:rPr>
                <w:sz w:val="20"/>
                <w:szCs w:val="20"/>
                <w:color w:val="auto"/>
              </w:rPr>
            </w:pPr>
            <w:r>
              <w:rPr>
                <w:rFonts w:ascii="Arial" w:cs="Arial" w:eastAsia="Arial" w:hAnsi="Arial"/>
                <w:sz w:val="18"/>
                <w:szCs w:val="18"/>
                <w:color w:val="auto"/>
                <w:w w:val="95"/>
              </w:rPr>
              <w:t>REDEMPTION OF SECURITIES</w:t>
            </w:r>
          </w:p>
        </w:tc>
        <w:tc>
          <w:tcPr>
            <w:tcW w:w="4420" w:type="dxa"/>
            <w:vAlign w:val="bottom"/>
          </w:tcPr>
          <w:p>
            <w:pPr>
              <w:spacing w:after="0"/>
              <w:rPr>
                <w:sz w:val="24"/>
                <w:szCs w:val="24"/>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w w:val="95"/>
              </w:rPr>
              <w:t>SECTION 1101.</w:t>
            </w:r>
          </w:p>
        </w:tc>
        <w:tc>
          <w:tcPr>
            <w:tcW w:w="2520" w:type="dxa"/>
            <w:vAlign w:val="bottom"/>
          </w:tcPr>
          <w:p>
            <w:pPr>
              <w:ind w:left="400"/>
              <w:spacing w:after="0"/>
              <w:rPr>
                <w:sz w:val="20"/>
                <w:szCs w:val="20"/>
                <w:color w:val="auto"/>
              </w:rPr>
            </w:pPr>
            <w:r>
              <w:rPr>
                <w:rFonts w:ascii="Arial" w:cs="Arial" w:eastAsia="Arial" w:hAnsi="Arial"/>
                <w:sz w:val="18"/>
                <w:szCs w:val="18"/>
                <w:i w:val="1"/>
                <w:iCs w:val="1"/>
                <w:color w:val="auto"/>
              </w:rPr>
              <w:t>Applicability of Article</w:t>
            </w:r>
          </w:p>
        </w:tc>
        <w:tc>
          <w:tcPr>
            <w:tcW w:w="3260" w:type="dxa"/>
            <w:vAlign w:val="bottom"/>
          </w:tcPr>
          <w:p>
            <w:pPr>
              <w:spacing w:after="0"/>
              <w:rPr>
                <w:sz w:val="24"/>
                <w:szCs w:val="24"/>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5"/>
              </w:rPr>
              <w:t>SECTION 1102.</w:t>
            </w:r>
          </w:p>
        </w:tc>
        <w:tc>
          <w:tcPr>
            <w:tcW w:w="5780" w:type="dxa"/>
            <w:vAlign w:val="bottom"/>
            <w:gridSpan w:val="2"/>
          </w:tcPr>
          <w:p>
            <w:pPr>
              <w:ind w:left="400"/>
              <w:spacing w:after="0"/>
              <w:rPr>
                <w:sz w:val="20"/>
                <w:szCs w:val="20"/>
                <w:color w:val="auto"/>
              </w:rPr>
            </w:pPr>
            <w:r>
              <w:rPr>
                <w:rFonts w:ascii="Arial" w:cs="Arial" w:eastAsia="Arial" w:hAnsi="Arial"/>
                <w:sz w:val="18"/>
                <w:szCs w:val="18"/>
                <w:i w:val="1"/>
                <w:iCs w:val="1"/>
                <w:color w:val="auto"/>
              </w:rPr>
              <w:t>Election to Redeem; Notice to Trustee</w:t>
            </w:r>
          </w:p>
        </w:tc>
        <w:tc>
          <w:tcPr>
            <w:tcW w:w="4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5"/>
              </w:rPr>
              <w:t>SECTION 1103.</w:t>
            </w:r>
          </w:p>
        </w:tc>
        <w:tc>
          <w:tcPr>
            <w:tcW w:w="5780" w:type="dxa"/>
            <w:vAlign w:val="bottom"/>
            <w:gridSpan w:val="2"/>
          </w:tcPr>
          <w:p>
            <w:pPr>
              <w:ind w:left="400"/>
              <w:spacing w:after="0"/>
              <w:rPr>
                <w:sz w:val="20"/>
                <w:szCs w:val="20"/>
                <w:color w:val="auto"/>
              </w:rPr>
            </w:pPr>
            <w:r>
              <w:rPr>
                <w:rFonts w:ascii="Arial" w:cs="Arial" w:eastAsia="Arial" w:hAnsi="Arial"/>
                <w:sz w:val="18"/>
                <w:szCs w:val="18"/>
                <w:i w:val="1"/>
                <w:iCs w:val="1"/>
                <w:color w:val="auto"/>
              </w:rPr>
              <w:t>Selection by Trustee of Securities to Be Redeemed</w:t>
            </w:r>
          </w:p>
        </w:tc>
        <w:tc>
          <w:tcPr>
            <w:tcW w:w="4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5"/>
              </w:rPr>
              <w:t>SECTION 1104.</w:t>
            </w:r>
          </w:p>
        </w:tc>
        <w:tc>
          <w:tcPr>
            <w:tcW w:w="2520" w:type="dxa"/>
            <w:vAlign w:val="bottom"/>
          </w:tcPr>
          <w:p>
            <w:pPr>
              <w:ind w:left="400"/>
              <w:spacing w:after="0"/>
              <w:rPr>
                <w:sz w:val="20"/>
                <w:szCs w:val="20"/>
                <w:color w:val="auto"/>
              </w:rPr>
            </w:pPr>
            <w:r>
              <w:rPr>
                <w:rFonts w:ascii="Arial" w:cs="Arial" w:eastAsia="Arial" w:hAnsi="Arial"/>
                <w:sz w:val="18"/>
                <w:szCs w:val="18"/>
                <w:i w:val="1"/>
                <w:iCs w:val="1"/>
                <w:color w:val="auto"/>
              </w:rPr>
              <w:t>Notice of Redemption</w:t>
            </w:r>
          </w:p>
        </w:tc>
        <w:tc>
          <w:tcPr>
            <w:tcW w:w="326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5"/>
              </w:rPr>
              <w:t>SECTION 1105.</w:t>
            </w:r>
          </w:p>
        </w:tc>
        <w:tc>
          <w:tcPr>
            <w:tcW w:w="5780" w:type="dxa"/>
            <w:vAlign w:val="bottom"/>
            <w:gridSpan w:val="2"/>
          </w:tcPr>
          <w:p>
            <w:pPr>
              <w:ind w:left="400"/>
              <w:spacing w:after="0"/>
              <w:rPr>
                <w:sz w:val="20"/>
                <w:szCs w:val="20"/>
                <w:color w:val="auto"/>
              </w:rPr>
            </w:pPr>
            <w:r>
              <w:rPr>
                <w:rFonts w:ascii="Arial" w:cs="Arial" w:eastAsia="Arial" w:hAnsi="Arial"/>
                <w:sz w:val="18"/>
                <w:szCs w:val="18"/>
                <w:i w:val="1"/>
                <w:iCs w:val="1"/>
                <w:color w:val="auto"/>
              </w:rPr>
              <w:t>Securities Payable on Redemption Date</w:t>
            </w:r>
          </w:p>
        </w:tc>
        <w:tc>
          <w:tcPr>
            <w:tcW w:w="4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95"/>
              </w:rPr>
              <w:t>SECTION 1106.</w:t>
            </w:r>
          </w:p>
        </w:tc>
        <w:tc>
          <w:tcPr>
            <w:tcW w:w="2520" w:type="dxa"/>
            <w:vAlign w:val="bottom"/>
          </w:tcPr>
          <w:p>
            <w:pPr>
              <w:ind w:left="400"/>
              <w:spacing w:after="0"/>
              <w:rPr>
                <w:sz w:val="20"/>
                <w:szCs w:val="20"/>
                <w:color w:val="auto"/>
              </w:rPr>
            </w:pPr>
            <w:r>
              <w:rPr>
                <w:rFonts w:ascii="Arial" w:cs="Arial" w:eastAsia="Arial" w:hAnsi="Arial"/>
                <w:sz w:val="18"/>
                <w:szCs w:val="18"/>
                <w:i w:val="1"/>
                <w:iCs w:val="1"/>
                <w:color w:val="auto"/>
                <w:w w:val="91"/>
              </w:rPr>
              <w:t>Securities Redeemed in Part</w:t>
            </w:r>
          </w:p>
        </w:tc>
        <w:tc>
          <w:tcPr>
            <w:tcW w:w="32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60" w:type="dxa"/>
            <w:vAlign w:val="bottom"/>
          </w:tcPr>
          <w:p>
            <w:pPr>
              <w:jc w:val="center"/>
              <w:ind w:left="530"/>
              <w:spacing w:after="0"/>
              <w:rPr>
                <w:sz w:val="20"/>
                <w:szCs w:val="20"/>
                <w:color w:val="auto"/>
              </w:rPr>
            </w:pPr>
            <w:r>
              <w:rPr>
                <w:rFonts w:ascii="Arial" w:cs="Arial" w:eastAsia="Arial" w:hAnsi="Arial"/>
                <w:sz w:val="18"/>
                <w:szCs w:val="18"/>
                <w:color w:val="auto"/>
                <w:w w:val="98"/>
              </w:rPr>
              <w:t>ARTICLE TWELVE</w:t>
            </w:r>
          </w:p>
        </w:tc>
        <w:tc>
          <w:tcPr>
            <w:tcW w:w="442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200" w:type="dxa"/>
            <w:vAlign w:val="bottom"/>
            <w:gridSpan w:val="3"/>
          </w:tcPr>
          <w:p>
            <w:pPr>
              <w:jc w:val="center"/>
              <w:ind w:right="1190"/>
              <w:spacing w:after="0"/>
              <w:rPr>
                <w:sz w:val="20"/>
                <w:szCs w:val="20"/>
                <w:color w:val="auto"/>
              </w:rPr>
            </w:pPr>
            <w:r>
              <w:rPr>
                <w:rFonts w:ascii="Arial" w:cs="Arial" w:eastAsia="Arial" w:hAnsi="Arial"/>
                <w:sz w:val="18"/>
                <w:szCs w:val="18"/>
                <w:color w:val="auto"/>
                <w:w w:val="94"/>
              </w:rPr>
              <w:t>REPAYMENT OF SECURITIES AT OPTION OF HOLDERS</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w w:val="95"/>
              </w:rPr>
              <w:t>SECTION 1201.</w:t>
            </w:r>
          </w:p>
        </w:tc>
        <w:tc>
          <w:tcPr>
            <w:tcW w:w="2520" w:type="dxa"/>
            <w:vAlign w:val="bottom"/>
          </w:tcPr>
          <w:p>
            <w:pPr>
              <w:ind w:left="400"/>
              <w:spacing w:after="0"/>
              <w:rPr>
                <w:sz w:val="20"/>
                <w:szCs w:val="20"/>
                <w:color w:val="auto"/>
              </w:rPr>
            </w:pPr>
            <w:r>
              <w:rPr>
                <w:rFonts w:ascii="Arial" w:cs="Arial" w:eastAsia="Arial" w:hAnsi="Arial"/>
                <w:sz w:val="18"/>
                <w:szCs w:val="18"/>
                <w:i w:val="1"/>
                <w:iCs w:val="1"/>
                <w:color w:val="auto"/>
              </w:rPr>
              <w:t>Applicability of Article</w:t>
            </w:r>
          </w:p>
        </w:tc>
        <w:tc>
          <w:tcPr>
            <w:tcW w:w="3260" w:type="dxa"/>
            <w:vAlign w:val="bottom"/>
          </w:tcPr>
          <w:p>
            <w:pPr>
              <w:spacing w:after="0"/>
              <w:rPr>
                <w:sz w:val="24"/>
                <w:szCs w:val="24"/>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5"/>
              </w:rPr>
              <w:t>SECTION 1202.</w:t>
            </w:r>
          </w:p>
        </w:tc>
        <w:tc>
          <w:tcPr>
            <w:tcW w:w="2520" w:type="dxa"/>
            <w:vAlign w:val="bottom"/>
          </w:tcPr>
          <w:p>
            <w:pPr>
              <w:ind w:left="400"/>
              <w:spacing w:after="0"/>
              <w:rPr>
                <w:sz w:val="20"/>
                <w:szCs w:val="20"/>
                <w:color w:val="auto"/>
              </w:rPr>
            </w:pPr>
            <w:r>
              <w:rPr>
                <w:rFonts w:ascii="Arial" w:cs="Arial" w:eastAsia="Arial" w:hAnsi="Arial"/>
                <w:sz w:val="18"/>
                <w:szCs w:val="18"/>
                <w:i w:val="1"/>
                <w:iCs w:val="1"/>
                <w:color w:val="auto"/>
                <w:w w:val="99"/>
              </w:rPr>
              <w:t>Notice of Repayment Date</w:t>
            </w:r>
          </w:p>
        </w:tc>
        <w:tc>
          <w:tcPr>
            <w:tcW w:w="326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5"/>
              </w:rPr>
              <w:t>SECTION 1203.</w:t>
            </w:r>
          </w:p>
        </w:tc>
        <w:tc>
          <w:tcPr>
            <w:tcW w:w="5780" w:type="dxa"/>
            <w:vAlign w:val="bottom"/>
            <w:gridSpan w:val="2"/>
          </w:tcPr>
          <w:p>
            <w:pPr>
              <w:ind w:left="400"/>
              <w:spacing w:after="0"/>
              <w:rPr>
                <w:sz w:val="20"/>
                <w:szCs w:val="20"/>
                <w:color w:val="auto"/>
              </w:rPr>
            </w:pPr>
            <w:r>
              <w:rPr>
                <w:rFonts w:ascii="Arial" w:cs="Arial" w:eastAsia="Arial" w:hAnsi="Arial"/>
                <w:sz w:val="18"/>
                <w:szCs w:val="18"/>
                <w:i w:val="1"/>
                <w:iCs w:val="1"/>
                <w:color w:val="auto"/>
              </w:rPr>
              <w:t>Securities Payable on Repayment Date</w:t>
            </w:r>
          </w:p>
        </w:tc>
        <w:tc>
          <w:tcPr>
            <w:tcW w:w="4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95"/>
              </w:rPr>
              <w:t>SECTION 1204.</w:t>
            </w:r>
          </w:p>
        </w:tc>
        <w:tc>
          <w:tcPr>
            <w:tcW w:w="2520" w:type="dxa"/>
            <w:vAlign w:val="bottom"/>
          </w:tcPr>
          <w:p>
            <w:pPr>
              <w:ind w:left="400"/>
              <w:spacing w:after="0"/>
              <w:rPr>
                <w:sz w:val="20"/>
                <w:szCs w:val="20"/>
                <w:color w:val="auto"/>
              </w:rPr>
            </w:pPr>
            <w:r>
              <w:rPr>
                <w:rFonts w:ascii="Arial" w:cs="Arial" w:eastAsia="Arial" w:hAnsi="Arial"/>
                <w:sz w:val="18"/>
                <w:szCs w:val="18"/>
                <w:i w:val="1"/>
                <w:iCs w:val="1"/>
                <w:color w:val="auto"/>
              </w:rPr>
              <w:t>Securities Repaid in Part</w:t>
            </w:r>
          </w:p>
        </w:tc>
        <w:tc>
          <w:tcPr>
            <w:tcW w:w="32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60" w:type="dxa"/>
            <w:vAlign w:val="bottom"/>
          </w:tcPr>
          <w:p>
            <w:pPr>
              <w:jc w:val="center"/>
              <w:ind w:left="510"/>
              <w:spacing w:after="0"/>
              <w:rPr>
                <w:sz w:val="20"/>
                <w:szCs w:val="20"/>
                <w:color w:val="auto"/>
              </w:rPr>
            </w:pPr>
            <w:r>
              <w:rPr>
                <w:rFonts w:ascii="Arial" w:cs="Arial" w:eastAsia="Arial" w:hAnsi="Arial"/>
                <w:sz w:val="18"/>
                <w:szCs w:val="18"/>
                <w:color w:val="auto"/>
              </w:rPr>
              <w:t>iv</w:t>
            </w:r>
          </w:p>
        </w:tc>
        <w:tc>
          <w:tcPr>
            <w:tcW w:w="44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7680" w:type="dxa"/>
            <w:vAlign w:val="bottom"/>
            <w:tcBorders>
              <w:bottom w:val="single" w:sz="8" w:color="010101"/>
            </w:tcBorders>
            <w:gridSpan w:val="2"/>
          </w:tcPr>
          <w:p>
            <w:pPr>
              <w:spacing w:after="0"/>
              <w:rPr>
                <w:sz w:val="11"/>
                <w:szCs w:val="11"/>
                <w:color w:val="auto"/>
              </w:rPr>
            </w:pPr>
          </w:p>
        </w:tc>
      </w:tr>
      <w:tr>
        <w:trPr>
          <w:trHeight w:val="766"/>
        </w:trPr>
        <w:tc>
          <w:tcPr>
            <w:tcW w:w="126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rPr>
              <w:t>INDENTURE, dated as of</w:t>
            </w:r>
          </w:p>
        </w:tc>
        <w:tc>
          <w:tcPr>
            <w:tcW w:w="7680" w:type="dxa"/>
            <w:vAlign w:val="bottom"/>
            <w:gridSpan w:val="2"/>
          </w:tcPr>
          <w:p>
            <w:pPr>
              <w:jc w:val="right"/>
              <w:ind w:right="630"/>
              <w:spacing w:after="0"/>
              <w:rPr>
                <w:sz w:val="20"/>
                <w:szCs w:val="20"/>
                <w:color w:val="auto"/>
              </w:rPr>
            </w:pPr>
            <w:r>
              <w:rPr>
                <w:rFonts w:ascii="Arial" w:cs="Arial" w:eastAsia="Arial" w:hAnsi="Arial"/>
                <w:sz w:val="18"/>
                <w:szCs w:val="18"/>
                <w:color w:val="auto"/>
                <w:w w:val="93"/>
              </w:rPr>
              <w:t>, 20 , between VERACYTE, INC., a corporation duly organized and existing under the laws of</w:t>
            </w:r>
          </w:p>
        </w:tc>
      </w:tr>
      <w:tr>
        <w:trPr>
          <w:trHeight w:val="230"/>
        </w:trPr>
        <w:tc>
          <w:tcPr>
            <w:tcW w:w="7040" w:type="dxa"/>
            <w:vAlign w:val="bottom"/>
            <w:gridSpan w:val="3"/>
          </w:tcPr>
          <w:p>
            <w:pPr>
              <w:spacing w:after="0"/>
              <w:rPr>
                <w:sz w:val="20"/>
                <w:szCs w:val="20"/>
                <w:color w:val="auto"/>
              </w:rPr>
            </w:pPr>
            <w:r>
              <w:rPr>
                <w:rFonts w:ascii="Arial" w:cs="Arial" w:eastAsia="Arial" w:hAnsi="Arial"/>
                <w:sz w:val="18"/>
                <w:szCs w:val="18"/>
                <w:color w:val="auto"/>
              </w:rPr>
              <w:t>Delaware (herein called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having its principal office at</w:t>
            </w:r>
          </w:p>
        </w:tc>
        <w:tc>
          <w:tcPr>
            <w:tcW w:w="4420" w:type="dxa"/>
            <w:vAlign w:val="bottom"/>
          </w:tcPr>
          <w:p>
            <w:pPr>
              <w:jc w:val="right"/>
              <w:ind w:right="810"/>
              <w:spacing w:after="0"/>
              <w:rPr>
                <w:sz w:val="20"/>
                <w:szCs w:val="20"/>
                <w:color w:val="auto"/>
              </w:rPr>
            </w:pPr>
            <w:r>
              <w:rPr>
                <w:rFonts w:ascii="Arial" w:cs="Arial" w:eastAsia="Arial" w:hAnsi="Arial"/>
                <w:sz w:val="18"/>
                <w:szCs w:val="18"/>
                <w:color w:val="auto"/>
                <w:w w:val="93"/>
              </w:rPr>
              <w:t>, and [TRUSTEE] (herein called the “</w:t>
            </w:r>
            <w:r>
              <w:rPr>
                <w:rFonts w:ascii="Arial" w:cs="Arial" w:eastAsia="Arial" w:hAnsi="Arial"/>
                <w:sz w:val="18"/>
                <w:szCs w:val="18"/>
                <w:b w:val="1"/>
                <w:bCs w:val="1"/>
                <w:i w:val="1"/>
                <w:iCs w:val="1"/>
                <w:color w:val="auto"/>
                <w:w w:val="93"/>
              </w:rPr>
              <w:t>Trustee</w:t>
            </w:r>
            <w:r>
              <w:rPr>
                <w:rFonts w:ascii="Arial" w:cs="Arial" w:eastAsia="Arial" w:hAnsi="Arial"/>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-3997960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-3997960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debentures, notes or other evidences of indebtedness (each herein called a “</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in an unlimited aggregate principal amount to be issued in one or more series as in this Indenture provided.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For all purposes of this Indenture, except as otherwise expressly provided or unless the context otherwise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left="1960" w:hanging="655"/>
        <w:spacing w:after="0"/>
        <w:tabs>
          <w:tab w:leader="none" w:pos="19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other terms used herein that are defined in the Trust Indenture Act, either directly or by reference therein, have the meanings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assigned to them therein;</w:t>
      </w:r>
    </w:p>
    <w:p>
      <w:pPr>
        <w:spacing w:after="0" w:line="210" w:lineRule="exact"/>
        <w:rPr>
          <w:rFonts w:ascii="Arial" w:cs="Arial" w:eastAsia="Arial" w:hAnsi="Arial"/>
          <w:sz w:val="16"/>
          <w:szCs w:val="16"/>
          <w:color w:val="auto"/>
        </w:rPr>
      </w:pPr>
    </w:p>
    <w:p>
      <w:pPr>
        <w:ind w:right="500" w:firstLine="1305"/>
        <w:spacing w:after="0" w:line="279" w:lineRule="auto"/>
        <w:tabs>
          <w:tab w:leader="none" w:pos="195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and, except as otherwise herein expressly provided, the term “</w:t>
      </w:r>
      <w:r>
        <w:rPr>
          <w:rFonts w:ascii="Arial" w:cs="Arial" w:eastAsia="Arial" w:hAnsi="Arial"/>
          <w:sz w:val="17"/>
          <w:szCs w:val="17"/>
          <w:b w:val="1"/>
          <w:bCs w:val="1"/>
          <w:i w:val="1"/>
          <w:iCs w:val="1"/>
          <w:color w:val="auto"/>
        </w:rPr>
        <w:t>generally accepted accounting principles</w:t>
      </w:r>
      <w:r>
        <w:rPr>
          <w:rFonts w:ascii="Arial" w:cs="Arial" w:eastAsia="Arial" w:hAnsi="Arial"/>
          <w:sz w:val="17"/>
          <w:szCs w:val="17"/>
          <w:color w:val="auto"/>
        </w:rPr>
        <w:t>” with respect to any computation required or permitted hereunder shall mean such accounting principles as are generally accepted in the United States at the date of such computation or, at the election of the Company from time to time, at the date of the execution and delivery of this Indenture;</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word “or” is not exclusive; and</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terms, used principally in Article Six, are defined in that Article.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ectPr>
          <w:pgSz w:w="11900" w:h="16838" w:orient="portrait"/>
          <w:cols w:equalWidth="0" w:num="1">
            <w:col w:w="11460"/>
          </w:cols>
          <w:pgMar w:left="240" w:top="341" w:right="199" w:bottom="0" w:gutter="0" w:footer="0" w:header="0"/>
        </w:sectPr>
      </w:pPr>
    </w:p>
    <w:bookmarkStart w:id="53" w:name="page54"/>
    <w:bookmarkEnd w:id="53"/>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Authenticating Agent</w:t>
      </w:r>
      <w:r>
        <w:rPr>
          <w:rFonts w:ascii="Arial" w:cs="Arial" w:eastAsia="Arial" w:hAnsi="Arial"/>
          <w:sz w:val="17"/>
          <w:szCs w:val="17"/>
          <w:color w:val="auto"/>
        </w:rPr>
        <w:t>” means any Person authorized by the Trustee to act on behalf of the Trustee to authenticate Securities.</w:t>
      </w:r>
    </w:p>
    <w:p>
      <w:pPr>
        <w:spacing w:after="0" w:line="23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Newspaper</w:t>
      </w:r>
      <w:r>
        <w:rPr>
          <w:rFonts w:ascii="Arial" w:cs="Arial" w:eastAsia="Arial" w:hAnsi="Arial"/>
          <w:sz w:val="17"/>
          <w:szCs w:val="17"/>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7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Officer</w:t>
      </w:r>
      <w:r>
        <w:rPr>
          <w:rFonts w:ascii="Arial" w:cs="Arial" w:eastAsia="Arial" w:hAnsi="Arial"/>
          <w:sz w:val="18"/>
          <w:szCs w:val="18"/>
          <w:color w:val="auto"/>
        </w:rPr>
        <w:t>” means the Chief Executive Officer, the President, any Vice President (whether or not designated by a number or numbers or word or words added before or after the title “Vice President”), the Chief Financial Officer, the Treasurer, the Secretary, any Assistant Treasurer or any Assistant Secretary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4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to close, except as may be otherwise specified as contemplated by Section 301(b).</w:t>
      </w:r>
    </w:p>
    <w:p>
      <w:pPr>
        <w:spacing w:after="0" w:line="187"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means a written request or order signed in the name of the Company by an Authorized Officer and delivered to the Trustee.</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and which at the date hereof is located at ·.</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means a corporation, association, joint stock company, limited liability company or business trust.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the Securities of any series issuable or issued in the form of a Global Security, the Person designated as Depositary by the Company in Section 301(b) until a successor Depositary shall have become such pursuant to the applicable provisions of this Indenture, and thereafter “Depositary” shall mean or include each Person who is then a Depositary hereunder, and if at any time there is more than one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Person, “Depositary” as used with respect to the Securities of any such series shall mean the Depositary with respect to the Securities of that series.</w:t>
      </w:r>
    </w:p>
    <w:p>
      <w:pPr>
        <w:spacing w:after="0" w:line="237"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w:t>
      </w:r>
      <w:r>
        <w:rPr>
          <w:rFonts w:ascii="Arial" w:cs="Arial" w:eastAsia="Arial" w:hAnsi="Arial"/>
          <w:sz w:val="18"/>
          <w:szCs w:val="18"/>
          <w:color w:val="auto"/>
        </w:rPr>
        <w:t>” or “</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a dollar or other equivalent unit in such coin or currency of the United States of America that is legal tender for the payment of public and private debts at the time of payment.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Obligations</w:t>
      </w:r>
      <w:r>
        <w:rPr>
          <w:rFonts w:ascii="Arial" w:cs="Arial" w:eastAsia="Arial" w:hAnsi="Arial"/>
          <w:sz w:val="18"/>
          <w:szCs w:val="18"/>
          <w:color w:val="auto"/>
        </w:rPr>
        <w:t>” means:</w:t>
      </w:r>
    </w:p>
    <w:p>
      <w:pPr>
        <w:spacing w:after="0" w:line="225" w:lineRule="exact"/>
        <w:rPr>
          <w:sz w:val="20"/>
          <w:szCs w:val="20"/>
          <w:color w:val="auto"/>
        </w:rPr>
      </w:pPr>
    </w:p>
    <w:p>
      <w:pPr>
        <w:ind w:left="1540" w:hanging="235"/>
        <w:spacing w:after="0"/>
        <w:tabs>
          <w:tab w:leader="none" w:pos="1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Securities denominated in Dollars, U.S. Government Obligations; or</w:t>
      </w:r>
    </w:p>
    <w:p>
      <w:pPr>
        <w:spacing w:after="0" w:line="225"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Securities denominated in a currency other than Dollars or in a composite currency, such other obligations or instruments as shall be specified with respect to such Securities, as contemplated by Section 301(b).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 Security</w:t>
      </w:r>
      <w:r>
        <w:rPr>
          <w:rFonts w:ascii="Arial" w:cs="Arial" w:eastAsia="Arial" w:hAnsi="Arial"/>
          <w:sz w:val="17"/>
          <w:szCs w:val="17"/>
          <w:color w:val="auto"/>
        </w:rPr>
        <w:t>” means a Security, if any, issued to evidence all or a part of a series of Securities in accordance with Section 301.</w:t>
      </w:r>
    </w:p>
    <w:p>
      <w:pPr>
        <w:spacing w:after="0" w:line="237"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Hedging Obligations</w:t>
      </w:r>
      <w:r>
        <w:rPr>
          <w:rFonts w:ascii="Arial" w:cs="Arial" w:eastAsia="Arial" w:hAnsi="Arial"/>
          <w:sz w:val="18"/>
          <w:szCs w:val="18"/>
          <w:color w:val="auto"/>
        </w:rPr>
        <w:t>” means, with respect to any Person, the obligations of such Person under (i) interest rate swap agreements, interest rate cap agreements and interest rate collar agreements and (ii) other agreements or arrangements designed to protect such Person against fluctuations in interest rates.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with respect to a Security, a Person in whose name such Security is registered in the Security Register.</w:t>
      </w:r>
    </w:p>
    <w:p>
      <w:pPr>
        <w:spacing w:after="0" w:line="225"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w:t>
      </w:r>
    </w:p>
    <w:p>
      <w:pPr>
        <w:sectPr>
          <w:pgSz w:w="11900" w:h="16867" w:orient="portrait"/>
          <w:cols w:equalWidth="0" w:num="1">
            <w:col w:w="11420"/>
          </w:cols>
          <w:pgMar w:left="240" w:top="733" w:right="239" w:bottom="0" w:gutter="0" w:footer="0" w:header="0"/>
        </w:sectPr>
      </w:pPr>
    </w:p>
    <w:bookmarkStart w:id="54" w:name="page55"/>
    <w:bookmarkEnd w:id="54"/>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established as contemplated by Section 301.</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that by its terms bears interest only after Maturity, means interest payable after Maturity.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24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upon call for redemption, exercise of repayment option or otherwise.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 Authorized Officer and delivered to the Trustee.</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an employee of, or counsel for, the Company or an Affiliate of the Company, and who shall be reasonably acceptable to the Trustee.</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xml:space="preserve">”, when used with respect to Securities of any series, means, as of the date of determination, all Securities theretofore authenticated and delivered under this Indenture, </w:t>
      </w:r>
      <w:r>
        <w:rPr>
          <w:rFonts w:ascii="Arial" w:cs="Arial" w:eastAsia="Arial" w:hAnsi="Arial"/>
          <w:sz w:val="18"/>
          <w:szCs w:val="18"/>
          <w:i w:val="1"/>
          <w:iCs w:val="1"/>
          <w:color w:val="auto"/>
        </w:rPr>
        <w:t>except</w:t>
      </w:r>
      <w:r>
        <w:rPr>
          <w:rFonts w:ascii="Arial" w:cs="Arial" w:eastAsia="Arial" w:hAnsi="Arial"/>
          <w:sz w:val="18"/>
          <w:szCs w:val="18"/>
          <w:color w:val="auto"/>
        </w:rPr>
        <w:t>:</w:t>
      </w:r>
    </w:p>
    <w:p>
      <w:pPr>
        <w:spacing w:after="0" w:line="170" w:lineRule="exact"/>
        <w:rPr>
          <w:sz w:val="20"/>
          <w:szCs w:val="20"/>
          <w:color w:val="auto"/>
        </w:rPr>
      </w:pPr>
    </w:p>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left="660" w:right="40" w:firstLine="645"/>
        <w:spacing w:after="0" w:line="273" w:lineRule="auto"/>
        <w:tabs>
          <w:tab w:leader="none" w:pos="196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whose payment or redemption money or Eligible Obligations (or any combination of money and Eligible Obligations) in the necessary amount has been theretofore deposited with the Trustee or any Paying Agent (other than the Company or any other obligor on such Security) in trust or set aside and segregated in trust by the Company or any other obligor on such Security (if the Company or any other obligor on such Security acts as its own Paying Agent) for the Holders of such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such Securities, or portions thereof, are to be redeemed prior to the Stated Maturity thereof, notice of such redemption has been duly given pursuant to this Indenture or provision therefor satisfactory to the Trustee has been made;</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as to which the Company has effected defeasance as provided in Section 402;</w:t>
      </w:r>
    </w:p>
    <w:p>
      <w:pPr>
        <w:spacing w:after="0" w:line="225" w:lineRule="exact"/>
        <w:rPr>
          <w:rFonts w:ascii="Arial" w:cs="Arial" w:eastAsia="Arial" w:hAnsi="Arial"/>
          <w:sz w:val="18"/>
          <w:szCs w:val="18"/>
          <w:color w:val="auto"/>
        </w:rPr>
      </w:pPr>
    </w:p>
    <w:p>
      <w:pPr>
        <w:ind w:left="660" w:right="160" w:firstLine="645"/>
        <w:spacing w:after="0" w:line="259" w:lineRule="auto"/>
        <w:tabs>
          <w:tab w:leader="none" w:pos="19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that have been paid pursuant to Section 306 or in exchange for or in lieu of which other Securities have been authenticated and 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determining whether the Holders of the requisite principal amount of the Outstanding Securities have given, made or taken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demand, authorization, direction, notice, consent, waiver or other action hereunder,</w:t>
      </w:r>
    </w:p>
    <w:p>
      <w:pPr>
        <w:spacing w:after="0" w:line="170" w:lineRule="exact"/>
        <w:rPr>
          <w:sz w:val="20"/>
          <w:szCs w:val="20"/>
          <w:color w:val="auto"/>
        </w:rPr>
      </w:pPr>
    </w:p>
    <w:p>
      <w:pPr>
        <w:ind w:left="660" w:right="20" w:firstLine="645"/>
        <w:spacing w:after="0" w:line="290" w:lineRule="auto"/>
        <w:tabs>
          <w:tab w:leader="none" w:pos="197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Securities owned by the Company or any other obligor upon the Securities or any Affiliate of the Company or of such other obligor (unless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66" w:lineRule="exact"/>
        <w:rPr>
          <w:rFonts w:ascii="Arial" w:cs="Arial" w:eastAsia="Arial" w:hAnsi="Arial"/>
          <w:sz w:val="16"/>
          <w:szCs w:val="16"/>
          <w:color w:val="auto"/>
        </w:rPr>
      </w:pPr>
    </w:p>
    <w:p>
      <w:pPr>
        <w:ind w:left="660" w:firstLine="645"/>
        <w:spacing w:after="0" w:line="259" w:lineRule="auto"/>
        <w:tabs>
          <w:tab w:leader="none" w:pos="198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determining whether the Holders of the requisite principal amount of Securities of any series or Tranche have concurred in any 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9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Security the principal of that is payable from time to time without presentment or surrender, the principal amount of such Security that shall be deemed to be Outstanding at any time for all purposes of this Indenture shall be the original principal amount thereof less the aggregate amount of principal thereof theretofore paid; and</w:t>
      </w:r>
    </w:p>
    <w:p>
      <w:pPr>
        <w:spacing w:after="0" w:line="181" w:lineRule="exact"/>
        <w:rPr>
          <w:rFonts w:ascii="Arial" w:cs="Arial" w:eastAsia="Arial" w:hAnsi="Arial"/>
          <w:sz w:val="18"/>
          <w:szCs w:val="18"/>
          <w:color w:val="auto"/>
        </w:rPr>
      </w:pPr>
    </w:p>
    <w:p>
      <w:pPr>
        <w:jc w:val="both"/>
        <w:ind w:left="660" w:right="80" w:firstLine="645"/>
        <w:spacing w:after="0" w:line="312" w:lineRule="auto"/>
        <w:tabs>
          <w:tab w:leader="none" w:pos="197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Securities having been denominated in a currency other than Dollars and remaining outstanding contemporaneously with 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including the Company, authorized by the Company to pay the principal of (and premium, if any) or interest on any Securities on behalf of the Company.</w:t>
      </w:r>
    </w:p>
    <w:p>
      <w:pPr>
        <w:sectPr>
          <w:pgSz w:w="11900" w:h="16929" w:orient="portrait"/>
          <w:cols w:equalWidth="0" w:num="1">
            <w:col w:w="11400"/>
          </w:cols>
          <w:pgMar w:left="240" w:top="125" w:right="259" w:bottom="0" w:gutter="0" w:footer="0" w:header="0"/>
        </w:sectPr>
      </w:pPr>
    </w:p>
    <w:bookmarkStart w:id="55" w:name="page56"/>
    <w:bookmarkEnd w:id="55"/>
    <w:p>
      <w:pPr>
        <w:spacing w:after="0" w:line="3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Offering</w:t>
      </w:r>
      <w:r>
        <w:rPr>
          <w:rFonts w:ascii="Arial" w:cs="Arial" w:eastAsia="Arial" w:hAnsi="Arial"/>
          <w:sz w:val="18"/>
          <w:szCs w:val="18"/>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70"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Place of Payment</w:t>
      </w:r>
      <w:r>
        <w:rPr>
          <w:rFonts w:ascii="Arial" w:cs="Arial" w:eastAsia="Arial" w:hAnsi="Arial"/>
          <w:sz w:val="16"/>
          <w:szCs w:val="16"/>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24"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w:t>
      </w:r>
    </w:p>
    <w:p>
      <w:pPr>
        <w:spacing w:after="0" w:line="21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 exclusive of accrued and unpaid interest, if any.</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301(b).</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Date</w:t>
      </w:r>
      <w:r>
        <w:rPr>
          <w:rFonts w:ascii="Arial" w:cs="Arial" w:eastAsia="Arial" w:hAnsi="Arial"/>
          <w:sz w:val="18"/>
          <w:szCs w:val="18"/>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70"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Price</w:t>
      </w:r>
      <w:r>
        <w:rPr>
          <w:rFonts w:ascii="Arial" w:cs="Arial" w:eastAsia="Arial" w:hAnsi="Arial"/>
          <w:sz w:val="18"/>
          <w:szCs w:val="18"/>
          <w:color w:val="auto"/>
        </w:rPr>
        <w:t>”, when used with respect to any Security of any series to be repaid, means the price, if any, at which it is to be repaid pursuant to Section 301(b).</w:t>
      </w:r>
    </w:p>
    <w:p>
      <w:pPr>
        <w:spacing w:after="0" w:line="170" w:lineRule="exact"/>
        <w:rPr>
          <w:sz w:val="20"/>
          <w:szCs w:val="20"/>
          <w:color w:val="auto"/>
        </w:rPr>
      </w:pPr>
    </w:p>
    <w:p>
      <w:pPr>
        <w:ind w:right="2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department or any other successor group of the Trustee, including any vice president, assistant vice president, assistant secretary or any other officer of the Trustee customarily performing functions similar to those performed by any of the above designated officers and also means, with respect to a particular corporate trust matter, any other officer of the Trustee to whom such matter is referred because of his or her knowledge of and familiarity with the particular subject.</w:t>
      </w:r>
    </w:p>
    <w:p>
      <w:pPr>
        <w:spacing w:after="0" w:line="154"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Security or Securities authenticated and delivered under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series of Securities</w:t>
      </w:r>
      <w:r>
        <w:rPr>
          <w:rFonts w:ascii="Arial" w:cs="Arial" w:eastAsia="Arial" w:hAnsi="Arial"/>
          <w:sz w:val="18"/>
          <w:szCs w:val="18"/>
          <w:color w:val="auto"/>
        </w:rPr>
        <w:t>” means a series of Securities issued under this Indenture as determined by Board Resolution or as otherwise determined under this Indenture.</w:t>
      </w:r>
    </w:p>
    <w:p>
      <w:pPr>
        <w:spacing w:after="0" w:line="17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Record Date</w:t>
      </w:r>
      <w:r>
        <w:rPr>
          <w:rFonts w:ascii="Arial" w:cs="Arial" w:eastAsia="Arial" w:hAnsi="Arial"/>
          <w:sz w:val="18"/>
          <w:szCs w:val="18"/>
          <w:color w:val="auto"/>
        </w:rPr>
        <w:t>” for the payment of any Defaulted Interest means a date fixed by the Company pursuant to Section 307.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24"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any Person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or by the Company and one or more other Subsidiaries or (b) any partnership the sole general partner or the managing general partner of which is the Company or a Subsidiary of the Company or the only general partners of which are the Company or of one or more Subsidiaries of the Company (or any combination thereof).</w:t>
      </w:r>
    </w:p>
    <w:p>
      <w:pPr>
        <w:spacing w:after="0" w:line="193"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Tranche</w:t>
      </w:r>
      <w:r>
        <w:rPr>
          <w:rFonts w:ascii="Arial" w:cs="Arial" w:eastAsia="Arial" w:hAnsi="Arial"/>
          <w:sz w:val="17"/>
          <w:szCs w:val="17"/>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47"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in force at the date as of which this instrument was executed, except as provided in Section 905.</w:t>
      </w:r>
    </w:p>
    <w:p>
      <w:pPr>
        <w:spacing w:after="0" w:line="170"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Government Obligations</w:t>
      </w:r>
      <w:r>
        <w:rPr>
          <w:rFonts w:ascii="Arial" w:cs="Arial" w:eastAsia="Arial" w:hAnsi="Arial"/>
          <w:sz w:val="16"/>
          <w:szCs w:val="16"/>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w:t>
      </w:r>
    </w:p>
    <w:p>
      <w:pPr>
        <w:sectPr>
          <w:pgSz w:w="11900" w:h="16874" w:orient="portrait"/>
          <w:cols w:equalWidth="0" w:num="1">
            <w:col w:w="11420"/>
          </w:cols>
          <w:pgMar w:left="240" w:top="341" w:right="239" w:bottom="0" w:gutter="0" w:footer="0" w:header="0"/>
        </w:sectPr>
      </w:pPr>
    </w:p>
    <w:bookmarkStart w:id="56" w:name="page57"/>
    <w:bookmarkEnd w:id="56"/>
    <w:p>
      <w:pPr>
        <w:ind w:right="60"/>
        <w:spacing w:after="0" w:line="259" w:lineRule="auto"/>
        <w:rPr>
          <w:sz w:val="20"/>
          <w:szCs w:val="20"/>
          <w:color w:val="auto"/>
        </w:rPr>
      </w:pPr>
      <w:r>
        <w:rPr>
          <w:rFonts w:ascii="Arial" w:cs="Arial" w:eastAsia="Arial" w:hAnsi="Arial"/>
          <w:sz w:val="18"/>
          <w:szCs w:val="18"/>
          <w:color w:val="auto"/>
        </w:rPr>
        <w:t>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18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Compliance Certificates and Opinions</w:t>
      </w:r>
      <w:r>
        <w:rPr>
          <w:rFonts w:ascii="Arial" w:cs="Arial" w:eastAsia="Arial" w:hAnsi="Arial"/>
          <w:sz w:val="17"/>
          <w:szCs w:val="17"/>
          <w:color w:val="auto"/>
        </w:rPr>
        <w:t>. (a) Except as otherwise expressly provided in this Indenture, upon any application or 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8" w:lineRule="exact"/>
        <w:rPr>
          <w:sz w:val="20"/>
          <w:szCs w:val="20"/>
          <w:color w:val="auto"/>
        </w:rPr>
      </w:pPr>
    </w:p>
    <w:p>
      <w:pPr>
        <w:ind w:right="400" w:firstLine="1305"/>
        <w:spacing w:after="0" w:line="277" w:lineRule="auto"/>
        <w:tabs>
          <w:tab w:leader="none" w:pos="19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Every certificate or opinion with respect to compliance with a condition or covenant provided for in this Indenture (except for certificates provided for in Section 1004) shall include:</w:t>
      </w:r>
    </w:p>
    <w:p>
      <w:pPr>
        <w:spacing w:after="0" w:line="170" w:lineRule="exact"/>
        <w:rPr>
          <w:sz w:val="20"/>
          <w:szCs w:val="20"/>
          <w:color w:val="auto"/>
        </w:rPr>
      </w:pPr>
    </w:p>
    <w:p>
      <w:pPr>
        <w:ind w:left="1960" w:hanging="655"/>
        <w:spacing w:after="0"/>
        <w:tabs>
          <w:tab w:leader="none" w:pos="19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77" w:lineRule="auto"/>
        <w:tabs>
          <w:tab w:leader="none" w:pos="1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60" w:firstLine="645"/>
        <w:spacing w:after="0" w:line="308" w:lineRule="auto"/>
        <w:tabs>
          <w:tab w:leader="none" w:pos="196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Form of Documents Delivered to Trustee</w:t>
      </w:r>
      <w:r>
        <w:rPr>
          <w:rFonts w:ascii="Arial" w:cs="Arial" w:eastAsia="Arial" w:hAnsi="Arial"/>
          <w:sz w:val="16"/>
          <w:szCs w:val="16"/>
          <w:color w:val="auto"/>
        </w:rPr>
        <w:t>.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4" w:lineRule="exact"/>
        <w:rPr>
          <w:sz w:val="20"/>
          <w:szCs w:val="20"/>
          <w:color w:val="auto"/>
        </w:rPr>
      </w:pPr>
    </w:p>
    <w:p>
      <w:pPr>
        <w:ind w:right="100" w:firstLine="1305"/>
        <w:spacing w:after="0" w:line="272" w:lineRule="auto"/>
        <w:tabs>
          <w:tab w:leader="none" w:pos="195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certificate, statement or opinion of an officer of the Company may be based, insofar as it relates to legal matters, upon a certificate 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 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177" w:lineRule="exact"/>
        <w:rPr>
          <w:rFonts w:ascii="Arial" w:cs="Arial" w:eastAsia="Arial" w:hAnsi="Arial"/>
          <w:sz w:val="17"/>
          <w:szCs w:val="17"/>
          <w:color w:val="auto"/>
        </w:rPr>
      </w:pPr>
    </w:p>
    <w:p>
      <w:pPr>
        <w:ind w:right="520" w:firstLine="1305"/>
        <w:spacing w:after="0" w:line="308" w:lineRule="auto"/>
        <w:tabs>
          <w:tab w:leader="none" w:pos="195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7"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Acts of Holders</w:t>
      </w:r>
      <w:r>
        <w:rPr>
          <w:rFonts w:ascii="Arial" w:cs="Arial" w:eastAsia="Arial" w:hAnsi="Arial"/>
          <w:sz w:val="16"/>
          <w:szCs w:val="16"/>
          <w:color w:val="auto"/>
        </w:rPr>
        <w:t>. (a) Any request, demand, authorization, direction, notice, consent, waiver or other action provided or 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67" w:lineRule="exact"/>
        <w:rPr>
          <w:sz w:val="20"/>
          <w:szCs w:val="20"/>
          <w:color w:val="auto"/>
        </w:rPr>
      </w:pPr>
    </w:p>
    <w:p>
      <w:pPr>
        <w:ind w:right="140" w:firstLine="1305"/>
        <w:spacing w:after="0" w:line="276" w:lineRule="auto"/>
        <w:tabs>
          <w:tab w:leader="none" w:pos="195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172" w:lineRule="exact"/>
        <w:rPr>
          <w:rFonts w:ascii="Arial" w:cs="Arial" w:eastAsia="Arial" w:hAnsi="Arial"/>
          <w:sz w:val="17"/>
          <w:szCs w:val="17"/>
          <w:color w:val="auto"/>
        </w:rPr>
      </w:pPr>
    </w:p>
    <w:p>
      <w:pPr>
        <w:ind w:right="120" w:firstLine="1305"/>
        <w:spacing w:after="0" w:line="277" w:lineRule="auto"/>
        <w:tabs>
          <w:tab w:leader="none" w:pos="19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1305"/>
        <w:spacing w:after="0" w:line="259" w:lineRule="auto"/>
        <w:tabs>
          <w:tab w:leader="none" w:pos="19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ectPr>
          <w:pgSz w:w="11900" w:h="16838" w:orient="portrait"/>
          <w:cols w:equalWidth="0" w:num="1">
            <w:col w:w="11420"/>
          </w:cols>
          <w:pgMar w:left="240" w:top="125" w:right="239" w:bottom="0" w:gutter="0" w:footer="0" w:header="0"/>
        </w:sectPr>
      </w:pPr>
    </w:p>
    <w:bookmarkStart w:id="57" w:name="page58"/>
    <w:bookmarkEnd w:id="57"/>
    <w:p>
      <w:pPr>
        <w:spacing w:after="0" w:line="26" w:lineRule="exact"/>
        <w:rPr>
          <w:sz w:val="20"/>
          <w:szCs w:val="20"/>
          <w:color w:val="auto"/>
        </w:rPr>
      </w:pPr>
    </w:p>
    <w:p>
      <w:pPr>
        <w:jc w:val="both"/>
        <w:ind w:firstLine="1305"/>
        <w:spacing w:after="0" w:line="259"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may set a record date for purposes of determining the identity of Holders of any Outstanding Securities of any series entitled to vote or consent to any action by vote or consent authorized or permitted by Section 512 or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186" w:lineRule="exact"/>
        <w:rPr>
          <w:rFonts w:ascii="Arial" w:cs="Arial" w:eastAsia="Arial" w:hAnsi="Arial"/>
          <w:sz w:val="18"/>
          <w:szCs w:val="18"/>
          <w:color w:val="auto"/>
        </w:rPr>
      </w:pPr>
    </w:p>
    <w:p>
      <w:pPr>
        <w:ind w:right="100" w:firstLine="1305"/>
        <w:spacing w:after="0" w:line="272" w:lineRule="auto"/>
        <w:tabs>
          <w:tab w:leader="none" w:pos="194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the Company solicits from Holders any request, demand, authorization, direction, notice, consent, election, waiver or other Act, the 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7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Notices, Etc. to Trustee and Company</w:t>
      </w:r>
      <w:r>
        <w:rPr>
          <w:rFonts w:ascii="Arial" w:cs="Arial" w:eastAsia="Arial" w:hAnsi="Arial"/>
          <w:sz w:val="18"/>
          <w:szCs w:val="18"/>
          <w:color w:val="auto"/>
        </w:rPr>
        <w:t>. Except as otherwise provided herein, any request, demand, authorization, direction, notice, consent, election, waiver or Act of Holders or other document provided or permitted by this Indenture to be made upon, given or furnished to, or filed with,</w:t>
      </w:r>
    </w:p>
    <w:p>
      <w:pPr>
        <w:spacing w:after="0" w:line="181" w:lineRule="exact"/>
        <w:rPr>
          <w:sz w:val="20"/>
          <w:szCs w:val="20"/>
          <w:color w:val="auto"/>
        </w:rPr>
      </w:pPr>
    </w:p>
    <w:p>
      <w:pPr>
        <w:ind w:left="660" w:right="160" w:firstLine="645"/>
        <w:spacing w:after="0" w:line="277" w:lineRule="auto"/>
        <w:tabs>
          <w:tab w:leader="none" w:pos="19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to or with the Trustee at its Corporate Trust Office, Attention: ·, or</w:t>
      </w:r>
    </w:p>
    <w:p>
      <w:pPr>
        <w:spacing w:after="0" w:line="170" w:lineRule="exact"/>
        <w:rPr>
          <w:rFonts w:ascii="Arial" w:cs="Arial" w:eastAsia="Arial" w:hAnsi="Arial"/>
          <w:sz w:val="18"/>
          <w:szCs w:val="18"/>
          <w:color w:val="auto"/>
        </w:rPr>
      </w:pPr>
    </w:p>
    <w:p>
      <w:pPr>
        <w:jc w:val="both"/>
        <w:ind w:left="660" w:right="240" w:firstLine="645"/>
        <w:spacing w:after="0" w:line="312" w:lineRule="auto"/>
        <w:tabs>
          <w:tab w:leader="none" w:pos="196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147"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Notice to Holders; Waiver</w:t>
      </w:r>
      <w:r>
        <w:rPr>
          <w:rFonts w:ascii="Arial" w:cs="Arial" w:eastAsia="Arial" w:hAnsi="Arial"/>
          <w:sz w:val="18"/>
          <w:szCs w:val="18"/>
          <w:color w:val="auto"/>
        </w:rPr>
        <w:t>. (a) Except as otherwise expressly provided herein, where this Indenture provides for notice of any event or reports to Holders, such notice or report shall be sufficiently given if in writing and mailed, first-class postage prepaid or electronically in the case of Global Securities, to each Holder of Securities affected by such event, at the address of such Holder as it appears in the Security Register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193" w:lineRule="exact"/>
        <w:rPr>
          <w:sz w:val="20"/>
          <w:szCs w:val="20"/>
          <w:color w:val="auto"/>
        </w:rPr>
      </w:pPr>
    </w:p>
    <w:p>
      <w:pPr>
        <w:ind w:right="20" w:firstLine="1305"/>
        <w:spacing w:after="0" w:line="277" w:lineRule="auto"/>
        <w:tabs>
          <w:tab w:leader="none" w:pos="19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170" w:lineRule="exact"/>
        <w:rPr>
          <w:rFonts w:ascii="Arial" w:cs="Arial" w:eastAsia="Arial" w:hAnsi="Arial"/>
          <w:sz w:val="18"/>
          <w:szCs w:val="18"/>
          <w:color w:val="auto"/>
        </w:rPr>
      </w:pPr>
    </w:p>
    <w:p>
      <w:pPr>
        <w:ind w:right="320" w:firstLine="1305"/>
        <w:spacing w:after="0" w:line="286" w:lineRule="auto"/>
        <w:tabs>
          <w:tab w:leader="none" w:pos="19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64" w:lineRule="auto"/>
        <w:tabs>
          <w:tab w:leader="none" w:pos="19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if given to the Depositary for such Security (or its designee) pursuant to the applicable procedures of the Depositary.</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Conflict With Trust Indenture Act</w:t>
      </w:r>
      <w:r>
        <w:rPr>
          <w:rFonts w:ascii="Arial" w:cs="Arial" w:eastAsia="Arial" w:hAnsi="Arial"/>
          <w:sz w:val="18"/>
          <w:szCs w:val="18"/>
          <w:color w:val="auto"/>
        </w:rPr>
        <w:t>. 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7"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Separability Clause</w:t>
      </w:r>
      <w:r>
        <w:rPr>
          <w:rFonts w:ascii="Arial" w:cs="Arial" w:eastAsia="Arial" w:hAnsi="Arial"/>
          <w:sz w:val="18"/>
          <w:szCs w:val="18"/>
          <w:color w:val="auto"/>
        </w:rPr>
        <w:t>. In case any provision in this Indenture or in the Securities is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right="240" w:firstLine="1297"/>
        <w:spacing w:after="0" w:line="31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Benefits of Indenture</w:t>
      </w:r>
      <w:r>
        <w:rPr>
          <w:rFonts w:ascii="Arial" w:cs="Arial" w:eastAsia="Arial" w:hAnsi="Arial"/>
          <w:sz w:val="16"/>
          <w:szCs w:val="16"/>
          <w:color w:val="auto"/>
        </w:rPr>
        <w:t>. Nothing in this Indenture or in the Securities, express or implied, shall give to any Person, other than 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4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Governing Law</w:t>
      </w:r>
      <w:r>
        <w:rPr>
          <w:rFonts w:ascii="Arial" w:cs="Arial" w:eastAsia="Arial" w:hAnsi="Arial"/>
          <w:sz w:val="18"/>
          <w:szCs w:val="18"/>
          <w:color w:val="auto"/>
        </w:rPr>
        <w:t>. This Indenture and the Securities shall be governed by and construed in accordance with the laws of the State of New York in the United States, but without giving effect to the conflicts of laws principles thereof.</w:t>
      </w:r>
    </w:p>
    <w:p>
      <w:pPr>
        <w:spacing w:after="0" w:line="170"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i w:val="1"/>
          <w:iCs w:val="1"/>
          <w:color w:val="auto"/>
        </w:rPr>
        <w:t>Legal Holidays</w:t>
      </w:r>
      <w:r>
        <w:rPr>
          <w:rFonts w:ascii="Arial" w:cs="Arial" w:eastAsia="Arial" w:hAnsi="Arial"/>
          <w:sz w:val="16"/>
          <w:szCs w:val="16"/>
          <w:color w:val="auto"/>
        </w:rPr>
        <w:t xml:space="preserve">. In any case where any Interest Payment Date, Redemption Date, Repayment Date or Stated Maturity of any 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(1) excluded in the computation of interest, if any, accruing on such Security at a fixed rate and (2) included in the computation of interest, if any, accruing on such Security at a floating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extension would cause payment of interest at a floating rate to be made in the next following calendar month, such payment shall be made on the next preceding Business Day.</w:t>
      </w:r>
    </w:p>
    <w:p>
      <w:pPr>
        <w:sectPr>
          <w:pgSz w:w="11900" w:h="16865" w:orient="portrait"/>
          <w:cols w:equalWidth="0" w:num="1">
            <w:col w:w="11420"/>
          </w:cols>
          <w:pgMar w:left="240" w:top="125" w:right="239" w:bottom="0" w:gutter="0" w:footer="0" w:header="0"/>
        </w:sectPr>
      </w:pPr>
    </w:p>
    <w:bookmarkStart w:id="58" w:name="page59"/>
    <w:bookmarkEnd w:id="58"/>
    <w:p>
      <w:pPr>
        <w:spacing w:after="0" w:line="103"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Rules by Trustee and Agents</w:t>
      </w:r>
      <w:r>
        <w:rPr>
          <w:rFonts w:ascii="Arial" w:cs="Arial" w:eastAsia="Arial" w:hAnsi="Arial"/>
          <w:sz w:val="17"/>
          <w:szCs w:val="17"/>
          <w:color w:val="auto"/>
        </w:rPr>
        <w:t>. The Trustee may make reasonable rules for action by or at a meeting of Holders of one or more series. The Paying Agent or Security Registrar may make reasonable rules and set reasonable requirements for its functions.</w:t>
      </w:r>
    </w:p>
    <w:p>
      <w:pPr>
        <w:spacing w:after="0" w:line="147"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past, present or future director, officer, stockholder or employee, as such, of the Company or any of its Affiliates or any successor corporation shall have any liability for any obligation, covenant or agreement of the Company under this Indenture or any indenture supplemental hereto, or in the Securities, or for any claim based on, in respect of or by reason of such obligations, covenants or agreements or their creation. Each Holder by accepting a Security waives and releases all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liability. The waiver and release are part of the consideration for the execution and delivery of this Indenture and the issue of the Securities.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Forms Generally</w:t>
      </w:r>
      <w:r>
        <w:rPr>
          <w:rFonts w:ascii="Arial" w:cs="Arial" w:eastAsia="Arial" w:hAnsi="Arial"/>
          <w:sz w:val="17"/>
          <w:szCs w:val="17"/>
          <w:color w:val="auto"/>
        </w:rPr>
        <w:t>. (a) The Securities of each series shall be in substantially such form as shall be established by or pursuant to a Board Resolution, and set forth in an Officer’s Certificate, or established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179" w:lineRule="exact"/>
        <w:rPr>
          <w:sz w:val="20"/>
          <w:szCs w:val="20"/>
          <w:color w:val="auto"/>
        </w:rPr>
      </w:pPr>
    </w:p>
    <w:p>
      <w:pPr>
        <w:ind w:right="80" w:firstLine="1305"/>
        <w:spacing w:after="0" w:line="277" w:lineRule="auto"/>
        <w:tabs>
          <w:tab w:leader="none" w:pos="19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definitive Securities shall be produced in such manner or combination of manners, all as determined by the officers executing such Securities, as evidenced by their execution of such Securities.</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Form of Trustee’s Certificate of Authentication</w:t>
      </w:r>
      <w:r>
        <w:rPr>
          <w:rFonts w:ascii="Arial" w:cs="Arial" w:eastAsia="Arial" w:hAnsi="Arial"/>
          <w:sz w:val="16"/>
          <w:szCs w:val="16"/>
          <w:color w:val="auto"/>
        </w:rPr>
        <w:t>. The Trustee’s certificate of authentication shall be in substantially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 form: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ectPr>
          <w:pgSz w:w="11900" w:h="16941" w:orient="portrait"/>
          <w:cols w:equalWidth="0" w:num="1">
            <w:col w:w="11400"/>
          </w:cols>
          <w:pgMar w:left="240" w:top="341"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Trustee</w:t>
      </w:r>
    </w:p>
    <w:p>
      <w:pPr>
        <w:spacing w:after="0" w:line="200" w:lineRule="exact"/>
        <w:rPr>
          <w:sz w:val="20"/>
          <w:szCs w:val="20"/>
          <w:color w:val="auto"/>
        </w:rPr>
      </w:pPr>
    </w:p>
    <w:p>
      <w:pPr>
        <w:sectPr>
          <w:pgSz w:w="11900" w:h="16941" w:orient="portrait"/>
          <w:cols w:equalWidth="0" w:num="2">
            <w:col w:w="5780" w:space="200"/>
            <w:col w:w="5420"/>
          </w:cols>
          <w:pgMar w:left="240" w:top="341" w:right="259" w:bottom="0" w:gutter="0" w:footer="0" w:header="0"/>
          <w:type w:val="continuous"/>
        </w:sectPr>
      </w:pPr>
    </w:p>
    <w:p>
      <w:pPr>
        <w:spacing w:after="0" w:line="2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(a) The aggregate principal amount of Securities that may be authenticated and delivered under this Indenture is unlimited.</w:t>
      </w:r>
    </w:p>
    <w:p>
      <w:pPr>
        <w:spacing w:after="0" w:line="170" w:lineRule="exact"/>
        <w:rPr>
          <w:sz w:val="20"/>
          <w:szCs w:val="20"/>
          <w:color w:val="auto"/>
        </w:rPr>
      </w:pPr>
    </w:p>
    <w:p>
      <w:pPr>
        <w:ind w:right="140" w:firstLine="1305"/>
        <w:spacing w:after="0" w:line="308" w:lineRule="auto"/>
        <w:tabs>
          <w:tab w:leader="none" w:pos="195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147" w:lineRule="exact"/>
        <w:rPr>
          <w:sz w:val="20"/>
          <w:szCs w:val="20"/>
          <w:color w:val="auto"/>
        </w:rPr>
      </w:pPr>
    </w:p>
    <w:p>
      <w:pPr>
        <w:ind w:left="1960" w:hanging="655"/>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title of the Securities of such series (which shall distinguish the Securities of the series from all other Securities);</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that may be authenticated and delivered under this Indenture (except for Securities authenticated and delivered upon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308" w:lineRule="auto"/>
        <w:rPr>
          <w:sz w:val="20"/>
          <w:szCs w:val="20"/>
          <w:color w:val="auto"/>
        </w:rPr>
      </w:pPr>
      <w:r>
        <w:rPr>
          <w:rFonts w:ascii="Arial" w:cs="Arial" w:eastAsia="Arial" w:hAnsi="Arial"/>
          <w:sz w:val="17"/>
          <w:szCs w:val="17"/>
          <w:color w:val="auto"/>
        </w:rPr>
        <w:t>registration of transfer of, or in exchange for, or in lieu of, other Securities of such series pursuant to Section 304, 305, 306, 906, 1107 or 1204 and except for any Securities that, pursuant to Section 303, are deemed never to have been authenticated and delivered hereunder);</w:t>
      </w:r>
    </w:p>
    <w:p>
      <w:pPr>
        <w:spacing w:after="0" w:line="147" w:lineRule="exact"/>
        <w:rPr>
          <w:sz w:val="20"/>
          <w:szCs w:val="20"/>
          <w:color w:val="auto"/>
        </w:rPr>
      </w:pPr>
    </w:p>
    <w:p>
      <w:pPr>
        <w:ind w:left="660" w:right="100" w:firstLine="645"/>
        <w:spacing w:after="0" w:line="259" w:lineRule="auto"/>
        <w:tabs>
          <w:tab w:leader="none" w:pos="1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Securities of such series, or any Tranche thereof, is payable or any 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186" w:lineRule="exact"/>
        <w:rPr>
          <w:rFonts w:ascii="Arial" w:cs="Arial" w:eastAsia="Arial" w:hAnsi="Arial"/>
          <w:sz w:val="18"/>
          <w:szCs w:val="18"/>
          <w:color w:val="auto"/>
        </w:rPr>
      </w:pPr>
    </w:p>
    <w:p>
      <w:pPr>
        <w:ind w:left="660" w:firstLine="645"/>
        <w:spacing w:after="0" w:line="297" w:lineRule="auto"/>
        <w:tabs>
          <w:tab w:leader="none" w:pos="19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rate or rates at which the Securities of such series, or any Tranche thereof, shall bear interest, if any (including the rate or rates at which overdue principal shall bear interest, if different from the rate or rates at which such Securities shall bear interest prior to Maturity, and, if applicable, the rate or 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w:t>
      </w:r>
    </w:p>
    <w:p>
      <w:pPr>
        <w:sectPr>
          <w:pgSz w:w="11900" w:h="16941" w:orient="portrait"/>
          <w:cols w:equalWidth="0" w:num="1">
            <w:col w:w="11400"/>
          </w:cols>
          <w:pgMar w:left="240" w:top="341" w:right="259" w:bottom="0" w:gutter="0" w:footer="0" w:header="0"/>
          <w:type w:val="continuous"/>
        </w:sectPr>
      </w:pPr>
    </w:p>
    <w:bookmarkStart w:id="59" w:name="page60"/>
    <w:bookmarkEnd w:id="59"/>
    <w:p>
      <w:pPr>
        <w:spacing w:after="0" w:line="39" w:lineRule="exact"/>
        <w:rPr>
          <w:sz w:val="20"/>
          <w:szCs w:val="20"/>
          <w:color w:val="auto"/>
        </w:rPr>
      </w:pPr>
    </w:p>
    <w:p>
      <w:pPr>
        <w:jc w:val="both"/>
        <w:ind w:left="640" w:right="40"/>
        <w:spacing w:after="0" w:line="342" w:lineRule="auto"/>
        <w:rPr>
          <w:sz w:val="20"/>
          <w:szCs w:val="20"/>
          <w:color w:val="auto"/>
        </w:rPr>
      </w:pPr>
      <w:r>
        <w:rPr>
          <w:rFonts w:ascii="Arial" w:cs="Arial" w:eastAsia="Arial" w:hAnsi="Arial"/>
          <w:sz w:val="16"/>
          <w:szCs w:val="16"/>
          <w:color w:val="auto"/>
        </w:rPr>
        <w:t>for the interest payable on such 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124" w:lineRule="exact"/>
        <w:rPr>
          <w:sz w:val="20"/>
          <w:szCs w:val="20"/>
          <w:color w:val="auto"/>
        </w:rPr>
      </w:pPr>
    </w:p>
    <w:p>
      <w:pPr>
        <w:ind w:left="640" w:right="20" w:firstLine="645"/>
        <w:spacing w:after="0" w:line="297" w:lineRule="auto"/>
        <w:tabs>
          <w:tab w:leader="none" w:pos="19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place or places where the principal of and premium, if any, and interest, if any, on Securities of such series, or any Tranche thereof, shall be payable, where the Securities of such series, or any Tranche thereof, may be surrendered for registration of transferor for exchange, and where notices and demands to or upon the Company in respect of the Securities of such series, or any Tranche thereof, and this Indenture may be served and notices to Holders pursuant to Section 106 will be published; the Security Registrar and any Paying Agent or Agents for such series or Tranche; and if such is the case, that the principal of such Securities shall be payable without presentment or surrender thereof;</w:t>
      </w:r>
    </w:p>
    <w:p>
      <w:pPr>
        <w:spacing w:after="0" w:line="158" w:lineRule="exact"/>
        <w:rPr>
          <w:rFonts w:ascii="Arial" w:cs="Arial" w:eastAsia="Arial" w:hAnsi="Arial"/>
          <w:sz w:val="16"/>
          <w:szCs w:val="16"/>
          <w:color w:val="auto"/>
        </w:rPr>
      </w:pPr>
    </w:p>
    <w:p>
      <w:pPr>
        <w:ind w:left="640" w:right="100" w:firstLine="645"/>
        <w:spacing w:after="0" w:line="264" w:lineRule="auto"/>
        <w:tabs>
          <w:tab w:leader="none" w:pos="19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Securities of such series, or any Tranche thereof, may be redeemed, in whole or in part, at the option of the Company and, if other than by a Board Resolution, the manner in which any election by the Company to redeem such Securities shall be evidenced;</w:t>
      </w:r>
    </w:p>
    <w:p>
      <w:pPr>
        <w:spacing w:after="0" w:line="181" w:lineRule="exact"/>
        <w:rPr>
          <w:rFonts w:ascii="Arial" w:cs="Arial" w:eastAsia="Arial" w:hAnsi="Arial"/>
          <w:sz w:val="18"/>
          <w:szCs w:val="18"/>
          <w:color w:val="auto"/>
        </w:rPr>
      </w:pPr>
    </w:p>
    <w:p>
      <w:pPr>
        <w:ind w:left="640" w:right="120" w:firstLine="645"/>
        <w:spacing w:after="0" w:line="259" w:lineRule="auto"/>
        <w:tabs>
          <w:tab w:leader="none" w:pos="19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such series, or any Tranche thereof, pursuant to any sinking fund or analogous provisions or at the option of the Holder thereof and the period or periods within which, the price or prices at which and the terms and conditions upon which Securities of such series, or any Tranche thereof, shall be redeemed or purchased, in whole or in part, pursuant to such obligation;</w:t>
      </w:r>
    </w:p>
    <w:p>
      <w:pPr>
        <w:spacing w:after="0" w:line="186" w:lineRule="exact"/>
        <w:rPr>
          <w:rFonts w:ascii="Arial" w:cs="Arial" w:eastAsia="Arial" w:hAnsi="Arial"/>
          <w:sz w:val="18"/>
          <w:szCs w:val="18"/>
          <w:color w:val="auto"/>
        </w:rPr>
      </w:pPr>
    </w:p>
    <w:p>
      <w:pPr>
        <w:ind w:left="1940" w:hanging="655"/>
        <w:spacing w:after="0"/>
        <w:tabs>
          <w:tab w:leader="none" w:pos="19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terms, if any, on which the Securities of such series will be subordinate in right and priority of payment to other debt of the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940" w:hanging="655"/>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denominations in which any Securities of such series shall be issuable, if other than denominations of $1,000 and any integral</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multiple thereof;</w:t>
      </w:r>
    </w:p>
    <w:p>
      <w:pPr>
        <w:spacing w:after="0" w:line="210" w:lineRule="exact"/>
        <w:rPr>
          <w:rFonts w:ascii="Arial" w:cs="Arial" w:eastAsia="Arial" w:hAnsi="Arial"/>
          <w:sz w:val="16"/>
          <w:szCs w:val="16"/>
          <w:color w:val="auto"/>
        </w:rPr>
      </w:pPr>
    </w:p>
    <w:p>
      <w:pPr>
        <w:ind w:left="640" w:right="400" w:firstLine="645"/>
        <w:spacing w:after="0" w:line="277" w:lineRule="auto"/>
        <w:tabs>
          <w:tab w:leader="none" w:pos="19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such series that shall be payable upon declaration of acceleration of the Maturity thereof pursuant to Section 502;</w:t>
      </w:r>
    </w:p>
    <w:p>
      <w:pPr>
        <w:spacing w:after="0" w:line="170" w:lineRule="exact"/>
        <w:rPr>
          <w:rFonts w:ascii="Arial" w:cs="Arial" w:eastAsia="Arial" w:hAnsi="Arial"/>
          <w:sz w:val="18"/>
          <w:szCs w:val="18"/>
          <w:color w:val="auto"/>
        </w:rPr>
      </w:pPr>
    </w:p>
    <w:p>
      <w:pPr>
        <w:ind w:left="640" w:right="40" w:firstLine="645"/>
        <w:spacing w:after="0" w:line="259" w:lineRule="auto"/>
        <w:tabs>
          <w:tab w:leader="none" w:pos="193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the principal of or any premium or interest on the Securities of such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40" w:firstLine="645"/>
        <w:spacing w:after="0" w:line="259" w:lineRule="auto"/>
        <w:tabs>
          <w:tab w:leader="none" w:pos="1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Securities of such series is to be payable, or is to be payable at the election of the 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186" w:lineRule="exact"/>
        <w:rPr>
          <w:rFonts w:ascii="Arial" w:cs="Arial" w:eastAsia="Arial" w:hAnsi="Arial"/>
          <w:sz w:val="18"/>
          <w:szCs w:val="18"/>
          <w:color w:val="auto"/>
        </w:rPr>
      </w:pPr>
    </w:p>
    <w:p>
      <w:pPr>
        <w:ind w:left="640" w:right="400" w:firstLine="645"/>
        <w:spacing w:after="0" w:line="286" w:lineRule="auto"/>
        <w:tabs>
          <w:tab w:leader="none" w:pos="19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Person to whom any interest on any Security of such series shall be payable, if other than the Person in whose name that Security is registered at the close of business on the Regular Record Date for such interest, and the extent to which, or the manner in which, any interest payable on a temporary or permanent Global Security on an interest payment date will be paid;</w:t>
      </w:r>
    </w:p>
    <w:p>
      <w:pPr>
        <w:spacing w:after="0" w:line="165" w:lineRule="exact"/>
        <w:rPr>
          <w:rFonts w:ascii="Arial" w:cs="Arial" w:eastAsia="Arial" w:hAnsi="Arial"/>
          <w:sz w:val="17"/>
          <w:szCs w:val="17"/>
          <w:color w:val="auto"/>
        </w:rPr>
      </w:pPr>
    </w:p>
    <w:p>
      <w:pPr>
        <w:ind w:left="640" w:firstLine="645"/>
        <w:spacing w:after="0" w:line="308" w:lineRule="auto"/>
        <w:tabs>
          <w:tab w:leader="none" w:pos="19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with respect to the Securities of such series, and any addition to or change in the covenants of the Company for the benefit of the Holders of the Securities of such series in addition to those set forth in Article Ten;</w:t>
      </w:r>
    </w:p>
    <w:p>
      <w:pPr>
        <w:spacing w:after="0" w:line="146" w:lineRule="exact"/>
        <w:rPr>
          <w:rFonts w:ascii="Arial" w:cs="Arial" w:eastAsia="Arial" w:hAnsi="Arial"/>
          <w:sz w:val="17"/>
          <w:szCs w:val="17"/>
          <w:color w:val="auto"/>
        </w:rPr>
      </w:pPr>
    </w:p>
    <w:p>
      <w:pPr>
        <w:ind w:left="640" w:right="140" w:firstLine="645"/>
        <w:spacing w:after="0" w:line="277" w:lineRule="auto"/>
        <w:tabs>
          <w:tab w:leader="none" w:pos="1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Securities of such series may be converted into or exchanged for securities or other property of the Company or any other Person;</w:t>
      </w:r>
    </w:p>
    <w:p>
      <w:pPr>
        <w:spacing w:after="0" w:line="170" w:lineRule="exact"/>
        <w:rPr>
          <w:rFonts w:ascii="Arial" w:cs="Arial" w:eastAsia="Arial" w:hAnsi="Arial"/>
          <w:sz w:val="18"/>
          <w:szCs w:val="18"/>
          <w:color w:val="auto"/>
        </w:rPr>
      </w:pPr>
    </w:p>
    <w:p>
      <w:pPr>
        <w:ind w:left="640" w:right="100" w:firstLine="645"/>
        <w:spacing w:after="0" w:line="277" w:lineRule="auto"/>
        <w:tabs>
          <w:tab w:leader="none" w:pos="1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Company’s obligations under this Indenture may be terminated through the deposit of money or Eligible Instruments as provided in Article Four;</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exceptions to Section 113, or variation in the definition of Business Day, with respect to the Securities of such series;</w:t>
      </w:r>
    </w:p>
    <w:p>
      <w:pPr>
        <w:spacing w:after="0" w:line="236" w:lineRule="exact"/>
        <w:rPr>
          <w:rFonts w:ascii="Arial" w:cs="Arial" w:eastAsia="Arial" w:hAnsi="Arial"/>
          <w:sz w:val="17"/>
          <w:szCs w:val="17"/>
          <w:color w:val="auto"/>
        </w:rPr>
      </w:pPr>
    </w:p>
    <w:p>
      <w:pPr>
        <w:ind w:left="1940" w:hanging="655"/>
        <w:spacing w:after="0"/>
        <w:tabs>
          <w:tab w:leader="none" w:pos="1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collateral security, assurance or guaranty for the Securities of such series;</w:t>
      </w:r>
    </w:p>
    <w:p>
      <w:pPr>
        <w:spacing w:after="0" w:line="225" w:lineRule="exact"/>
        <w:rPr>
          <w:rFonts w:ascii="Arial" w:cs="Arial" w:eastAsia="Arial" w:hAnsi="Arial"/>
          <w:sz w:val="18"/>
          <w:szCs w:val="18"/>
          <w:color w:val="auto"/>
        </w:rPr>
      </w:pPr>
    </w:p>
    <w:p>
      <w:pPr>
        <w:ind w:left="640" w:right="80" w:firstLine="645"/>
        <w:spacing w:after="0" w:line="277" w:lineRule="auto"/>
        <w:tabs>
          <w:tab w:leader="none" w:pos="1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non-applicability of Section 608 to the Securities of such series or any exceptions or modifications of Section 608 with respect to the Securities of such series;</w:t>
      </w:r>
    </w:p>
    <w:p>
      <w:pPr>
        <w:spacing w:after="0" w:line="170" w:lineRule="exact"/>
        <w:rPr>
          <w:rFonts w:ascii="Arial" w:cs="Arial" w:eastAsia="Arial" w:hAnsi="Arial"/>
          <w:sz w:val="18"/>
          <w:szCs w:val="18"/>
          <w:color w:val="auto"/>
        </w:rPr>
      </w:pPr>
    </w:p>
    <w:p>
      <w:pPr>
        <w:ind w:left="640" w:right="100" w:firstLine="645"/>
        <w:spacing w:after="0" w:line="264" w:lineRule="auto"/>
        <w:tabs>
          <w:tab w:leader="none" w:pos="1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rights or duties of another Person to assume the obligations of the Company with respect to the Securities of such series (whether as joint obligor, primary obligor, secondary obligor or substitute obligor) and any rights or duties to discharge and release any obligor with respect to the Securities of such series or this Indenture to the extent related to such series; and</w:t>
      </w:r>
    </w:p>
    <w:p>
      <w:pPr>
        <w:spacing w:after="0" w:line="181" w:lineRule="exact"/>
        <w:rPr>
          <w:rFonts w:ascii="Arial" w:cs="Arial" w:eastAsia="Arial" w:hAnsi="Arial"/>
          <w:sz w:val="18"/>
          <w:szCs w:val="18"/>
          <w:color w:val="auto"/>
        </w:rPr>
      </w:pPr>
    </w:p>
    <w:p>
      <w:pPr>
        <w:ind w:left="640" w:right="720" w:firstLine="645"/>
        <w:spacing w:after="0" w:line="277" w:lineRule="auto"/>
        <w:tabs>
          <w:tab w:leader="none" w:pos="1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terms, conditions and rights of such series (which terms, conditions and rights shall not be inconsistent with the provisions of this Indenture, except as permitted by Section 901(a)(4)).</w:t>
      </w:r>
    </w:p>
    <w:p>
      <w:pPr>
        <w:spacing w:after="0" w:line="170" w:lineRule="exact"/>
        <w:rPr>
          <w:sz w:val="20"/>
          <w:szCs w:val="20"/>
          <w:color w:val="auto"/>
        </w:rPr>
      </w:pPr>
    </w:p>
    <w:p>
      <w:pPr>
        <w:ind w:left="-20" w:right="280" w:firstLine="1305"/>
        <w:spacing w:after="0" w:line="286" w:lineRule="auto"/>
        <w:tabs>
          <w:tab w:leader="none" w:pos="19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Securities of any one series (other than Securities offered in a Periodic Offering) shall be substantially identical except as to 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165" w:lineRule="exact"/>
        <w:rPr>
          <w:rFonts w:ascii="Arial" w:cs="Arial" w:eastAsia="Arial" w:hAnsi="Arial"/>
          <w:sz w:val="17"/>
          <w:szCs w:val="17"/>
          <w:color w:val="auto"/>
        </w:rPr>
      </w:pPr>
    </w:p>
    <w:p>
      <w:pPr>
        <w:ind w:left="-20" w:right="20" w:firstLine="1305"/>
        <w:spacing w:after="0" w:line="302" w:lineRule="auto"/>
        <w:tabs>
          <w:tab w:leader="none" w:pos="19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terms and form or forms of any series of Securities are established by or pursuant to a Board Resolution, the Company shall 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w:t>
      </w:r>
    </w:p>
    <w:p>
      <w:pPr>
        <w:sectPr>
          <w:pgSz w:w="11900" w:h="16877" w:orient="portrait"/>
          <w:cols w:equalWidth="0" w:num="1">
            <w:col w:w="11400"/>
          </w:cols>
          <w:pgMar w:left="260" w:top="125" w:right="239" w:bottom="0" w:gutter="0" w:footer="0" w:header="0"/>
        </w:sectPr>
      </w:pPr>
    </w:p>
    <w:bookmarkStart w:id="60" w:name="page61"/>
    <w:bookmarkEnd w:id="60"/>
    <w:p>
      <w:pPr>
        <w:ind w:right="180"/>
        <w:spacing w:after="0" w:line="277" w:lineRule="auto"/>
        <w:rPr>
          <w:sz w:val="20"/>
          <w:szCs w:val="20"/>
          <w:color w:val="auto"/>
        </w:rPr>
      </w:pPr>
      <w:r>
        <w:rPr>
          <w:rFonts w:ascii="Arial" w:cs="Arial" w:eastAsia="Arial" w:hAnsi="Arial"/>
          <w:sz w:val="18"/>
          <w:szCs w:val="18"/>
          <w:color w:val="auto"/>
        </w:rPr>
        <w:t>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170" w:lineRule="exact"/>
        <w:rPr>
          <w:sz w:val="20"/>
          <w:szCs w:val="20"/>
          <w:color w:val="auto"/>
        </w:rPr>
      </w:pPr>
    </w:p>
    <w:p>
      <w:pPr>
        <w:ind w:right="20" w:firstLine="1305"/>
        <w:spacing w:after="0" w:line="264" w:lineRule="auto"/>
        <w:tabs>
          <w:tab w:leader="none" w:pos="19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Securities of a series subject to a Periodic Offering, the indenture supplemental hereto or the Board Resolution that establishes such series, or the Officer’s Certificate pursuant to such supplemental indenture or Board Resolution, as the case may be, may provide general terms or parameters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24" w:lineRule="exact"/>
        <w:rPr>
          <w:sz w:val="20"/>
          <w:szCs w:val="20"/>
          <w:color w:val="auto"/>
        </w:rPr>
      </w:pPr>
    </w:p>
    <w:p>
      <w:pPr>
        <w:ind w:right="180" w:firstLine="1305"/>
        <w:spacing w:after="0" w:line="264" w:lineRule="auto"/>
        <w:tabs>
          <w:tab w:leader="none" w:pos="19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Unless otherwise specified with respect to a series of Securities pursuant to paragraph (2) of Section 301(b), such series of Securities may be issued in one or more Tranches with various principal amounts without the consent of any Holders and additional Tranches of such series may be authenticated and delivered pursuant to Section 303.</w:t>
      </w:r>
    </w:p>
    <w:p>
      <w:pPr>
        <w:spacing w:after="0" w:line="181"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Denominations</w:t>
      </w:r>
      <w:r>
        <w:rPr>
          <w:rFonts w:ascii="Arial" w:cs="Arial" w:eastAsia="Arial" w:hAnsi="Arial"/>
          <w:sz w:val="18"/>
          <w:szCs w:val="18"/>
          <w:color w:val="auto"/>
        </w:rPr>
        <w:t>. The Securities of each series shall be issuable in registered form in such denominations as shall be specified as contemplated by Section 301(b). In the absence of any such provisions with respect to the Securities of any series, the Securities of such series shall be issuable in denominations of $1,000 and any integral multiple thereof.</w:t>
      </w:r>
    </w:p>
    <w:p>
      <w:pPr>
        <w:spacing w:after="0" w:line="181"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Execution, Authentication, Delivery and Dating</w:t>
      </w:r>
      <w:r>
        <w:rPr>
          <w:rFonts w:ascii="Arial" w:cs="Arial" w:eastAsia="Arial" w:hAnsi="Arial"/>
          <w:sz w:val="18"/>
          <w:szCs w:val="18"/>
          <w:color w:val="auto"/>
        </w:rPr>
        <w:t>. (a) The Securities shall be signed on behalf of the Company by an Authorized Officer and attested by its Secretary or any Assistant Secretary. The signature of any of these officers on the Securities may be manual or facsimile. Typographical and other minor errors or defects in any such signature shall not affect the validity or enforceability of any Security that has been duly authenticated and delivered by the Trustee.</w:t>
      </w:r>
    </w:p>
    <w:p>
      <w:pPr>
        <w:spacing w:after="0" w:line="187" w:lineRule="exact"/>
        <w:rPr>
          <w:sz w:val="20"/>
          <w:szCs w:val="20"/>
          <w:color w:val="auto"/>
        </w:rPr>
      </w:pPr>
    </w:p>
    <w:p>
      <w:pPr>
        <w:ind w:right="40" w:firstLine="1305"/>
        <w:spacing w:after="0" w:line="264" w:lineRule="auto"/>
        <w:tabs>
          <w:tab w:leader="none" w:pos="19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rFonts w:ascii="Arial" w:cs="Arial" w:eastAsia="Arial" w:hAnsi="Arial"/>
          <w:sz w:val="18"/>
          <w:szCs w:val="18"/>
          <w:color w:val="auto"/>
        </w:rPr>
      </w:pPr>
    </w:p>
    <w:p>
      <w:pPr>
        <w:ind w:firstLine="1305"/>
        <w:spacing w:after="0" w:line="288" w:lineRule="auto"/>
        <w:tabs>
          <w:tab w:leader="none" w:pos="19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with respect to Securities of a series subject to a Periodic Offering, (i) such Company Order may be delivered by the Company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 (iv) 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169" w:lineRule="exact"/>
        <w:rPr>
          <w:rFonts w:ascii="Arial" w:cs="Arial" w:eastAsia="Arial" w:hAnsi="Arial"/>
          <w:sz w:val="16"/>
          <w:szCs w:val="16"/>
          <w:color w:val="auto"/>
        </w:rPr>
      </w:pPr>
    </w:p>
    <w:p>
      <w:pPr>
        <w:ind w:firstLine="1305"/>
        <w:spacing w:after="0" w:line="308" w:lineRule="auto"/>
        <w:tabs>
          <w:tab w:leader="none" w:pos="195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47" w:lineRule="exact"/>
        <w:rPr>
          <w:sz w:val="20"/>
          <w:szCs w:val="20"/>
          <w:color w:val="auto"/>
        </w:rPr>
      </w:pPr>
    </w:p>
    <w:p>
      <w:pPr>
        <w:ind w:left="1980" w:hanging="675"/>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such form of Securities has been established in conformity with the provisions of this Indenture;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 and</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199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generally and to general principles of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7" w:lineRule="auto"/>
        <w:tabs>
          <w:tab w:leader="none" w:pos="19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Notwithstanding the provisions of Section 301 and of the preceding paragraphs of Sections 303(c) and 303(d) in connection with a Periodic Offering,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w:t>
      </w:r>
    </w:p>
    <w:p>
      <w:pPr>
        <w:spacing w:after="0" w:line="188" w:lineRule="exact"/>
        <w:rPr>
          <w:rFonts w:ascii="Arial" w:cs="Arial" w:eastAsia="Arial" w:hAnsi="Arial"/>
          <w:sz w:val="18"/>
          <w:szCs w:val="18"/>
          <w:color w:val="auto"/>
        </w:rPr>
      </w:pPr>
    </w:p>
    <w:p>
      <w:pPr>
        <w:jc w:val="both"/>
        <w:ind w:right="180" w:firstLine="1305"/>
        <w:spacing w:after="0" w:line="264" w:lineRule="auto"/>
        <w:tabs>
          <w:tab w:leader="none" w:pos="19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such form or terms have been so established, the Trustee shall not be required to authenticate such Securities if the issuance of such Securities pursuant to this Indenture will affect the Trustee’s own rights, duties or immunities under the Securities and this Indenture or otherwise in a manner that is not reasonably acceptable to the Trustee.</w:t>
      </w:r>
    </w:p>
    <w:p>
      <w:pPr>
        <w:spacing w:after="0" w:line="181" w:lineRule="exact"/>
        <w:rPr>
          <w:rFonts w:ascii="Arial" w:cs="Arial" w:eastAsia="Arial" w:hAnsi="Arial"/>
          <w:sz w:val="18"/>
          <w:szCs w:val="18"/>
          <w:color w:val="auto"/>
        </w:rPr>
      </w:pPr>
    </w:p>
    <w:p>
      <w:pPr>
        <w:jc w:val="both"/>
        <w:ind w:right="40" w:firstLine="1305"/>
        <w:spacing w:after="0" w:line="259" w:lineRule="auto"/>
        <w:tabs>
          <w:tab w:leader="none" w:pos="19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and is entitled to the benefits of this Indenture.</w:t>
      </w:r>
    </w:p>
    <w:p>
      <w:pPr>
        <w:spacing w:after="0" w:line="187"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Temporary Securities</w:t>
      </w:r>
      <w:r>
        <w:rPr>
          <w:rFonts w:ascii="Arial" w:cs="Arial" w:eastAsia="Arial" w:hAnsi="Arial"/>
          <w:sz w:val="16"/>
          <w:szCs w:val="16"/>
          <w:color w:val="auto"/>
        </w:rPr>
        <w:t>. (a) Until definitive Securities of any series (including Global Securities) are ready for delivery, the Company may execute, and upon Company Order the Trustee shall authenticate and deliver one or more temporary Securities that are produced in any</w:t>
      </w:r>
    </w:p>
    <w:p>
      <w:pPr>
        <w:sectPr>
          <w:pgSz w:w="11900" w:h="16838" w:orient="portrait"/>
          <w:cols w:equalWidth="0" w:num="1">
            <w:col w:w="11400"/>
          </w:cols>
          <w:pgMar w:left="240" w:top="125" w:right="259" w:bottom="0" w:gutter="0" w:footer="0" w:header="0"/>
        </w:sectPr>
      </w:pPr>
    </w:p>
    <w:bookmarkStart w:id="61" w:name="page62"/>
    <w:bookmarkEnd w:id="61"/>
    <w:p>
      <w:pPr>
        <w:spacing w:after="0" w:line="2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24" w:lineRule="exact"/>
        <w:rPr>
          <w:sz w:val="20"/>
          <w:szCs w:val="20"/>
          <w:color w:val="auto"/>
        </w:rPr>
      </w:pPr>
    </w:p>
    <w:p>
      <w:pPr>
        <w:ind w:right="40" w:firstLine="1305"/>
        <w:spacing w:after="0" w:line="255" w:lineRule="auto"/>
        <w:tabs>
          <w:tab w:leader="none" w:pos="19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8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Registration, Registration of Transfer and Exchange</w:t>
      </w:r>
      <w:r>
        <w:rPr>
          <w:rFonts w:ascii="Arial" w:cs="Arial" w:eastAsia="Arial" w:hAnsi="Arial"/>
          <w:sz w:val="18"/>
          <w:szCs w:val="18"/>
          <w:color w:val="auto"/>
        </w:rPr>
        <w:t>. (a) 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and of transfers of Securities. The Trustee is hereby appointed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for the purpose of registering Securities and transfers of Securities as herein provided.</w:t>
      </w:r>
    </w:p>
    <w:p>
      <w:pPr>
        <w:spacing w:after="0" w:line="188" w:lineRule="exact"/>
        <w:rPr>
          <w:sz w:val="20"/>
          <w:szCs w:val="20"/>
          <w:color w:val="auto"/>
        </w:rPr>
      </w:pPr>
    </w:p>
    <w:p>
      <w:pPr>
        <w:jc w:val="both"/>
        <w:ind w:right="120" w:firstLine="1305"/>
        <w:spacing w:after="0" w:line="259" w:lineRule="auto"/>
        <w:tabs>
          <w:tab w:leader="none" w:pos="19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in the case of Securities issued in the form of a Global Security, upon surrender for registration of transfer of any Security of any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186" w:lineRule="exact"/>
        <w:rPr>
          <w:rFonts w:ascii="Arial" w:cs="Arial" w:eastAsia="Arial" w:hAnsi="Arial"/>
          <w:sz w:val="18"/>
          <w:szCs w:val="18"/>
          <w:color w:val="auto"/>
        </w:rPr>
      </w:pPr>
    </w:p>
    <w:p>
      <w:pPr>
        <w:ind w:right="100" w:firstLine="1305"/>
        <w:spacing w:after="0" w:line="342" w:lineRule="auto"/>
        <w:tabs>
          <w:tab w:leader="none" w:pos="19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3" w:lineRule="exact"/>
        <w:rPr>
          <w:rFonts w:ascii="Arial" w:cs="Arial" w:eastAsia="Arial" w:hAnsi="Arial"/>
          <w:sz w:val="16"/>
          <w:szCs w:val="16"/>
          <w:color w:val="auto"/>
        </w:rPr>
      </w:pPr>
    </w:p>
    <w:p>
      <w:pPr>
        <w:ind w:right="320" w:firstLine="1305"/>
        <w:spacing w:after="0" w:line="277" w:lineRule="auto"/>
        <w:tabs>
          <w:tab w:leader="none" w:pos="19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transfer in form satisfactory to the Company and the Security Registrar duly executed by the Holder thereof or such Holder’s attorney duly authorized in writing.</w:t>
      </w:r>
    </w:p>
    <w:p>
      <w:pPr>
        <w:spacing w:after="0" w:line="170" w:lineRule="exact"/>
        <w:rPr>
          <w:sz w:val="20"/>
          <w:szCs w:val="20"/>
          <w:color w:val="auto"/>
        </w:rPr>
      </w:pPr>
    </w:p>
    <w:p>
      <w:pPr>
        <w:jc w:val="both"/>
        <w:ind w:right="100" w:firstLine="1305"/>
        <w:spacing w:after="0" w:line="302" w:lineRule="auto"/>
        <w:tabs>
          <w:tab w:leader="none" w:pos="19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Unless otherwise provided in a Board Resolution or an Officer’s Certificate pursuant to a Board Resolution, or in an indenture 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1106 or 1204 not involving any transfer.</w:t>
      </w:r>
    </w:p>
    <w:p>
      <w:pPr>
        <w:spacing w:after="0" w:line="154" w:lineRule="exact"/>
        <w:rPr>
          <w:rFonts w:ascii="Arial" w:cs="Arial" w:eastAsia="Arial" w:hAnsi="Arial"/>
          <w:sz w:val="16"/>
          <w:szCs w:val="16"/>
          <w:color w:val="auto"/>
        </w:rPr>
      </w:pPr>
    </w:p>
    <w:p>
      <w:pPr>
        <w:ind w:right="60" w:firstLine="1305"/>
        <w:spacing w:after="0" w:line="259" w:lineRule="auto"/>
        <w:tabs>
          <w:tab w:leader="none" w:pos="19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not be required (i) to issue, register the transfer of or exchange Securities of any series during a period beginning at 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87"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Mutilated, Destroyed, Lost and Stolen Securities</w:t>
      </w:r>
      <w:r>
        <w:rPr>
          <w:rFonts w:ascii="Arial" w:cs="Arial" w:eastAsia="Arial" w:hAnsi="Arial"/>
          <w:sz w:val="18"/>
          <w:szCs w:val="18"/>
          <w:color w:val="auto"/>
        </w:rPr>
        <w:t>. (a) If any mutilated Security is surrendered to the Trustee, the Company shall execute and the Trustee shall authenticate and deliver in exchange therefor a replacement Security of the same series and of like tenor and principal amount and bearing a number not contemporaneously outstanding.</w:t>
      </w:r>
    </w:p>
    <w:p>
      <w:pPr>
        <w:spacing w:after="0" w:line="181" w:lineRule="exact"/>
        <w:rPr>
          <w:sz w:val="20"/>
          <w:szCs w:val="20"/>
          <w:color w:val="auto"/>
        </w:rPr>
      </w:pPr>
    </w:p>
    <w:p>
      <w:pPr>
        <w:ind w:firstLine="1305"/>
        <w:spacing w:after="0" w:line="257" w:lineRule="auto"/>
        <w:tabs>
          <w:tab w:leader="none" w:pos="19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there has been delivered to the Company and the Trustee (i) evidence to their satisfaction of the destruction, loss or theft of any Security and (ii) such bond,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a replacement Security of the same series (and Tranche, if applicable) and of like tenor and principal amount and bearing a number not contemporaneously outstanding.</w:t>
      </w:r>
    </w:p>
    <w:p>
      <w:pPr>
        <w:spacing w:after="0" w:line="188"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rFonts w:ascii="Arial" w:cs="Arial" w:eastAsia="Arial" w:hAnsi="Arial"/>
          <w:sz w:val="18"/>
          <w:szCs w:val="18"/>
          <w:color w:val="auto"/>
        </w:rPr>
      </w:pPr>
    </w:p>
    <w:p>
      <w:pPr>
        <w:jc w:val="both"/>
        <w:ind w:right="20" w:firstLine="1305"/>
        <w:spacing w:after="0" w:line="312" w:lineRule="auto"/>
        <w:tabs>
          <w:tab w:leader="none" w:pos="19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is at any time enforceable by anyone, and shall be entitled to all the benefits of this Indenture equally and proportionately with any and all other Securities of that series duly issued hereunder.</w:t>
      </w:r>
    </w:p>
    <w:p>
      <w:pPr>
        <w:spacing w:after="0" w:line="146" w:lineRule="exact"/>
        <w:rPr>
          <w:rFonts w:ascii="Arial" w:cs="Arial" w:eastAsia="Arial" w:hAnsi="Arial"/>
          <w:sz w:val="16"/>
          <w:szCs w:val="16"/>
          <w:color w:val="auto"/>
        </w:rPr>
      </w:pPr>
    </w:p>
    <w:p>
      <w:pPr>
        <w:ind w:right="180" w:firstLine="1305"/>
        <w:spacing w:after="0" w:line="277" w:lineRule="auto"/>
        <w:tabs>
          <w:tab w:leader="none" w:pos="194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i w:val="1"/>
          <w:iCs w:val="1"/>
          <w:color w:val="auto"/>
        </w:rPr>
        <w:t>Payment of Interest; Interest Rights Preserved</w:t>
      </w:r>
      <w:r>
        <w:rPr>
          <w:rFonts w:ascii="Arial" w:cs="Arial" w:eastAsia="Arial" w:hAnsi="Arial"/>
          <w:sz w:val="16"/>
          <w:szCs w:val="16"/>
          <w:color w:val="auto"/>
        </w:rPr>
        <w:t xml:space="preserve">. (a) Unless otherwise provided as contemplated by Section 301(b) with respect to the Securities of any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interest payable at Maturity will be paid to the Person to whom principal is payable.</w:t>
      </w:r>
    </w:p>
    <w:p>
      <w:pPr>
        <w:spacing w:after="0" w:line="154" w:lineRule="exact"/>
        <w:rPr>
          <w:sz w:val="20"/>
          <w:szCs w:val="20"/>
          <w:color w:val="auto"/>
        </w:rPr>
      </w:pPr>
    </w:p>
    <w:p>
      <w:pPr>
        <w:ind w:right="100" w:firstLine="1305"/>
        <w:spacing w:after="0" w:line="277" w:lineRule="auto"/>
        <w:tabs>
          <w:tab w:leader="none" w:pos="19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interest on any Security of any series that is payable, but is not punctually paid or duly provided for, on any Interest Payment Date (herein called “</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shall forthwith cease to be</w:t>
      </w:r>
    </w:p>
    <w:p>
      <w:pPr>
        <w:sectPr>
          <w:pgSz w:w="11900" w:h="16861" w:orient="portrait"/>
          <w:cols w:equalWidth="0" w:num="1">
            <w:col w:w="11400"/>
          </w:cols>
          <w:pgMar w:left="240" w:top="125" w:right="259" w:bottom="0" w:gutter="0" w:footer="0" w:header="0"/>
        </w:sectPr>
      </w:pPr>
    </w:p>
    <w:bookmarkStart w:id="62" w:name="page63"/>
    <w:bookmarkEnd w:id="62"/>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payable to the Holder on the relevant Regular Record Date by virtue of having been such Holder, and such Defaulted Interest may be paid by the Company, at its election in each case, as provided in clause (i) or (ii) below:</w:t>
      </w:r>
    </w:p>
    <w:p>
      <w:pPr>
        <w:spacing w:after="0" w:line="170" w:lineRule="exact"/>
        <w:rPr>
          <w:sz w:val="20"/>
          <w:szCs w:val="20"/>
          <w:color w:val="auto"/>
        </w:rPr>
      </w:pPr>
    </w:p>
    <w:p>
      <w:pPr>
        <w:ind w:left="660" w:firstLine="645"/>
        <w:spacing w:after="0" w:line="268" w:lineRule="auto"/>
        <w:tabs>
          <w:tab w:leader="none" w:pos="19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shall cause notice of the proposed payment of such Defaulted Interest and the Special Record Date therefor to be mailed, first-class postage prepaid, to each Holder of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183" w:lineRule="exact"/>
        <w:rPr>
          <w:rFonts w:ascii="Arial" w:cs="Arial" w:eastAsia="Arial" w:hAnsi="Arial"/>
          <w:sz w:val="17"/>
          <w:szCs w:val="17"/>
          <w:color w:val="auto"/>
        </w:rPr>
      </w:pPr>
    </w:p>
    <w:p>
      <w:pPr>
        <w:ind w:left="660" w:right="240" w:firstLine="645"/>
        <w:spacing w:after="0" w:line="259" w:lineRule="auto"/>
        <w:tabs>
          <w:tab w:leader="none" w:pos="19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87" w:lineRule="exact"/>
        <w:rPr>
          <w:sz w:val="20"/>
          <w:szCs w:val="20"/>
          <w:color w:val="auto"/>
        </w:rPr>
      </w:pPr>
    </w:p>
    <w:p>
      <w:pPr>
        <w:jc w:val="both"/>
        <w:ind w:right="100" w:firstLine="1305"/>
        <w:spacing w:after="0" w:line="342" w:lineRule="auto"/>
        <w:tabs>
          <w:tab w:leader="none" w:pos="195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301 and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Ownership of Securities of a series shall be proved by the computerized book-entry system of the Depositary in the case of Securities issued in the form of a Global Security.</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Cancellation</w:t>
      </w:r>
      <w:r>
        <w:rPr>
          <w:rFonts w:ascii="Arial" w:cs="Arial" w:eastAsia="Arial" w:hAnsi="Arial"/>
          <w:sz w:val="18"/>
          <w:szCs w:val="18"/>
          <w:color w:val="auto"/>
        </w:rPr>
        <w:t>. Except as otherwise specified as contemplated by Section 301(b) for Securities of any series, all Securities 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previously authenticated and delivered hereunder that the Company may have acquired in any manner whatsoever or that the Company has not issued and sold, and all Securities so delivered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shall be promptly cancelled by the Trustee. No Securities shall be authenticated in lieu of or in exchange for any Securities cancelled as provided in this Section, except as expressly permitted by this Indenture. Upon request of the Company, the Trustee shall provide it with a certificate of cancellation.</w:t>
      </w:r>
    </w:p>
    <w:p>
      <w:pPr>
        <w:spacing w:after="0" w:line="124"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Computation of Interest</w:t>
      </w:r>
      <w:r>
        <w:rPr>
          <w:rFonts w:ascii="Arial" w:cs="Arial" w:eastAsia="Arial" w:hAnsi="Arial"/>
          <w:sz w:val="18"/>
          <w:szCs w:val="18"/>
          <w:color w:val="auto"/>
        </w:rPr>
        <w:t>. Except as otherwise specified as contemplated by Section 301(b) for Securities of any series, interest on the Securities of each series shall be computed on the basis of a 360-day year of twelve 30-day months.</w:t>
      </w:r>
    </w:p>
    <w:p>
      <w:pPr>
        <w:spacing w:after="0" w:line="170" w:lineRule="exact"/>
        <w:rPr>
          <w:sz w:val="20"/>
          <w:szCs w:val="20"/>
          <w:color w:val="auto"/>
        </w:rPr>
      </w:pPr>
    </w:p>
    <w:p>
      <w:pPr>
        <w:jc w:val="center"/>
        <w:ind w:right="-99"/>
        <w:spacing w:after="0"/>
        <w:tabs>
          <w:tab w:leader="none" w:pos="1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i w:val="1"/>
          <w:iCs w:val="1"/>
          <w:color w:val="auto"/>
        </w:rPr>
        <w:t>Global Securities; Exchanges; Registration and Registration of Transfer</w:t>
      </w:r>
      <w:r>
        <w:rPr>
          <w:rFonts w:ascii="Arial" w:cs="Arial" w:eastAsia="Arial" w:hAnsi="Arial"/>
          <w:sz w:val="16"/>
          <w:szCs w:val="16"/>
          <w:color w:val="auto"/>
        </w:rPr>
        <w:t>. If specified as contemplated by</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Section 301(b) for Securities of any series, the Securities of such series may be issued in the form of one or more Global Securities, which shall be deposited with the Depositary, and, unless otherwise specified in the form of Global Security adopted pursuant to Section 301, be registered in the name of the Depository’s nominee.</w:t>
      </w:r>
    </w:p>
    <w:p>
      <w:pPr>
        <w:spacing w:after="0" w:line="190"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6"/>
          <w:szCs w:val="16"/>
          <w:color w:val="auto"/>
        </w:rPr>
        <w:t>Except as otherwise specified as contemplated by Section 301(b) for Securities of any series, any permanent Global Security shall be exchangeable only as provided in this paragraph. If the beneficial owners of interests in a permanent Global Security are entitled to exchange such interests for Securities of such series of like tenor and principal amount of another authorized form, as specified as contemplated by Section 301(b),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102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w:t>
      </w:r>
    </w:p>
    <w:p>
      <w:pPr>
        <w:sectPr>
          <w:pgSz w:w="11900" w:h="16932" w:orient="portrait"/>
          <w:cols w:equalWidth="0" w:num="1">
            <w:col w:w="11420"/>
          </w:cols>
          <w:pgMar w:left="240" w:top="341" w:right="239" w:bottom="0" w:gutter="0" w:footer="0" w:header="0"/>
        </w:sectPr>
      </w:pPr>
    </w:p>
    <w:bookmarkStart w:id="63" w:name="page64"/>
    <w:bookmarkEnd w:id="63"/>
    <w:p>
      <w:pPr>
        <w:spacing w:after="0" w:line="11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 xml:space="preserve">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as shall be specified by the Depositary;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exchanges may occur during the periods specified by Section 305.</w:t>
      </w:r>
    </w:p>
    <w:p>
      <w:pPr>
        <w:spacing w:after="0" w:line="147"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The Global Security may be transferred to another nominee of the Depositary, or to a successor Depositary selected by the Company, and upon surrender for registration of transfer of the Global Security to the Trustee, the Company shall execute, and the Trustee shall authenticate and deliver, in the name of the designated transferee, a new Global Security in the same aggregate principal amount. If at any time the Depositary notifies the Company that it is unwilling or unable to continue as Depositary and a successor Depositary satisfactory to the Company is not appointed within 90 days after the Company receives such notice, the Company will execute, and the Trustee will authenticate and deliver, Securities in definitive form to the Depositary in exchange for the Global Security. In addition, if at any time the Company determines that it is not in the best interest of the Company or the beneficial owners of Securities to continue to have a Global Security representing all of the Securities held by a Depositary, the Company may, at its option, execute, and the Trustee will authenticate and deliver, Securities in definitive form to the Depositary in exchange for all or a portion of the Global Security.</w:t>
      </w:r>
    </w:p>
    <w:p>
      <w:pPr>
        <w:spacing w:after="0" w:line="166"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i w:val="1"/>
          <w:iCs w:val="1"/>
          <w:color w:val="auto"/>
        </w:rPr>
        <w:t>Extension of Interest Payment</w:t>
      </w:r>
      <w:r>
        <w:rPr>
          <w:rFonts w:ascii="Arial" w:cs="Arial" w:eastAsia="Arial" w:hAnsi="Arial"/>
          <w:sz w:val="16"/>
          <w:szCs w:val="16"/>
          <w:color w:val="auto"/>
        </w:rPr>
        <w:t>. The Company shall have the right at any time, so long as the Company is not in default in the 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ind w:right="300" w:firstLine="1297"/>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Termination of Company’s Obligations</w:t>
      </w:r>
      <w:r>
        <w:rPr>
          <w:rFonts w:ascii="Arial" w:cs="Arial" w:eastAsia="Arial" w:hAnsi="Arial"/>
          <w:sz w:val="17"/>
          <w:szCs w:val="17"/>
          <w:color w:val="auto"/>
        </w:rPr>
        <w:t>. (a) This Indenture shall upon Company Request cease to be of further effect with respect to the Securities of any series (except as to any surviving rights of registration of transfer or exchange of Securities herein expressly provided for), and the Trustee, at the expense of the Company, shall execute instruments in form and substance satisfactory to the Trustee and the Company acknowledging termination of the Company’s obligations under the Securities of such series and this Indenture, when</w:t>
      </w:r>
    </w:p>
    <w:p>
      <w:pPr>
        <w:spacing w:after="0" w:line="171" w:lineRule="exact"/>
        <w:rPr>
          <w:sz w:val="20"/>
          <w:szCs w:val="20"/>
          <w:color w:val="auto"/>
        </w:rPr>
      </w:pPr>
    </w:p>
    <w:p>
      <w:pPr>
        <w:ind w:left="1960" w:hanging="655"/>
        <w:spacing w:after="0"/>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660" w:right="80" w:firstLine="1293"/>
        <w:spacing w:after="0" w:line="264" w:lineRule="auto"/>
        <w:tabs>
          <w:tab w:leader="none" w:pos="262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Securities of such series previously authenticated and delivered (other than (i) Securities of such series that have been destroyed, lost or stolen and that have been replaced or paid as provided in Section 306 and (ii) Securities of such series that are deemed paid and discharged pursuant to Section 402) have been delivered to the Trustee for cancellation; or</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such Securities of such series not previously delivered to the Trustee for cancellation</w:t>
      </w:r>
    </w:p>
    <w:p>
      <w:pPr>
        <w:spacing w:after="0" w:line="225" w:lineRule="exact"/>
        <w:rPr>
          <w:rFonts w:ascii="Arial" w:cs="Arial" w:eastAsia="Arial" w:hAnsi="Arial"/>
          <w:sz w:val="18"/>
          <w:szCs w:val="18"/>
          <w:color w:val="auto"/>
        </w:rPr>
      </w:pPr>
    </w:p>
    <w:p>
      <w:pPr>
        <w:ind w:left="2620" w:hanging="262"/>
        <w:spacing w:after="0"/>
        <w:tabs>
          <w:tab w:leader="none" w:pos="2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have become due and payable (whether at Stated Maturity, early redemption or otherwise), or</w:t>
      </w:r>
    </w:p>
    <w:p>
      <w:pPr>
        <w:spacing w:after="0" w:line="225" w:lineRule="exact"/>
        <w:rPr>
          <w:rFonts w:ascii="Arial" w:cs="Arial" w:eastAsia="Arial" w:hAnsi="Arial"/>
          <w:sz w:val="18"/>
          <w:szCs w:val="18"/>
          <w:color w:val="auto"/>
        </w:rPr>
      </w:pPr>
    </w:p>
    <w:p>
      <w:pPr>
        <w:ind w:left="3140" w:hanging="782"/>
        <w:spacing w:after="0"/>
        <w:tabs>
          <w:tab w:leader="none" w:pos="31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660" w:right="280" w:firstLine="1698"/>
        <w:spacing w:after="0" w:line="277" w:lineRule="auto"/>
        <w:tabs>
          <w:tab w:leader="none" w:pos="3158"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funds in trust solely for the benefit of the Holders of the Securities of such series an amount in cash in Dollars (or such other currency or composite currency in which the Securities of such series are denominated), Eligible Obligations or any combination thereof, together (if necessary in the case of a series of Securities not bearing interest at a fixed rate) with any Hedging Obligation, so that such funds in each case are sufficient to pay principal of, and any premium and interest on, all Outstanding Securities of such series;</w:t>
      </w:r>
    </w:p>
    <w:p>
      <w:pPr>
        <w:spacing w:after="0" w:line="188" w:lineRule="exact"/>
        <w:rPr>
          <w:sz w:val="20"/>
          <w:szCs w:val="20"/>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right="480" w:firstLine="645"/>
        <w:spacing w:after="0" w:line="277" w:lineRule="auto"/>
        <w:tabs>
          <w:tab w:leader="none" w:pos="1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60" w:firstLine="1305"/>
        <w:spacing w:after="0" w:line="264" w:lineRule="auto"/>
        <w:tabs>
          <w:tab w:leader="none" w:pos="195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the satisfaction and discharge of this Indenture, the obligations of the Company to the Trustee under Section 607, the obligations of the Trustee to any Authenticating Agent under Section 614 and, if money has been deposited with the Trustee pursuant to subclause (B) of clause (1) of this Section, the obligations of the Trustee under Section 405 and Section 1003(e) shall survive.</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Upon satisfaction and discharge of this Indenture as provided in this Section 401, the Trustee shall assign, transfer and turn over to the Company, subject to the claim provided by Section 607, any and all money, securities and other property then held by the Trustee for the benefit of the Holders of the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297"/>
        <w:spacing w:after="0" w:line="312" w:lineRule="auto"/>
        <w:rPr>
          <w:sz w:val="20"/>
          <w:szCs w:val="20"/>
          <w:color w:val="auto"/>
        </w:rPr>
      </w:pPr>
      <w:r>
        <w:rPr>
          <w:rFonts w:ascii="Arial" w:cs="Arial" w:eastAsia="Arial" w:hAnsi="Arial"/>
          <w:sz w:val="16"/>
          <w:szCs w:val="16"/>
          <w:color w:val="auto"/>
        </w:rPr>
        <w:t>The Company may elect, at its option at any time, to have Section 402 or Section 403 applied to the Outstanding Securities of any series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47"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Defeasance and Discharge of Indenture</w:t>
      </w:r>
      <w:r>
        <w:rPr>
          <w:rFonts w:ascii="Arial" w:cs="Arial" w:eastAsia="Arial" w:hAnsi="Arial"/>
          <w:sz w:val="16"/>
          <w:szCs w:val="16"/>
          <w:color w:val="auto"/>
        </w:rPr>
        <w:t>. Upon the Company’s exercise of its option (if any) to have this Section applied to all the Outstanding Securities of any series or Tranche, or any portion of the principal amount thereof, and subject to the conditions set forth in Section 404 being satisfied, the Company shall be deemed to have paid and discharged the entire indebtedness on such Outstanding Securities of such series or Tranche,</w:t>
      </w:r>
    </w:p>
    <w:p>
      <w:pPr>
        <w:sectPr>
          <w:pgSz w:w="11900" w:h="16952" w:orient="portrait"/>
          <w:cols w:equalWidth="0" w:num="1">
            <w:col w:w="11400"/>
          </w:cols>
          <w:pgMar w:left="240" w:top="125" w:right="259" w:bottom="0" w:gutter="0" w:footer="0" w:header="0"/>
        </w:sectPr>
      </w:pPr>
    </w:p>
    <w:bookmarkStart w:id="64" w:name="page65"/>
    <w:bookmarkEnd w:id="64"/>
    <w:p>
      <w:pPr>
        <w:spacing w:after="0" w:line="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and the provisions of this Indenture, as it relates to such Outstanding Securities of such series or Tranche, shall be satisfied and discharged and shall no longer be in effect (and the Trustee, at the expense of the Company, shall at Company Request execute proper instruments acknowledging the same), except as to:</w:t>
      </w:r>
    </w:p>
    <w:p>
      <w:pPr>
        <w:spacing w:after="0" w:line="124" w:lineRule="exact"/>
        <w:rPr>
          <w:sz w:val="20"/>
          <w:szCs w:val="20"/>
          <w:color w:val="auto"/>
        </w:rPr>
      </w:pPr>
    </w:p>
    <w:p>
      <w:pPr>
        <w:ind w:left="660" w:firstLine="645"/>
        <w:spacing w:after="0" w:line="255" w:lineRule="auto"/>
        <w:tabs>
          <w:tab w:leader="none" w:pos="195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rights of Holders of Securities of such series to receive, solely from the trust funds described in Section 405, (x) payment of the principal of (and premium, if any) and each installment of principal of (and premium, if any) or interest, if any, on the Outstanding Securities of such series, or portions thereof, on the Stated Maturity of such principal or installment of principal or interest to but excluding the Redemption Date designated by the Company pursuant to subparagraph (viii) of Section 404 and (y) the benefit of any mandatory sinking fund payments applicable to the Securities of such series or Tranche on the day on which such payments are due and payable in accordance with the terms of this Indenture and the Securities of such series or Tranche;</w:t>
      </w:r>
    </w:p>
    <w:p>
      <w:pPr>
        <w:spacing w:after="0" w:line="193" w:lineRule="exact"/>
        <w:rPr>
          <w:rFonts w:ascii="Arial" w:cs="Arial" w:eastAsia="Arial" w:hAnsi="Arial"/>
          <w:sz w:val="18"/>
          <w:szCs w:val="18"/>
          <w:color w:val="auto"/>
        </w:rPr>
      </w:pPr>
    </w:p>
    <w:p>
      <w:pPr>
        <w:jc w:val="both"/>
        <w:ind w:left="660" w:right="100" w:firstLine="645"/>
        <w:spacing w:after="0" w:line="264" w:lineRule="auto"/>
        <w:tabs>
          <w:tab w:leader="none" w:pos="19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obligations of the Company and the Trustee with respect to such Securities of such series or Tranche under Sections 304, 305, 306, 614, 1002 and 1003 and, if the Company shall have designated a Redemption Date pursuant to subparagraph (x) of Section 404, Sections 1104 and 1106;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obligations with respect to the Trustee under Section 607.</w:t>
      </w:r>
    </w:p>
    <w:p>
      <w:pPr>
        <w:spacing w:after="0" w:line="225"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xml:space="preserve">. The Company may omit to comply with its obligations under the covenants contained in Sections 801, 1006 and 1007 with respect to any Security or Securities of any series (and in respect of any term, provision or condition set forth in the covenants or restrictions specified for such Securities pursuant to Section 301(b), in any supplemental indenture, Board Resolution or Officer’s Certificate establishing such Security), and the failure to comply with any such provisions shall not constitute a Default or Event of Default under Section 501(4),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conditions set forth in Section 404 have been satisfied.</w:t>
      </w:r>
    </w:p>
    <w:p>
      <w:pPr>
        <w:spacing w:after="0" w:line="18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Conditions to Defeasance</w:t>
      </w:r>
      <w:r>
        <w:rPr>
          <w:rFonts w:ascii="Arial" w:cs="Arial" w:eastAsia="Arial" w:hAnsi="Arial"/>
          <w:sz w:val="16"/>
          <w:szCs w:val="16"/>
          <w:color w:val="auto"/>
        </w:rPr>
        <w:t>. The following conditions shall be the conditions to the application of Section 402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403:</w:t>
      </w:r>
    </w:p>
    <w:p>
      <w:pPr>
        <w:spacing w:after="0" w:line="211" w:lineRule="exact"/>
        <w:rPr>
          <w:sz w:val="20"/>
          <w:szCs w:val="20"/>
          <w:color w:val="auto"/>
        </w:rPr>
      </w:pPr>
    </w:p>
    <w:p>
      <w:pPr>
        <w:ind w:left="660" w:right="220" w:firstLine="645"/>
        <w:spacing w:after="0" w:line="286" w:lineRule="auto"/>
        <w:tabs>
          <w:tab w:leader="none" w:pos="197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Company has deposited or caused to be deposited irrevocably with the Trustee as trust funds in trust, specifically pledged as security 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w:t>
      </w:r>
    </w:p>
    <w:p>
      <w:pPr>
        <w:spacing w:after="0" w:line="1" w:lineRule="exact"/>
        <w:rPr>
          <w:rFonts w:ascii="Arial" w:cs="Arial" w:eastAsia="Arial" w:hAnsi="Arial"/>
          <w:sz w:val="16"/>
          <w:szCs w:val="16"/>
          <w:color w:val="auto"/>
        </w:rPr>
      </w:pPr>
    </w:p>
    <w:p>
      <w:pPr>
        <w:ind w:left="660" w:hanging="4"/>
        <w:spacing w:after="0" w:line="288" w:lineRule="auto"/>
        <w:tabs>
          <w:tab w:leader="none" w:pos="91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or (2) of this subparagraph (i) money in an amount sufficient or (z) a combination of such cash and Eligible Obligations, together (if necessary in the case of a series of Securities not bearing interest at a fixed rate) with any Hedging Obligation so that such funds are sufficient, in the opinion of a nationally recognized firm of independent certified public accountants expressed in a written certification thereof delivered to the Trustee, to pay and discharge (1) the principal of (and premium, if any) and each installment of principal (and premium, if any) and interest, if any, on such Securities on the Stated Maturity of such principal or installment of principal or interest or to but excluding the Redemption Date designated by the Company in accordance with Section 404(a)(1)(B)(iii) and (2) any mandatory sinking fund payments applicable to the Securities of such series on the day on which such payments are due and payable in accordance with the terms of this Indenture and of the Securities of such series;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firstLine="645"/>
        <w:spacing w:after="0" w:line="291" w:lineRule="auto"/>
        <w:tabs>
          <w:tab w:leader="none" w:pos="198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the event of an election to have Section 402 apply, the Company has delivered to the Trustee an Officer’s Certificate and an Opinion of Counsel to the effect that (x) the Company has received from, or there has been published by, the Internal Revenue Service a ruling or</w:t>
      </w:r>
    </w:p>
    <w:p>
      <w:pPr>
        <w:ind w:left="660" w:right="280" w:hanging="4"/>
        <w:spacing w:after="0" w:line="254" w:lineRule="auto"/>
        <w:tabs>
          <w:tab w:leader="none" w:pos="9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has been a change in law or regulation occurring after the date hereof,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9" w:lineRule="exact"/>
        <w:rPr>
          <w:rFonts w:ascii="Arial" w:cs="Arial" w:eastAsia="Arial" w:hAnsi="Arial"/>
          <w:sz w:val="18"/>
          <w:szCs w:val="18"/>
          <w:color w:val="auto"/>
        </w:rPr>
      </w:pPr>
    </w:p>
    <w:p>
      <w:pPr>
        <w:ind w:left="660" w:right="80" w:firstLine="645"/>
        <w:spacing w:after="0" w:line="279" w:lineRule="auto"/>
        <w:tabs>
          <w:tab w:leader="none" w:pos="199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in the event of an election to have Section 403 apply, the Company has delivered to the Trustee an Officer’s Certificate and an Opinion of Counsel to the effect that Holders of the Securities of such series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w:t>
      </w:r>
    </w:p>
    <w:p>
      <w:pPr>
        <w:spacing w:after="0" w:line="171" w:lineRule="exact"/>
        <w:rPr>
          <w:sz w:val="20"/>
          <w:szCs w:val="20"/>
          <w:color w:val="auto"/>
        </w:rPr>
      </w:pPr>
    </w:p>
    <w:p>
      <w:pPr>
        <w:ind w:left="660" w:right="500" w:firstLine="645"/>
        <w:spacing w:after="0" w:line="277" w:lineRule="auto"/>
        <w:tabs>
          <w:tab w:leader="none" w:pos="19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provision would not cause any Outstanding Securities of such series then listed on a securities exchange to be delisted as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result thereof;</w:t>
      </w:r>
    </w:p>
    <w:p>
      <w:pPr>
        <w:spacing w:after="0" w:line="210" w:lineRule="exact"/>
        <w:rPr>
          <w:rFonts w:ascii="Arial" w:cs="Arial" w:eastAsia="Arial" w:hAnsi="Arial"/>
          <w:sz w:val="16"/>
          <w:szCs w:val="16"/>
          <w:color w:val="auto"/>
        </w:rPr>
      </w:pPr>
    </w:p>
    <w:p>
      <w:pPr>
        <w:ind w:left="660" w:right="160" w:firstLine="645"/>
        <w:spacing w:after="0" w:line="277" w:lineRule="auto"/>
        <w:tabs>
          <w:tab w:leader="none" w:pos="19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Securities of such series has occurred and is continuing on the date of such deposit;</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8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81" w:lineRule="exact"/>
        <w:rPr>
          <w:rFonts w:ascii="Arial" w:cs="Arial" w:eastAsia="Arial" w:hAnsi="Arial"/>
          <w:sz w:val="18"/>
          <w:szCs w:val="18"/>
          <w:color w:val="auto"/>
        </w:rPr>
      </w:pPr>
    </w:p>
    <w:p>
      <w:pPr>
        <w:ind w:left="660" w:firstLine="645"/>
        <w:spacing w:after="0" w:line="308" w:lineRule="auto"/>
        <w:tabs>
          <w:tab w:leader="none" w:pos="1992"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such deposit shall not, as specified in an Opinion of Counsel, cause the Trustee with respect to the Securities of such series to have a conflicting interest as defined in Section 608 and for purposes of the Trust Indenture Act with respect to the Securities of such series;</w:t>
      </w:r>
    </w:p>
    <w:p>
      <w:pPr>
        <w:spacing w:after="0" w:line="146" w:lineRule="exact"/>
        <w:rPr>
          <w:rFonts w:ascii="Arial" w:cs="Arial" w:eastAsia="Arial" w:hAnsi="Arial"/>
          <w:sz w:val="17"/>
          <w:szCs w:val="17"/>
          <w:color w:val="auto"/>
        </w:rPr>
      </w:pPr>
    </w:p>
    <w:p>
      <w:pPr>
        <w:ind w:left="660" w:right="460" w:firstLine="645"/>
        <w:spacing w:after="0" w:line="277" w:lineRule="auto"/>
        <w:tabs>
          <w:tab w:leader="none" w:pos="19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provided for relating to the defeasance contemplated by this Section have been complied with; and</w:t>
      </w:r>
    </w:p>
    <w:p>
      <w:pPr>
        <w:spacing w:after="0" w:line="170" w:lineRule="exact"/>
        <w:rPr>
          <w:rFonts w:ascii="Arial" w:cs="Arial" w:eastAsia="Arial" w:hAnsi="Arial"/>
          <w:sz w:val="18"/>
          <w:szCs w:val="18"/>
          <w:color w:val="auto"/>
        </w:rPr>
      </w:pPr>
    </w:p>
    <w:p>
      <w:pPr>
        <w:ind w:left="660" w:right="60" w:firstLine="645"/>
        <w:spacing w:after="0" w:line="302" w:lineRule="auto"/>
        <w:tabs>
          <w:tab w:leader="none" w:pos="196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Company has deposited or caused to be deposited money or Eligible Obligations to pay or discharge the principal of (and premium, if any) and interest on the Outstanding Securities of a series to but excluding a Redemption Date pursuant to clause (i) of this Section 404,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w:t>
      </w:r>
    </w:p>
    <w:p>
      <w:pPr>
        <w:sectPr>
          <w:pgSz w:w="11900" w:h="16877" w:orient="portrait"/>
          <w:cols w:equalWidth="0" w:num="1">
            <w:col w:w="11400"/>
          </w:cols>
          <w:pgMar w:left="240" w:top="125" w:right="259" w:bottom="0" w:gutter="0" w:footer="0" w:header="0"/>
        </w:sectPr>
      </w:pPr>
    </w:p>
    <w:bookmarkStart w:id="65" w:name="page66"/>
    <w:bookmarkEnd w:id="65"/>
    <w:p>
      <w:pPr>
        <w:ind w:left="660" w:right="840"/>
        <w:spacing w:after="0" w:line="277" w:lineRule="auto"/>
        <w:rPr>
          <w:sz w:val="20"/>
          <w:szCs w:val="20"/>
          <w:color w:val="auto"/>
        </w:rPr>
      </w:pPr>
      <w:r>
        <w:rPr>
          <w:rFonts w:ascii="Arial" w:cs="Arial" w:eastAsia="Arial" w:hAnsi="Arial"/>
          <w:sz w:val="18"/>
          <w:szCs w:val="18"/>
          <w:color w:val="auto"/>
        </w:rPr>
        <w:t>such redemption in the name and at the expense of the Company not less than 30 nor more than 60 days prior to such Redemption Date in accordance with Section 1104.</w:t>
      </w:r>
    </w:p>
    <w:p>
      <w:pPr>
        <w:spacing w:after="0" w:line="170"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 xml:space="preserve">. (a) Neither the Eligible Obligations nor the funds deposited with the Trustee pursuant to Sections 401, 402 or 403,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Arial" w:cs="Arial" w:eastAsia="Arial" w:hAnsi="Arial"/>
          <w:sz w:val="18"/>
          <w:szCs w:val="18"/>
          <w:i w:val="1"/>
          <w:iCs w:val="1"/>
          <w:color w:val="auto"/>
        </w:rPr>
        <w:t>provided, however</w:t>
      </w:r>
      <w:r>
        <w:rPr>
          <w:rFonts w:ascii="Arial" w:cs="Arial" w:eastAsia="Arial" w:hAnsi="Arial"/>
          <w:sz w:val="18"/>
          <w:szCs w:val="18"/>
          <w:color w:val="auto"/>
        </w:rPr>
        <w:t>, that, so long as no Event of Default has occurred and is continuing, any cash received from such principal or interest payments on such Eligible Obligations deposited with the Trustee, if not then needed for such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purpose, shall, to the extent practicable, be invested in Eligible Obligations of the type described in Sections 401 and 402(d)(2)(A)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178" w:lineRule="exact"/>
        <w:rPr>
          <w:sz w:val="20"/>
          <w:szCs w:val="20"/>
          <w:color w:val="auto"/>
        </w:rPr>
      </w:pPr>
    </w:p>
    <w:p>
      <w:pPr>
        <w:ind w:right="40" w:firstLine="1305"/>
        <w:spacing w:after="0" w:line="264" w:lineRule="auto"/>
        <w:tabs>
          <w:tab w:leader="none" w:pos="19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Eligible Obligations deposited pursuant to Section 401, 402 or 403 or the principal and any premium and interest received in respect of such obligations other than any payable by or on behalf of Holders.</w:t>
      </w:r>
    </w:p>
    <w:p>
      <w:pPr>
        <w:spacing w:after="0" w:line="181" w:lineRule="exact"/>
        <w:rPr>
          <w:rFonts w:ascii="Arial" w:cs="Arial" w:eastAsia="Arial" w:hAnsi="Arial"/>
          <w:sz w:val="18"/>
          <w:szCs w:val="18"/>
          <w:color w:val="auto"/>
        </w:rPr>
      </w:pPr>
    </w:p>
    <w:p>
      <w:pPr>
        <w:ind w:firstLine="1305"/>
        <w:spacing w:after="0" w:line="257" w:lineRule="auto"/>
        <w:tabs>
          <w:tab w:leader="none" w:pos="19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Eligible Obligations or money held by it as provided in Section 401, 402 or 403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188"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Reinstatement</w:t>
      </w:r>
      <w:r>
        <w:rPr>
          <w:rFonts w:ascii="Arial" w:cs="Arial" w:eastAsia="Arial" w:hAnsi="Arial"/>
          <w:sz w:val="18"/>
          <w:szCs w:val="18"/>
          <w:color w:val="auto"/>
        </w:rPr>
        <w:t xml:space="preserve">.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402 or Section 403 shall be revived and reinstated as though no deposit had occurred pursuant to this Article with respect to such Securities, until such time as the Trustee or Paying Agent is permitted to apply all money held in trust pursuant to Section 405 with respect to such Securities in accordance with this Article;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the Company makes any payment of principal of or any premium or interest on any such Security following such reinstatement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its obligations, the Company shall be subrogated to the rights (if any) of the Holders of such Securities to receive such payment from the money so held in trust.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Events of Default</w:t>
      </w:r>
      <w:r>
        <w:rPr>
          <w:rFonts w:ascii="Arial" w:cs="Arial" w:eastAsia="Arial" w:hAnsi="Arial"/>
          <w:sz w:val="17"/>
          <w:szCs w:val="17"/>
          <w:color w:val="auto"/>
        </w:rPr>
        <w:t>. “</w:t>
      </w:r>
      <w:r>
        <w:rPr>
          <w:rFonts w:ascii="Arial" w:cs="Arial" w:eastAsia="Arial" w:hAnsi="Arial"/>
          <w:sz w:val="17"/>
          <w:szCs w:val="17"/>
          <w:b w:val="1"/>
          <w:bCs w:val="1"/>
          <w:i w:val="1"/>
          <w:iCs w:val="1"/>
          <w:color w:val="auto"/>
        </w:rPr>
        <w:t>Event of Default</w:t>
      </w:r>
      <w:r>
        <w:rPr>
          <w:rFonts w:ascii="Arial" w:cs="Arial" w:eastAsia="Arial" w:hAnsi="Arial"/>
          <w:sz w:val="17"/>
          <w:szCs w:val="17"/>
          <w:color w:val="auto"/>
        </w:rPr>
        <w:t>”, wherever used herein with respect to Securities of any series, means any one of the following events, unless such event is either inapplicable to a particular series or its is specifically deleted or modified in the applicable Board Resolution or supplemental indenture under which such series of Securities is issued, as the case may be, as contemplated by Section 301:</w:t>
      </w:r>
    </w:p>
    <w:p>
      <w:pPr>
        <w:spacing w:after="0" w:line="166" w:lineRule="exact"/>
        <w:rPr>
          <w:sz w:val="20"/>
          <w:szCs w:val="20"/>
          <w:color w:val="auto"/>
        </w:rPr>
      </w:pPr>
    </w:p>
    <w:p>
      <w:pPr>
        <w:ind w:left="660" w:right="140" w:firstLine="645"/>
        <w:spacing w:after="0" w:line="264" w:lineRule="auto"/>
        <w:tabs>
          <w:tab w:leader="none" w:pos="19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default in the payment of any interest upon any Security of that series when it becomes due and payable, and continuance of such default for a period of 30 days;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valid extension of the interest payment period by the Company as contemplated in Section 312 shall not constitute a failure to pay interest for this purpose; or</w:t>
      </w:r>
    </w:p>
    <w:p>
      <w:pPr>
        <w:spacing w:after="0" w:line="181"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170" w:lineRule="exact"/>
        <w:rPr>
          <w:rFonts w:ascii="Arial" w:cs="Arial" w:eastAsia="Arial" w:hAnsi="Arial"/>
          <w:sz w:val="18"/>
          <w:szCs w:val="18"/>
          <w:color w:val="auto"/>
        </w:rPr>
      </w:pPr>
    </w:p>
    <w:p>
      <w:pPr>
        <w:ind w:left="660" w:right="260" w:firstLine="645"/>
        <w:spacing w:after="0" w:line="277" w:lineRule="auto"/>
        <w:tabs>
          <w:tab w:leader="none" w:pos="19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and continuance of such default for a period of 30 days;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3" w:lineRule="auto"/>
        <w:tabs>
          <w:tab w:leader="none" w:pos="19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i w:val="1"/>
          <w:iCs w:val="1"/>
          <w:color w:val="auto"/>
        </w:rPr>
        <w:t>Notice of Default</w:t>
      </w:r>
      <w:r>
        <w:rPr>
          <w:rFonts w:ascii="Arial" w:cs="Arial" w:eastAsia="Arial" w:hAnsi="Arial"/>
          <w:sz w:val="17"/>
          <w:szCs w:val="17"/>
          <w:color w:val="auto"/>
        </w:rPr>
        <w:t>” hereunder; or</w:t>
      </w:r>
    </w:p>
    <w:p>
      <w:pPr>
        <w:spacing w:after="0" w:line="178" w:lineRule="exact"/>
        <w:rPr>
          <w:rFonts w:ascii="Arial" w:cs="Arial" w:eastAsia="Arial" w:hAnsi="Arial"/>
          <w:sz w:val="17"/>
          <w:szCs w:val="17"/>
          <w:color w:val="auto"/>
        </w:rPr>
      </w:pPr>
    </w:p>
    <w:p>
      <w:pPr>
        <w:ind w:left="660" w:right="60" w:firstLine="645"/>
        <w:spacing w:after="0" w:line="297" w:lineRule="auto"/>
        <w:tabs>
          <w:tab w:leader="none" w:pos="196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w:t>
      </w:r>
    </w:p>
    <w:p>
      <w:pPr>
        <w:sectPr>
          <w:pgSz w:w="11900" w:h="16838" w:orient="portrait"/>
          <w:cols w:equalWidth="0" w:num="1">
            <w:col w:w="11420"/>
          </w:cols>
          <w:pgMar w:left="240" w:top="125" w:right="239" w:bottom="0" w:gutter="0" w:footer="0" w:header="0"/>
        </w:sectPr>
      </w:pPr>
    </w:p>
    <w:bookmarkStart w:id="66" w:name="page67"/>
    <w:bookmarkEnd w:id="66"/>
    <w:p>
      <w:pPr>
        <w:ind w:left="660" w:right="740"/>
        <w:spacing w:after="0" w:line="277" w:lineRule="auto"/>
        <w:rPr>
          <w:sz w:val="20"/>
          <w:szCs w:val="20"/>
          <w:color w:val="auto"/>
        </w:rPr>
      </w:pPr>
      <w:r>
        <w:rPr>
          <w:rFonts w:ascii="Arial" w:cs="Arial" w:eastAsia="Arial" w:hAnsi="Arial"/>
          <w:sz w:val="18"/>
          <w:szCs w:val="18"/>
          <w:color w:val="auto"/>
        </w:rPr>
        <w:t>affairs, and the continuance of any such decree or order for relief or any such other decree or order unstayed and in effect for a period of 90 consecutive days; or</w:t>
      </w:r>
    </w:p>
    <w:p>
      <w:pPr>
        <w:spacing w:after="0" w:line="170" w:lineRule="exact"/>
        <w:rPr>
          <w:sz w:val="20"/>
          <w:szCs w:val="20"/>
          <w:color w:val="auto"/>
        </w:rPr>
      </w:pPr>
    </w:p>
    <w:p>
      <w:pPr>
        <w:ind w:left="660" w:firstLine="645"/>
        <w:spacing w:after="0" w:line="290" w:lineRule="auto"/>
        <w:tabs>
          <w:tab w:leader="none" w:pos="196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such series pursuant to Section 301(b).</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Acceleration of Maturity; Rescission and Annulment</w:t>
      </w:r>
      <w:r>
        <w:rPr>
          <w:rFonts w:ascii="Arial" w:cs="Arial" w:eastAsia="Arial" w:hAnsi="Arial"/>
          <w:sz w:val="17"/>
          <w:szCs w:val="17"/>
          <w:color w:val="auto"/>
        </w:rPr>
        <w:t>. If an Event of Default with respect to Securities of any series at the time Outstanding occurs and is continuing, then in every such case the Trustee or the Holders of not less than 25% in aggregate principal amount of the Outstanding Securities of such series, by a notice in writing to the Company (and to the Trustee if given by such Holders), may declare the principal amount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shall become immediately due and payable. If an Event of Default specified in Section 501(5) or (6) occurs, the principal of all the Securities then Outstanding (or if any such Securities are Original Issue Discount Securities or Indexed Securities, such portion of the principal amount of such Securities as may be specified in the terms thereof) shall automatically become and be immediately due and payable without any declaration or other act or notice on the part of the Trustee or any Holders of the Securities.</w:t>
      </w:r>
    </w:p>
    <w:p>
      <w:pPr>
        <w:spacing w:after="0" w:line="182"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187" w:lineRule="exact"/>
        <w:rPr>
          <w:sz w:val="20"/>
          <w:szCs w:val="20"/>
          <w:color w:val="auto"/>
        </w:rPr>
      </w:pPr>
    </w:p>
    <w:p>
      <w:pPr>
        <w:ind w:left="5620" w:right="3180" w:hanging="4315"/>
        <w:spacing w:after="0" w:line="528" w:lineRule="auto"/>
        <w:tabs>
          <w:tab w:leader="none" w:pos="195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has paid or deposited irrevocably with the Trustee a sum sufficient to pay 22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20" w:hanging="667"/>
        <w:spacing w:after="0"/>
        <w:tabs>
          <w:tab w:leader="none" w:pos="2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overdue interest on all Securities of any such series,</w:t>
      </w:r>
    </w:p>
    <w:p>
      <w:pPr>
        <w:spacing w:after="0" w:line="225" w:lineRule="exact"/>
        <w:rPr>
          <w:rFonts w:ascii="Arial" w:cs="Arial" w:eastAsia="Arial" w:hAnsi="Arial"/>
          <w:sz w:val="18"/>
          <w:szCs w:val="18"/>
          <w:color w:val="auto"/>
        </w:rPr>
      </w:pPr>
    </w:p>
    <w:p>
      <w:pPr>
        <w:ind w:left="660" w:right="440" w:firstLine="1293"/>
        <w:spacing w:after="0" w:line="277" w:lineRule="auto"/>
        <w:tabs>
          <w:tab w:leader="none" w:pos="261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170" w:lineRule="exact"/>
        <w:rPr>
          <w:rFonts w:ascii="Arial" w:cs="Arial" w:eastAsia="Arial" w:hAnsi="Arial"/>
          <w:sz w:val="18"/>
          <w:szCs w:val="18"/>
          <w:color w:val="auto"/>
        </w:rPr>
      </w:pPr>
    </w:p>
    <w:p>
      <w:pPr>
        <w:ind w:left="660" w:right="520" w:firstLine="1293"/>
        <w:spacing w:after="0" w:line="277" w:lineRule="auto"/>
        <w:tabs>
          <w:tab w:leader="none" w:pos="261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borne by such Securities, unless another rate is provided in such Securities,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amounts due to the Trustee under Section 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-1607185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60" w:firstLine="645"/>
        <w:spacing w:after="0" w:line="277" w:lineRule="auto"/>
        <w:tabs>
          <w:tab w:leader="none" w:pos="1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Event of Default or impair any right consequent thereon.</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i w:val="1"/>
          <w:iCs w:val="1"/>
          <w:color w:val="auto"/>
        </w:rPr>
        <w:t>Collection of Indebtedness and Suits for Enforcement by Trustee</w:t>
      </w:r>
      <w:r>
        <w:rPr>
          <w:rFonts w:ascii="Arial" w:cs="Arial" w:eastAsia="Arial" w:hAnsi="Arial"/>
          <w:sz w:val="17"/>
          <w:szCs w:val="17"/>
          <w:color w:val="auto"/>
        </w:rPr>
        <w:t>. If an Event of Default described in clause (1) or (2) of 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220" w:firstLine="1297"/>
        <w:spacing w:after="0" w:line="276"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3" w:lineRule="exact"/>
        <w:rPr>
          <w:sz w:val="20"/>
          <w:szCs w:val="20"/>
          <w:color w:val="auto"/>
        </w:rPr>
      </w:pPr>
    </w:p>
    <w:p>
      <w:pPr>
        <w:ind w:left="660" w:right="160" w:firstLine="645"/>
        <w:spacing w:after="0" w:line="286" w:lineRule="auto"/>
        <w:tabs>
          <w:tab w:leader="none" w:pos="197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and premium or interest owing and unpaid in respect of the Securities and to file such other papers or documents as may be necessary or advisable in order to have the claims of the Trustee (including any claim for amounts due to the Trustee under Section 607) and of the Holders allowed in such judicial proceeding, and</w:t>
      </w:r>
    </w:p>
    <w:p>
      <w:pPr>
        <w:spacing w:after="0" w:line="165" w:lineRule="exact"/>
        <w:rPr>
          <w:rFonts w:ascii="Arial" w:cs="Arial" w:eastAsia="Arial" w:hAnsi="Arial"/>
          <w:sz w:val="17"/>
          <w:szCs w:val="17"/>
          <w:color w:val="auto"/>
        </w:rPr>
      </w:pPr>
    </w:p>
    <w:p>
      <w:pPr>
        <w:ind w:left="1980" w:hanging="675"/>
        <w:spacing w:after="0"/>
        <w:tabs>
          <w:tab w:leader="none" w:pos="19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ectPr>
          <w:pgSz w:w="11900" w:h="16838" w:orient="portrait"/>
          <w:cols w:equalWidth="0" w:num="1">
            <w:col w:w="11420"/>
          </w:cols>
          <w:pgMar w:left="240" w:top="125" w:right="239" w:bottom="0" w:gutter="0" w:footer="0" w:header="0"/>
        </w:sectPr>
      </w:pPr>
    </w:p>
    <w:bookmarkStart w:id="67" w:name="page68"/>
    <w:bookmarkEnd w:id="67"/>
    <w:p>
      <w:pPr>
        <w:spacing w:after="0" w:line="11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Trustee May Enforce Claims Without Possession of Securities</w:t>
      </w:r>
      <w:r>
        <w:rPr>
          <w:rFonts w:ascii="Arial" w:cs="Arial" w:eastAsia="Arial" w:hAnsi="Arial"/>
          <w:sz w:val="18"/>
          <w:szCs w:val="18"/>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in respect of which such judgment has been recovered.</w:t>
      </w:r>
    </w:p>
    <w:p>
      <w:pPr>
        <w:spacing w:after="0" w:line="188"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The balance, if any,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Trustee may fix a record date and payment date for any such payment to Holders of Securities.</w:t>
      </w:r>
    </w:p>
    <w:p>
      <w:pPr>
        <w:spacing w:after="0" w:line="225"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Limitation on Suits</w:t>
      </w:r>
      <w:r>
        <w:rPr>
          <w:rFonts w:ascii="Arial" w:cs="Arial" w:eastAsia="Arial" w:hAnsi="Arial"/>
          <w:sz w:val="16"/>
          <w:szCs w:val="16"/>
          <w:color w:val="auto"/>
        </w:rPr>
        <w:t>. No Holder of any Security of any series shall have any right to institute any proceeding, judicial or otherwise, with respect to this Indenture or such Security, or for the appointment of a receiver or trustee, or for any other remedy hereunder, unless</w:t>
      </w:r>
    </w:p>
    <w:p>
      <w:pPr>
        <w:spacing w:after="0" w:line="124" w:lineRule="exact"/>
        <w:rPr>
          <w:sz w:val="20"/>
          <w:szCs w:val="20"/>
          <w:color w:val="auto"/>
        </w:rPr>
      </w:pPr>
    </w:p>
    <w:p>
      <w:pPr>
        <w:ind w:left="1960" w:hanging="655"/>
        <w:spacing w:after="0"/>
        <w:tabs>
          <w:tab w:leader="none" w:pos="19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that series;</w:t>
      </w:r>
    </w:p>
    <w:p>
      <w:pPr>
        <w:spacing w:after="0" w:line="210" w:lineRule="exact"/>
        <w:rPr>
          <w:rFonts w:ascii="Arial" w:cs="Arial" w:eastAsia="Arial" w:hAnsi="Arial"/>
          <w:sz w:val="16"/>
          <w:szCs w:val="16"/>
          <w:color w:val="auto"/>
        </w:rPr>
      </w:pPr>
    </w:p>
    <w:p>
      <w:pPr>
        <w:ind w:left="660" w:right="20" w:firstLine="645"/>
        <w:spacing w:after="0" w:line="277" w:lineRule="auto"/>
        <w:tabs>
          <w:tab w:leader="none" w:pos="1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against the reasonable costs, expenses and liabilities to be incurred in compliance with such request;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300" w:firstLine="645"/>
        <w:spacing w:after="0" w:line="277" w:lineRule="auto"/>
        <w:tabs>
          <w:tab w:leader="none" w:pos="1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right under this Indenture, except in the manner herein provided and for the equal and ratable benefit of all of such Holders.</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Unconditional Right of Holders to Receive Principal, Premium and Interest</w:t>
      </w:r>
      <w:r>
        <w:rPr>
          <w:rFonts w:ascii="Arial" w:cs="Arial" w:eastAsia="Arial" w:hAnsi="Arial"/>
          <w:sz w:val="18"/>
          <w:szCs w:val="18"/>
          <w:color w:val="auto"/>
        </w:rPr>
        <w:t>. Notwithstanding any other provision in this 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88"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88"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Rights and Remedies Cumulative</w:t>
      </w:r>
      <w:r>
        <w:rPr>
          <w:rFonts w:ascii="Arial" w:cs="Arial" w:eastAsia="Arial" w:hAnsi="Arial"/>
          <w:sz w:val="16"/>
          <w:szCs w:val="16"/>
          <w:color w:val="auto"/>
        </w:rPr>
        <w:t>.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w:t>
      </w:r>
    </w:p>
    <w:p>
      <w:pPr>
        <w:sectPr>
          <w:pgSz w:w="11900" w:h="16952" w:orient="portrait"/>
          <w:cols w:equalWidth="0" w:num="1">
            <w:col w:w="11400"/>
          </w:cols>
          <w:pgMar w:left="240" w:top="125" w:right="259" w:bottom="0" w:gutter="0" w:footer="0" w:header="0"/>
        </w:sectPr>
      </w:pPr>
    </w:p>
    <w:bookmarkStart w:id="68" w:name="page69"/>
    <w:bookmarkEnd w:id="68"/>
    <w:p>
      <w:pPr>
        <w:ind w:right="460"/>
        <w:spacing w:after="0" w:line="308" w:lineRule="auto"/>
        <w:rPr>
          <w:sz w:val="20"/>
          <w:szCs w:val="20"/>
          <w:color w:val="auto"/>
        </w:rPr>
      </w:pPr>
      <w:r>
        <w:rPr>
          <w:rFonts w:ascii="Arial" w:cs="Arial" w:eastAsia="Arial" w:hAnsi="Arial"/>
          <w:sz w:val="17"/>
          <w:szCs w:val="17"/>
          <w:color w:val="auto"/>
        </w:rPr>
        <w:t>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7"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Control by Holders</w:t>
      </w:r>
      <w:r>
        <w:rPr>
          <w:rFonts w:ascii="Arial" w:cs="Arial" w:eastAsia="Arial" w:hAnsi="Arial"/>
          <w:sz w:val="16"/>
          <w:szCs w:val="16"/>
          <w:color w:val="auto"/>
        </w:rPr>
        <w:t xml:space="preserve">. If an Event of Default shall have occurred and be continuing in respect of a series of Securities, the 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or Tranche;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165" w:lineRule="exact"/>
        <w:rPr>
          <w:sz w:val="20"/>
          <w:szCs w:val="20"/>
          <w:color w:val="auto"/>
        </w:rPr>
      </w:pPr>
    </w:p>
    <w:p>
      <w:pPr>
        <w:ind w:left="1960" w:hanging="655"/>
        <w:spacing w:after="0"/>
        <w:tabs>
          <w:tab w:leader="none" w:pos="1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i w:val="1"/>
          <w:iCs w:val="1"/>
          <w:color w:val="auto"/>
        </w:rPr>
        <w:t>Waiver of Past Defaults</w:t>
      </w:r>
      <w:r>
        <w:rPr>
          <w:rFonts w:ascii="Arial" w:cs="Arial" w:eastAsia="Arial" w:hAnsi="Arial"/>
          <w:sz w:val="17"/>
          <w:szCs w:val="17"/>
          <w:color w:val="auto"/>
        </w:rPr>
        <w:t xml:space="preserve">. The Holders of not less than a majority in aggregate principal amount of the Outstanding Securities of any series may on behalf of the Holders of all the Securities of such series waive any past default hereunder with respect to such series and its consequences;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past default has occurred with respect to more than one series of Securities of equal ranking, the Holders of a majority in aggregate principal amount of the Outstanding Securities of all such series of equal ranking, considered as one class, may make such waiver, and not the Holders of the Securities of any one of such series of equal ranking, in each case, except a default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payment of the principal of or premium or interest on any Security of such series, or</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respect of a covenant or provision hereof that under Section 902 cannot be modified or amended without the consent of the Holder of each Outstanding Security of such series affected.</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i w:val="1"/>
          <w:iCs w:val="1"/>
          <w:color w:val="auto"/>
        </w:rPr>
        <w:t>Undertaking for Costs</w:t>
      </w:r>
      <w:r>
        <w:rPr>
          <w:rFonts w:ascii="Arial" w:cs="Arial" w:eastAsia="Arial" w:hAnsi="Arial"/>
          <w:sz w:val="17"/>
          <w:szCs w:val="17"/>
          <w:color w:val="auto"/>
        </w:rPr>
        <w:t>. All parties to this Indenture agree, and each Holder of any Security by such Holder’s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all series in respect of which such suit may be brought, considered as one class,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78"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i w:val="1"/>
          <w:iCs w:val="1"/>
          <w:color w:val="auto"/>
        </w:rPr>
        <w:t>Waiver of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Certain Duties and Responsibilities</w:t>
      </w:r>
      <w:r>
        <w:rPr>
          <w:rFonts w:ascii="Arial" w:cs="Arial" w:eastAsia="Arial" w:hAnsi="Arial"/>
          <w:sz w:val="16"/>
          <w:szCs w:val="16"/>
          <w:color w:val="auto"/>
        </w:rPr>
        <w:t>. (a) Except during the continuance of an Event of Default with respect to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any series,</w:t>
      </w:r>
    </w:p>
    <w:p>
      <w:pPr>
        <w:spacing w:after="0" w:line="211" w:lineRule="exact"/>
        <w:rPr>
          <w:sz w:val="20"/>
          <w:szCs w:val="20"/>
          <w:color w:val="auto"/>
        </w:rPr>
      </w:pPr>
    </w:p>
    <w:p>
      <w:pPr>
        <w:ind w:left="660" w:right="60" w:firstLine="645"/>
        <w:spacing w:after="0" w:line="308" w:lineRule="auto"/>
        <w:tabs>
          <w:tab w:leader="none" w:pos="196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146" w:lineRule="exact"/>
        <w:rPr>
          <w:rFonts w:ascii="Arial" w:cs="Arial" w:eastAsia="Arial" w:hAnsi="Arial"/>
          <w:sz w:val="17"/>
          <w:szCs w:val="17"/>
          <w:color w:val="auto"/>
        </w:rPr>
      </w:pPr>
    </w:p>
    <w:p>
      <w:pPr>
        <w:ind w:left="660" w:right="20" w:firstLine="645"/>
        <w:spacing w:after="0" w:line="257" w:lineRule="auto"/>
        <w:tabs>
          <w:tab w:leader="none" w:pos="19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8" w:lineRule="exact"/>
        <w:rPr>
          <w:sz w:val="20"/>
          <w:szCs w:val="20"/>
          <w:color w:val="auto"/>
        </w:rPr>
      </w:pPr>
    </w:p>
    <w:p>
      <w:pPr>
        <w:ind w:firstLine="1305"/>
        <w:spacing w:after="0" w:line="264" w:lineRule="auto"/>
        <w:tabs>
          <w:tab w:leader="none" w:pos="19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an Event of Default with respect to Securities of any series has occurred and is continuing, the Trustee shall exercise, with respect to Securities of such series, such of the rights and powers vested in it by this Indenture, and use the same degree of care and skill in their exercise, as a prudent man would exercise or use under the circumstances in the conduct of his own affairs.</w:t>
      </w:r>
    </w:p>
    <w:p>
      <w:pPr>
        <w:sectPr>
          <w:pgSz w:w="11900" w:h="16838" w:orient="portrait"/>
          <w:cols w:equalWidth="0" w:num="1">
            <w:col w:w="11380"/>
          </w:cols>
          <w:pgMar w:left="240" w:top="125" w:right="279" w:bottom="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69" w:name="page70"/>
    <w:bookmarkEnd w:id="69"/>
    <w:p>
      <w:pPr>
        <w:ind w:right="20" w:firstLine="1305"/>
        <w:spacing w:after="0" w:line="277" w:lineRule="auto"/>
        <w:tabs>
          <w:tab w:leader="none" w:pos="19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No provision of this Indenture shall be construed to relieve the Trustee from liability for its own negligent action, its own negligent failure to act, or its own willful misconduct,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rFonts w:ascii="Arial" w:cs="Arial" w:eastAsia="Arial" w:hAnsi="Arial"/>
          <w:sz w:val="18"/>
          <w:szCs w:val="18"/>
          <w:color w:val="auto"/>
        </w:rPr>
      </w:pPr>
    </w:p>
    <w:p>
      <w:pPr>
        <w:ind w:left="660" w:right="300" w:firstLine="1293"/>
        <w:spacing w:after="0" w:line="277" w:lineRule="auto"/>
        <w:tabs>
          <w:tab w:leader="none" w:pos="261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660" w:firstLine="1293"/>
        <w:spacing w:after="0" w:line="279" w:lineRule="auto"/>
        <w:tabs>
          <w:tab w:leader="none" w:pos="261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171" w:lineRule="exact"/>
        <w:rPr>
          <w:rFonts w:ascii="Arial" w:cs="Arial" w:eastAsia="Arial" w:hAnsi="Arial"/>
          <w:sz w:val="17"/>
          <w:szCs w:val="17"/>
          <w:color w:val="auto"/>
        </w:rPr>
      </w:pPr>
    </w:p>
    <w:p>
      <w:pPr>
        <w:ind w:left="660" w:right="160" w:firstLine="1293"/>
        <w:spacing w:after="0" w:line="264" w:lineRule="auto"/>
        <w:tabs>
          <w:tab w:leader="none" w:pos="261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has reasonable grounds for believing that repayment of such funds or adequate indemnity against such risk or liability is not reasonably assured to it.</w:t>
      </w:r>
    </w:p>
    <w:p>
      <w:pPr>
        <w:spacing w:after="0" w:line="181"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70"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Notice of Defaults</w:t>
      </w:r>
      <w:r>
        <w:rPr>
          <w:rFonts w:ascii="Arial" w:cs="Arial" w:eastAsia="Arial" w:hAnsi="Arial"/>
          <w:sz w:val="16"/>
          <w:szCs w:val="16"/>
          <w:color w:val="auto"/>
        </w:rPr>
        <w:t xml:space="preserve">. Within 90 days after the occurrence of any default hereunder with respect to the Securities of any series, the Trustee shall transmit by mail to all Holders of Securities of such series entitled to receive reports pursuant to Section 704(3) notice of such default hereunder known to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default of the character specified in Section 501(4) with respect to Securities of such series, no such notice to Holders shall be given until at least 75 days after the occurrence thereof. For the purpose of this Section, the term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means any event that is, or after notice or lapse of time or both would become, an Event of Default with respect to Securities of such series.</w:t>
      </w:r>
    </w:p>
    <w:p>
      <w:pPr>
        <w:spacing w:after="0" w:line="16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the provisions of Section 601 and to the applicable provisions of the Trust Indenture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660" w:right="640" w:firstLine="645"/>
        <w:spacing w:after="0" w:line="312" w:lineRule="auto"/>
        <w:tabs>
          <w:tab w:leader="none" w:pos="195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80" w:firstLine="645"/>
        <w:spacing w:after="0" w:line="342" w:lineRule="auto"/>
        <w:tabs>
          <w:tab w:leader="none" w:pos="196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123" w:lineRule="exact"/>
        <w:rPr>
          <w:rFonts w:ascii="Arial" w:cs="Arial" w:eastAsia="Arial" w:hAnsi="Arial"/>
          <w:sz w:val="16"/>
          <w:szCs w:val="16"/>
          <w:color w:val="auto"/>
        </w:rPr>
      </w:pPr>
    </w:p>
    <w:p>
      <w:pPr>
        <w:ind w:left="660" w:right="160" w:firstLine="645"/>
        <w:spacing w:after="0" w:line="264" w:lineRule="auto"/>
        <w:tabs>
          <w:tab w:leader="none" w:pos="196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47" w:lineRule="exact"/>
        <w:rPr>
          <w:sz w:val="20"/>
          <w:szCs w:val="20"/>
          <w:color w:val="auto"/>
        </w:rPr>
      </w:pPr>
    </w:p>
    <w:p>
      <w:pPr>
        <w:ind w:left="660" w:right="100" w:firstLine="645"/>
        <w:spacing w:after="0" w:line="308" w:lineRule="auto"/>
        <w:tabs>
          <w:tab w:leader="none" w:pos="196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left="660" w:right="380" w:firstLine="645"/>
        <w:spacing w:after="0" w:line="286" w:lineRule="auto"/>
        <w:tabs>
          <w:tab w:leader="none" w:pos="196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165" w:lineRule="exact"/>
        <w:rPr>
          <w:rFonts w:ascii="Arial" w:cs="Arial" w:eastAsia="Arial" w:hAnsi="Arial"/>
          <w:sz w:val="17"/>
          <w:szCs w:val="17"/>
          <w:color w:val="auto"/>
        </w:rPr>
      </w:pPr>
    </w:p>
    <w:p>
      <w:pPr>
        <w:ind w:left="660" w:right="300" w:firstLine="645"/>
        <w:spacing w:after="0" w:line="312" w:lineRule="auto"/>
        <w:tabs>
          <w:tab w:leader="none" w:pos="196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w:t>
      </w:r>
    </w:p>
    <w:p>
      <w:pPr>
        <w:spacing w:after="0" w:line="146" w:lineRule="exact"/>
        <w:rPr>
          <w:rFonts w:ascii="Arial" w:cs="Arial" w:eastAsia="Arial" w:hAnsi="Arial"/>
          <w:sz w:val="16"/>
          <w:szCs w:val="16"/>
          <w:color w:val="auto"/>
        </w:rPr>
      </w:pPr>
    </w:p>
    <w:p>
      <w:pPr>
        <w:ind w:left="660" w:right="60" w:firstLine="645"/>
        <w:spacing w:after="0" w:line="264" w:lineRule="auto"/>
        <w:tabs>
          <w:tab w:leader="none" w:pos="19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Not Responsible for Recitals or Issuance of Securities</w:t>
      </w:r>
      <w:r>
        <w:rPr>
          <w:rFonts w:ascii="Arial" w:cs="Arial" w:eastAsia="Arial" w:hAnsi="Arial"/>
          <w:sz w:val="16"/>
          <w:szCs w:val="16"/>
          <w:color w:val="auto"/>
        </w:rPr>
        <w:t>. The recitals contained herein and in the Securities, except the 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The Trustee or any Authenticating Agent shall not be accountable for the use or application by the Company of Securities or the proceeds thereof.</w:t>
      </w:r>
    </w:p>
    <w:p>
      <w:pPr>
        <w:spacing w:after="0" w:line="154"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May Hold Securities</w:t>
      </w:r>
      <w:r>
        <w:rPr>
          <w:rFonts w:ascii="Arial" w:cs="Arial" w:eastAsia="Arial" w:hAnsi="Arial"/>
          <w:sz w:val="16"/>
          <w:szCs w:val="16"/>
          <w:color w:val="auto"/>
        </w:rPr>
        <w:t>. The Trustee, any Authenticating Agent, any Paying Agent, any Security Registrar or any other agent of the Company or the Trustee, in its individual or any other capacity, may become the owner or pledgee of Securities and, subject to Sections 608 and</w:t>
      </w:r>
    </w:p>
    <w:p>
      <w:pPr>
        <w:sectPr>
          <w:pgSz w:w="11900" w:h="16838" w:orient="portrait"/>
          <w:cols w:equalWidth="0" w:num="1">
            <w:col w:w="11420"/>
          </w:cols>
          <w:pgMar w:left="240" w:top="584" w:right="239" w:bottom="0" w:gutter="0" w:footer="0" w:header="0"/>
        </w:sectPr>
      </w:pPr>
    </w:p>
    <w:bookmarkStart w:id="70" w:name="page71"/>
    <w:bookmarkEnd w:id="70"/>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613, may otherwise deal with the Company with the same rights it would have if it were not Trustee, Authenticating Agent, Paying Agent, Security Registrar or such other agent.</w:t>
      </w:r>
    </w:p>
    <w:p>
      <w:pPr>
        <w:spacing w:after="0" w:line="170"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Money Held in Trust</w:t>
      </w:r>
      <w:r>
        <w:rPr>
          <w:rFonts w:ascii="Arial" w:cs="Arial" w:eastAsia="Arial" w:hAnsi="Arial"/>
          <w:sz w:val="16"/>
          <w:szCs w:val="16"/>
          <w:color w:val="auto"/>
        </w:rPr>
        <w:t>. Money held by the Trustee or by any Paying Agent (other than the Company if the Company shall act as Paying Agent) in trust hereunder need not be segregated from other funds except to the extent required by law. Neither the Trustee nor any Paying Agent shall be liable for interest on any money received by it hereunder except as expressly provided herein or otherwise agreed with the Company.</w:t>
      </w:r>
    </w:p>
    <w:p>
      <w:pPr>
        <w:spacing w:after="0" w:line="14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Compensation and Reimbursement</w:t>
      </w:r>
      <w:r>
        <w:rPr>
          <w:rFonts w:ascii="Arial" w:cs="Arial" w:eastAsia="Arial" w:hAnsi="Arial"/>
          <w:sz w:val="16"/>
          <w:szCs w:val="16"/>
          <w:color w:val="auto"/>
        </w:rPr>
        <w:t>. The Company agrees</w:t>
      </w:r>
    </w:p>
    <w:p>
      <w:pPr>
        <w:spacing w:after="0" w:line="225" w:lineRule="exact"/>
        <w:rPr>
          <w:sz w:val="20"/>
          <w:szCs w:val="20"/>
          <w:color w:val="auto"/>
        </w:rPr>
      </w:pPr>
    </w:p>
    <w:p>
      <w:pPr>
        <w:ind w:left="660" w:right="300" w:firstLine="645"/>
        <w:spacing w:after="0" w:line="277" w:lineRule="auto"/>
        <w:tabs>
          <w:tab w:leader="none" w:pos="196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ind w:left="660" w:firstLine="645"/>
        <w:spacing w:after="0" w:line="259" w:lineRule="auto"/>
        <w:tabs>
          <w:tab w:leader="none" w:pos="196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196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reasonably incurred without negligence, willful misconduct or bad faith on its part, arising out of or in connection with the acceptance or administration of the trust or trusts hereunder or performance of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duties hereunder, including the costs and expenses of defending itself against any claim or liability in connection with the exercise or performance of any of its powers or duties hereunder.</w:t>
      </w:r>
    </w:p>
    <w:p>
      <w:pPr>
        <w:spacing w:after="0" w:line="170"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property and funds held in trust for the payment of principal of and any premium and interest on particular Securities.</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If the Trustee has or acquires any conflicting interest within the meaning of the Trust Indenture Act with respect to the Securities of any series,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equally ranked and unsecured Securities of any series, shall not be deemed to have a conflicting interest arising from its capacity as trustee in respect of the equally ranked and unsecured Securities of any other series under this Indenture.</w:t>
      </w:r>
    </w:p>
    <w:p>
      <w:pPr>
        <w:spacing w:after="0" w:line="193"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Corporate Trustee Required; Eligibility</w:t>
      </w:r>
      <w:r>
        <w:rPr>
          <w:rFonts w:ascii="Arial" w:cs="Arial" w:eastAsia="Arial" w:hAnsi="Arial"/>
          <w:sz w:val="16"/>
          <w:szCs w:val="16"/>
          <w:color w:val="auto"/>
        </w:rPr>
        <w:t xml:space="preserve">. There shall at all times be a Trustee hereunder that shall be a Person that is eligible pursuant to the Trust Indenture Act to act as such, having a combined capital and surplus of at least $50,000,000, subject to supervision or examination by federal or state authority and qualified and eligible under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6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Resignation and Removal; Appointment of Successor</w:t>
      </w:r>
      <w:r>
        <w:rPr>
          <w:rFonts w:ascii="Arial" w:cs="Arial" w:eastAsia="Arial" w:hAnsi="Arial"/>
          <w:sz w:val="18"/>
          <w:szCs w:val="18"/>
          <w:color w:val="auto"/>
        </w:rPr>
        <w:t>. (a)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1" w:lineRule="exact"/>
        <w:rPr>
          <w:sz w:val="20"/>
          <w:szCs w:val="20"/>
          <w:color w:val="auto"/>
        </w:rPr>
      </w:pPr>
    </w:p>
    <w:p>
      <w:pPr>
        <w:jc w:val="both"/>
        <w:ind w:right="240" w:firstLine="1305"/>
        <w:spacing w:after="0" w:line="259" w:lineRule="auto"/>
        <w:tabs>
          <w:tab w:leader="none" w:pos="19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may at any time by a Board Resolution remove the Trustee with respect to the Securities of any or all series.</w:t>
      </w:r>
    </w:p>
    <w:p>
      <w:pPr>
        <w:spacing w:after="0" w:line="236" w:lineRule="exact"/>
        <w:rPr>
          <w:rFonts w:ascii="Arial" w:cs="Arial" w:eastAsia="Arial" w:hAnsi="Arial"/>
          <w:sz w:val="17"/>
          <w:szCs w:val="17"/>
          <w:color w:val="auto"/>
        </w:rPr>
      </w:pPr>
    </w:p>
    <w:p>
      <w:pPr>
        <w:ind w:right="640" w:firstLine="1305"/>
        <w:spacing w:after="0" w:line="277" w:lineRule="auto"/>
        <w:tabs>
          <w:tab w:leader="none" w:pos="19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aggregate principal amount of the Outstanding Securities of such series, delivered to the Trustee and to the Company.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ind w:left="660" w:right="140" w:firstLine="1293"/>
        <w:spacing w:after="0" w:line="277" w:lineRule="auto"/>
        <w:tabs>
          <w:tab w:leader="none" w:pos="261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Trustee ceases to be eligible under Section 609 and fails to resign after written request therefor by the Company or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such Holder,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1293"/>
        <w:spacing w:after="0" w:line="264" w:lineRule="auto"/>
        <w:tabs>
          <w:tab w:leader="none" w:pos="261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Trustee becomes incapable of acting or becomes adjudged a bankrupt or insolvent or a receiver of the Trustee or of its property is appointed or any public officer takes charge or control of the Trustee or of its property or affairs for the purpose of rehabilitation, conservation or liquidation,</w:t>
      </w:r>
    </w:p>
    <w:p>
      <w:pPr>
        <w:sectPr>
          <w:pgSz w:w="11900" w:h="16918" w:orient="portrait"/>
          <w:cols w:equalWidth="0" w:num="1">
            <w:col w:w="11400"/>
          </w:cols>
          <w:pgMar w:left="240" w:top="125" w:right="259" w:bottom="0" w:gutter="0" w:footer="0" w:header="0"/>
        </w:sectPr>
      </w:pPr>
    </w:p>
    <w:bookmarkStart w:id="71" w:name="page72"/>
    <w:bookmarkEnd w:id="71"/>
    <w:p>
      <w:pPr>
        <w:spacing w:after="0" w:line="1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then, in any such case,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1" w:lineRule="exact"/>
        <w:rPr>
          <w:sz w:val="20"/>
          <w:szCs w:val="20"/>
          <w:color w:val="auto"/>
        </w:rPr>
      </w:pPr>
    </w:p>
    <w:p>
      <w:pPr>
        <w:ind w:right="40" w:firstLine="1305"/>
        <w:spacing w:after="0" w:line="287" w:lineRule="auto"/>
        <w:tabs>
          <w:tab w:leader="none" w:pos="194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Trustee resigns, is removed or becomes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168" w:lineRule="exact"/>
        <w:rPr>
          <w:rFonts w:ascii="Arial" w:cs="Arial" w:eastAsia="Arial" w:hAnsi="Arial"/>
          <w:sz w:val="16"/>
          <w:szCs w:val="16"/>
          <w:color w:val="auto"/>
        </w:rPr>
      </w:pPr>
    </w:p>
    <w:p>
      <w:pPr>
        <w:ind w:right="40" w:firstLine="1305"/>
        <w:spacing w:after="0" w:line="259" w:lineRule="auto"/>
        <w:tabs>
          <w:tab w:leader="none" w:pos="19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entitled to receive reports pursuant to Section 704(3). Each notice shall include the name of the successor Trustee with respect to the Securities of such series and the address of its Corporate Trust Office.</w:t>
      </w:r>
    </w:p>
    <w:p>
      <w:pPr>
        <w:spacing w:after="0" w:line="186" w:lineRule="exact"/>
        <w:rPr>
          <w:rFonts w:ascii="Arial" w:cs="Arial" w:eastAsia="Arial" w:hAnsi="Arial"/>
          <w:sz w:val="18"/>
          <w:szCs w:val="18"/>
          <w:color w:val="auto"/>
        </w:rPr>
      </w:pPr>
    </w:p>
    <w:p>
      <w:pPr>
        <w:ind w:firstLine="1305"/>
        <w:spacing w:after="0" w:line="264" w:lineRule="auto"/>
        <w:tabs>
          <w:tab w:leader="none" w:pos="19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provisions of this Section except subparagraph (d) and Section 611(b) (except for the last clause, after omitting the words “after deducting all amounts owed to the retiring Trustee pursuant to Section 607,” which shall apply) shall apply also to any Paying Agent located outside the United States and its possessions.</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Acceptance of Appointment by Successor</w:t>
      </w:r>
      <w:r>
        <w:rPr>
          <w:rFonts w:ascii="Arial" w:cs="Arial" w:eastAsia="Arial" w:hAnsi="Arial"/>
          <w:sz w:val="18"/>
          <w:szCs w:val="18"/>
          <w:color w:val="auto"/>
        </w:rPr>
        <w:t>. (a) In case of the appointment hereunder of a successor Trustee with respect to the 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right="260" w:firstLine="1305"/>
        <w:spacing w:after="0" w:line="271" w:lineRule="auto"/>
        <w:tabs>
          <w:tab w:leader="none" w:pos="195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6" w:lineRule="exact"/>
        <w:rPr>
          <w:sz w:val="20"/>
          <w:szCs w:val="20"/>
          <w:color w:val="auto"/>
        </w:rPr>
      </w:pPr>
    </w:p>
    <w:p>
      <w:pPr>
        <w:ind w:right="280" w:firstLine="1305"/>
        <w:spacing w:after="0" w:line="342" w:lineRule="auto"/>
        <w:tabs>
          <w:tab w:leader="none" w:pos="195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right="200" w:firstLine="1305"/>
        <w:spacing w:after="0" w:line="277" w:lineRule="auto"/>
        <w:tabs>
          <w:tab w:leader="none" w:pos="195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Merger, Conversion, Consolidation or Succession to Business</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such corporation shall be otherwise qualified and eligible under this Article, without the execution or filing of any paper or any further act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82"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Company</w:t>
      </w:r>
      <w:r>
        <w:rPr>
          <w:rFonts w:ascii="Arial" w:cs="Arial" w:eastAsia="Arial" w:hAnsi="Arial"/>
          <w:sz w:val="18"/>
          <w:szCs w:val="18"/>
          <w:color w:val="auto"/>
        </w:rPr>
        <w:t>. The Trustee shall comply with Trust Indenture Act § 311(a), excluding any creditor relationship listed in Trust Indenture Act § 311(b). A Trustee who has resigned or been removed shall be subject to Trust Indenture Act § 311(a) to the extent indicated therein.</w:t>
      </w:r>
    </w:p>
    <w:p>
      <w:pPr>
        <w:sectPr>
          <w:pgSz w:w="11900" w:h="16850" w:orient="portrait"/>
          <w:cols w:equalWidth="0" w:num="1">
            <w:col w:w="11420"/>
          </w:cols>
          <w:pgMar w:left="240" w:top="341" w:right="239" w:bottom="0" w:gutter="0" w:footer="0" w:header="0"/>
        </w:sectPr>
      </w:pPr>
    </w:p>
    <w:bookmarkStart w:id="72" w:name="page73"/>
    <w:bookmarkEnd w:id="72"/>
    <w:p>
      <w:pPr>
        <w:ind w:right="60" w:firstLine="1297"/>
        <w:spacing w:after="0" w:line="286"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Appointment of Authenticating Agent</w:t>
      </w:r>
      <w:r>
        <w:rPr>
          <w:rFonts w:ascii="Arial" w:cs="Arial" w:eastAsia="Arial" w:hAnsi="Arial"/>
          <w:sz w:val="16"/>
          <w:szCs w:val="16"/>
          <w:color w:val="auto"/>
        </w:rPr>
        <w:t>. (a) At any time when any of the Securities remain Outstanding the Trustee may appoint an Authenticating Agent or Agents (which may include any Person that owns, directly or indirectly, all of the capital stock of the Trustee or a corporation that is a wholly-owned subsidiary of the Trustee or of such other Person) with respect to one or more series of Securities, or any Tranche thereof, that shall be authorized to act on behalf of the Trustee to authenticate Securities of such series or Tranche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 of this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such Authenticating Agent shall resign immediately in the manner and with the effect specified in this Section.</w:t>
      </w:r>
    </w:p>
    <w:p>
      <w:pPr>
        <w:spacing w:after="0" w:line="225" w:lineRule="exact"/>
        <w:rPr>
          <w:sz w:val="20"/>
          <w:szCs w:val="20"/>
          <w:color w:val="auto"/>
        </w:rPr>
      </w:pPr>
    </w:p>
    <w:p>
      <w:pPr>
        <w:ind w:right="80" w:firstLine="1305"/>
        <w:spacing w:after="0" w:line="302" w:lineRule="auto"/>
        <w:tabs>
          <w:tab w:leader="none" w:pos="19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eligible under this Section, without the execution or filing of any paper or any further act on the part of the Trustee or the Authenticating Agent.</w:t>
      </w:r>
    </w:p>
    <w:p>
      <w:pPr>
        <w:spacing w:after="0" w:line="154" w:lineRule="exact"/>
        <w:rPr>
          <w:rFonts w:ascii="Arial" w:cs="Arial" w:eastAsia="Arial" w:hAnsi="Arial"/>
          <w:sz w:val="16"/>
          <w:szCs w:val="16"/>
          <w:color w:val="auto"/>
        </w:rPr>
      </w:pPr>
    </w:p>
    <w:p>
      <w:pPr>
        <w:ind w:right="20" w:firstLine="1305"/>
        <w:spacing w:after="0" w:line="289" w:lineRule="auto"/>
        <w:tabs>
          <w:tab w:leader="none" w:pos="19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 Authenticating Agent may resign with respect to one or more series of Securities at any time by giving written notice thereof to the 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or Tranche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An Authenticating Agent appointed pursuant to this Section shall be entitled to rely on Sections 111, 308, 604 and 605 hereunder.</w:t>
      </w:r>
    </w:p>
    <w:p>
      <w:pPr>
        <w:spacing w:after="0" w:line="166" w:lineRule="exact"/>
        <w:rPr>
          <w:rFonts w:ascii="Arial" w:cs="Arial" w:eastAsia="Arial" w:hAnsi="Arial"/>
          <w:sz w:val="16"/>
          <w:szCs w:val="16"/>
          <w:color w:val="auto"/>
        </w:rPr>
      </w:pPr>
    </w:p>
    <w:p>
      <w:pPr>
        <w:ind w:right="420" w:firstLine="1305"/>
        <w:spacing w:after="0" w:line="308" w:lineRule="auto"/>
        <w:tabs>
          <w:tab w:leader="none" w:pos="195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46" w:lineRule="exact"/>
        <w:rPr>
          <w:rFonts w:ascii="Arial" w:cs="Arial" w:eastAsia="Arial" w:hAnsi="Arial"/>
          <w:sz w:val="17"/>
          <w:szCs w:val="17"/>
          <w:color w:val="auto"/>
        </w:rPr>
      </w:pPr>
    </w:p>
    <w:p>
      <w:pPr>
        <w:ind w:right="60" w:firstLine="1305"/>
        <w:spacing w:after="0" w:line="264" w:lineRule="auto"/>
        <w:tabs>
          <w:tab w:leader="none" w:pos="19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an appointment with respect to the Securities of one or more series, or any Tranche thereof, is made pursuant to this Section, the Securities of such series or Tranche may have endorsed thereon, in addition to the Trustee’s certificate of authentication, an alternate certificate of authentication in the following form: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pursuant to and issued under the within-mentioned Indenture.</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7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As Authenticating Agent on behalf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Authorized Officer of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29159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ind w:firstLine="1305"/>
        <w:spacing w:after="0" w:line="257" w:lineRule="auto"/>
        <w:tabs>
          <w:tab w:leader="none" w:pos="19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all of the Securities of a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and in accordance with such procedures as shall be acceptable to the Trustee, an Authenticating Agent (which, if so requested by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Company, may be an Affiliate of the Company) having an office in a Place of Payment designated by the Company with respect to such series of Securities.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ectPr>
          <w:pgSz w:w="11900" w:h="16838" w:orient="portrait"/>
          <w:cols w:equalWidth="0" w:num="1">
            <w:col w:w="11420"/>
          </w:cols>
          <w:pgMar w:left="240" w:top="341" w:right="239" w:bottom="0" w:gutter="0" w:footer="0" w:header="0"/>
        </w:sectPr>
      </w:pPr>
    </w:p>
    <w:bookmarkStart w:id="73" w:name="page74"/>
    <w:bookmarkEnd w:id="73"/>
    <w:p>
      <w:pPr>
        <w:ind w:left="1300"/>
        <w:spacing w:after="0"/>
        <w:tabs>
          <w:tab w:leader="none" w:pos="26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Company to Furnish Trustee Names and Addresses of Holders</w:t>
      </w:r>
      <w:r>
        <w:rPr>
          <w:rFonts w:ascii="Arial" w:cs="Arial" w:eastAsia="Arial" w:hAnsi="Arial"/>
          <w:sz w:val="16"/>
          <w:szCs w:val="16"/>
          <w:color w:val="auto"/>
        </w:rPr>
        <w:t>. The Company will furnish or cause to be furnished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firstLine="645"/>
        <w:spacing w:after="0" w:line="273" w:lineRule="auto"/>
        <w:tabs>
          <w:tab w:leader="none" w:pos="195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semi-annually, not later than the 15th day after each Regular Record Date for each series of Securities at the time Outstanding or on June 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Securities of such series, including Holders of interests in Global Securities, as of such preceding Regular Record Date or on June 15 or December 15, as the case may be, or, in the case of a series of non-interest bearing Securities, on a date to be determined as contemplated pursuant to Section 301(b), and</w:t>
      </w:r>
    </w:p>
    <w:p>
      <w:pPr>
        <w:spacing w:after="0" w:line="178" w:lineRule="exact"/>
        <w:rPr>
          <w:rFonts w:ascii="Arial" w:cs="Arial" w:eastAsia="Arial" w:hAnsi="Arial"/>
          <w:sz w:val="17"/>
          <w:szCs w:val="17"/>
          <w:color w:val="auto"/>
        </w:rPr>
      </w:pPr>
    </w:p>
    <w:p>
      <w:pPr>
        <w:ind w:left="660" w:right="220" w:firstLine="645"/>
        <w:spacing w:after="0" w:line="277" w:lineRule="auto"/>
        <w:tabs>
          <w:tab w:leader="none" w:pos="19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excluding </w:t>
      </w:r>
      <w:r>
        <w:rPr>
          <w:rFonts w:ascii="Arial" w:cs="Arial" w:eastAsia="Arial" w:hAnsi="Arial"/>
          <w:sz w:val="16"/>
          <w:szCs w:val="16"/>
          <w:color w:val="auto"/>
        </w:rPr>
        <w:t>from any such list names and addresses received by the Trustee in its capacity as Security Registrar for Securities other than Global Securities.</w:t>
      </w:r>
    </w:p>
    <w:p>
      <w:pPr>
        <w:spacing w:after="0" w:line="24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Preservation of Information; Communications to Holders</w:t>
      </w:r>
      <w:r>
        <w:rPr>
          <w:rFonts w:ascii="Arial" w:cs="Arial" w:eastAsia="Arial" w:hAnsi="Arial"/>
          <w:sz w:val="18"/>
          <w:szCs w:val="18"/>
          <w:color w:val="auto"/>
        </w:rPr>
        <w:t>. (a) 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or Paying Agent. The Trustee may destroy any list furnished to it as provided in Section 701 upon receipt of a new list so furnished.</w:t>
      </w:r>
    </w:p>
    <w:p>
      <w:pPr>
        <w:spacing w:after="0" w:line="187" w:lineRule="exact"/>
        <w:rPr>
          <w:sz w:val="20"/>
          <w:szCs w:val="20"/>
          <w:color w:val="auto"/>
        </w:rPr>
      </w:pPr>
    </w:p>
    <w:p>
      <w:pPr>
        <w:ind w:right="40" w:firstLine="1305"/>
        <w:spacing w:after="0" w:line="257" w:lineRule="auto"/>
        <w:tabs>
          <w:tab w:leader="none" w:pos="19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three or more Holders (herein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that such applicants propose to transmit, then the Trustee shall, within five business days after the receipt of such application, at its election, either</w:t>
      </w:r>
    </w:p>
    <w:p>
      <w:pPr>
        <w:spacing w:after="0" w:line="188" w:lineRule="exact"/>
        <w:rPr>
          <w:rFonts w:ascii="Arial" w:cs="Arial" w:eastAsia="Arial" w:hAnsi="Arial"/>
          <w:sz w:val="18"/>
          <w:szCs w:val="18"/>
          <w:color w:val="auto"/>
        </w:rPr>
      </w:pPr>
    </w:p>
    <w:p>
      <w:pPr>
        <w:ind w:left="3280" w:hanging="679"/>
        <w:spacing w:after="0"/>
        <w:tabs>
          <w:tab w:leader="none" w:pos="32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afford such applicants access to the information preserved at the time by the Trustee in accordance with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702(a), or</w:t>
      </w:r>
    </w:p>
    <w:p>
      <w:pPr>
        <w:spacing w:after="0" w:line="210" w:lineRule="exact"/>
        <w:rPr>
          <w:rFonts w:ascii="Arial" w:cs="Arial" w:eastAsia="Arial" w:hAnsi="Arial"/>
          <w:sz w:val="16"/>
          <w:szCs w:val="16"/>
          <w:color w:val="auto"/>
        </w:rPr>
      </w:pPr>
    </w:p>
    <w:p>
      <w:pPr>
        <w:ind w:left="660" w:right="280" w:firstLine="1941"/>
        <w:spacing w:after="0" w:line="264" w:lineRule="auto"/>
        <w:tabs>
          <w:tab w:leader="none" w:pos="328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whose names and addresses appear in the information preserved at the time by the Trustee in accordance with Section 702(a), and as to the approximate cost of mailing to such Holders the form of proxy or other communication, if any, specified in such application.</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the Trustee elects not to afford such applicants access to such information, the Trustee shall, upon the written request of such applicants, mail to each Holder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158" w:lineRule="exact"/>
        <w:rPr>
          <w:sz w:val="20"/>
          <w:szCs w:val="20"/>
          <w:color w:val="auto"/>
        </w:rPr>
      </w:pPr>
    </w:p>
    <w:p>
      <w:pPr>
        <w:jc w:val="both"/>
        <w:ind w:right="20" w:firstLine="1305"/>
        <w:spacing w:after="0" w:line="279" w:lineRule="auto"/>
        <w:tabs>
          <w:tab w:leader="none" w:pos="195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171"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Reports by Trustee</w:t>
      </w:r>
      <w:r>
        <w:rPr>
          <w:rFonts w:ascii="Arial" w:cs="Arial" w:eastAsia="Arial" w:hAnsi="Arial"/>
          <w:sz w:val="16"/>
          <w:szCs w:val="16"/>
          <w:color w:val="auto"/>
        </w:rPr>
        <w:t>. (a) The Trustee shall transmit to Holders such reports concerning the Trustee the Trustee and its actions under this Indenture as may be required pursuant to the Trust Indenture Act at the times and in the manner provided pursuant thereto.</w:t>
      </w:r>
    </w:p>
    <w:p>
      <w:pPr>
        <w:spacing w:after="0" w:line="124" w:lineRule="exact"/>
        <w:rPr>
          <w:sz w:val="20"/>
          <w:szCs w:val="20"/>
          <w:color w:val="auto"/>
        </w:rPr>
      </w:pPr>
    </w:p>
    <w:p>
      <w:pPr>
        <w:ind w:right="20" w:firstLine="1305"/>
        <w:spacing w:after="0" w:line="277" w:lineRule="auto"/>
        <w:tabs>
          <w:tab w:leader="none" w:pos="1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70"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filed by the Trustee with each securities exchange upon which any Securities are listed, with the Commission and with the Company. The Company will notify the Trustee in writing when any Securities are listed on any securities exchange.</w:t>
      </w:r>
    </w:p>
    <w:p>
      <w:pPr>
        <w:spacing w:after="0" w:line="18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Reports by Company</w:t>
      </w:r>
      <w:r>
        <w:rPr>
          <w:rFonts w:ascii="Arial" w:cs="Arial" w:eastAsia="Arial" w:hAnsi="Arial"/>
          <w:sz w:val="16"/>
          <w:szCs w:val="16"/>
          <w:color w:val="auto"/>
        </w:rPr>
        <w:t>. The Company shall:</w:t>
      </w:r>
    </w:p>
    <w:p>
      <w:pPr>
        <w:spacing w:after="0" w:line="225" w:lineRule="exact"/>
        <w:rPr>
          <w:sz w:val="20"/>
          <w:szCs w:val="20"/>
          <w:color w:val="auto"/>
        </w:rPr>
      </w:pPr>
    </w:p>
    <w:p>
      <w:pPr>
        <w:ind w:left="660" w:right="20" w:firstLine="645"/>
        <w:spacing w:after="0" w:line="290" w:lineRule="auto"/>
        <w:tabs>
          <w:tab w:leader="none" w:pos="196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U.S.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that may be required pursuant to Section 13 of the U.S. Securities Exchange Act of 1934 in respect of a security listed and registered on a national securities exchange as may be prescribed from time to time in such rules and regulations; and provided, however, that so long as such filings by the Company are available on the Commission’s Electronic Data Gathering,</w:t>
      </w:r>
    </w:p>
    <w:p>
      <w:pPr>
        <w:sectPr>
          <w:pgSz w:w="11900" w:h="16838" w:orient="portrait"/>
          <w:cols w:equalWidth="0" w:num="1">
            <w:col w:w="11420"/>
          </w:cols>
          <w:pgMar w:left="240" w:top="125" w:right="239" w:bottom="0" w:gutter="0" w:footer="0" w:header="0"/>
        </w:sectPr>
      </w:pPr>
    </w:p>
    <w:bookmarkStart w:id="74" w:name="page75"/>
    <w:bookmarkEnd w:id="74"/>
    <w:p>
      <w:pPr>
        <w:spacing w:after="0" w:line="137"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Analysis and Retrieval System (EDGAR) or any successor system, such filings shall be deemed to have been filed with the Trustee for purposes hereof without any further action required by the Company;</w:t>
      </w:r>
    </w:p>
    <w:p>
      <w:pPr>
        <w:spacing w:after="0" w:line="170" w:lineRule="exact"/>
        <w:rPr>
          <w:sz w:val="20"/>
          <w:szCs w:val="20"/>
          <w:color w:val="auto"/>
        </w:rPr>
      </w:pPr>
    </w:p>
    <w:p>
      <w:pPr>
        <w:ind w:left="660" w:right="40" w:firstLine="645"/>
        <w:spacing w:after="0" w:line="264" w:lineRule="auto"/>
        <w:tabs>
          <w:tab w:leader="none" w:pos="196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by the Commission, such additional information, documents and reports with respect to compliance by the Company with the conditions and covenants of this Indenture as may be required from time to time by such rules and regulations; and</w:t>
      </w:r>
    </w:p>
    <w:p>
      <w:pPr>
        <w:spacing w:after="0" w:line="181" w:lineRule="exact"/>
        <w:rPr>
          <w:rFonts w:ascii="Arial" w:cs="Arial" w:eastAsia="Arial" w:hAnsi="Arial"/>
          <w:sz w:val="18"/>
          <w:szCs w:val="18"/>
          <w:color w:val="auto"/>
        </w:rPr>
      </w:pPr>
    </w:p>
    <w:p>
      <w:pPr>
        <w:ind w:left="660" w:right="60" w:firstLine="645"/>
        <w:spacing w:after="0" w:line="288" w:lineRule="auto"/>
        <w:tabs>
          <w:tab w:leader="none" w:pos="196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transmit by mail to all Holders of Securities, as their names and addresses appear in the Security Register, and to each Holder whose name and address is then preserved on the Trustee’s list pursuant to the first sentence of Section 702(a), within 30 days after the filing thereof with the Trustee, such summaries of any information, documents and reports required to be filed by the Company pursuant to paragraphs (1) and</w:t>
      </w:r>
    </w:p>
    <w:p>
      <w:pPr>
        <w:ind w:left="920" w:hanging="264"/>
        <w:spacing w:after="0"/>
        <w:tabs>
          <w:tab w:leader="none" w:pos="9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of this Section as may be required by rules and regulations prescribed from time to time by the Commission.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9"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Company May Consolidate, Etc. Only on Certain Terms</w:t>
      </w:r>
      <w:r>
        <w:rPr>
          <w:rFonts w:ascii="Arial" w:cs="Arial" w:eastAsia="Arial" w:hAnsi="Arial"/>
          <w:sz w:val="18"/>
          <w:szCs w:val="18"/>
          <w:color w:val="auto"/>
        </w:rPr>
        <w:t>. The Company shall not consolidate with or merge with or into, or convey, transfer or lease all or substantially all of its properties and assets to any Person, unless:</w:t>
      </w:r>
    </w:p>
    <w:p>
      <w:pPr>
        <w:spacing w:after="0" w:line="170" w:lineRule="exact"/>
        <w:rPr>
          <w:sz w:val="20"/>
          <w:szCs w:val="20"/>
          <w:color w:val="auto"/>
        </w:rPr>
      </w:pPr>
    </w:p>
    <w:p>
      <w:pPr>
        <w:ind w:left="660" w:right="80" w:firstLine="645"/>
        <w:spacing w:after="0" w:line="273" w:lineRule="auto"/>
        <w:tabs>
          <w:tab w:leader="none" w:pos="196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either (x) the Company shall be the continuing corporation or the successor corporation or (y) the Person formed by such consolidation or into which the Company is merged or the Person that acquires by conveyance, transfer or lease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178" w:lineRule="exact"/>
        <w:rPr>
          <w:rFonts w:ascii="Arial" w:cs="Arial" w:eastAsia="Arial" w:hAnsi="Arial"/>
          <w:sz w:val="17"/>
          <w:szCs w:val="17"/>
          <w:color w:val="auto"/>
        </w:rPr>
      </w:pPr>
    </w:p>
    <w:p>
      <w:pPr>
        <w:ind w:left="660" w:right="340" w:firstLine="645"/>
        <w:spacing w:after="0" w:line="277" w:lineRule="auto"/>
        <w:tabs>
          <w:tab w:leader="none" w:pos="19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jc w:val="both"/>
        <w:ind w:left="660" w:right="40" w:firstLine="645"/>
        <w:spacing w:after="0" w:line="264" w:lineRule="auto"/>
        <w:tabs>
          <w:tab w:leader="none" w:pos="19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met.</w:t>
      </w:r>
    </w:p>
    <w:p>
      <w:pPr>
        <w:spacing w:after="0" w:line="181"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Successor Substituted for the Company</w:t>
      </w:r>
      <w:r>
        <w:rPr>
          <w:rFonts w:ascii="Arial" w:cs="Arial" w:eastAsia="Arial" w:hAnsi="Arial"/>
          <w:sz w:val="16"/>
          <w:szCs w:val="16"/>
          <w:color w:val="auto"/>
        </w:rPr>
        <w:t>. Upon any consolidation or merger or any conveyance, transfer or lease of all or 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Supplemental Indentures Without Consent of Holders</w:t>
      </w:r>
      <w:r>
        <w:rPr>
          <w:rFonts w:ascii="Arial" w:cs="Arial" w:eastAsia="Arial" w:hAnsi="Arial"/>
          <w:sz w:val="18"/>
          <w:szCs w:val="18"/>
          <w:color w:val="auto"/>
        </w:rPr>
        <w:t>. Without the consent of any Holders, the Company and the Trustee, at any time and from time to time, may enter into one or more indentures supplemental hereto, in form satisfactory to the Trustee, for any of the following purposes:</w:t>
      </w:r>
    </w:p>
    <w:p>
      <w:pPr>
        <w:spacing w:after="0" w:line="181" w:lineRule="exact"/>
        <w:rPr>
          <w:sz w:val="20"/>
          <w:szCs w:val="20"/>
          <w:color w:val="auto"/>
        </w:rPr>
      </w:pPr>
    </w:p>
    <w:p>
      <w:pPr>
        <w:ind w:left="660" w:right="260" w:firstLine="645"/>
        <w:spacing w:after="0" w:line="277" w:lineRule="auto"/>
        <w:tabs>
          <w:tab w:leader="none" w:pos="19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Securities Outstanding hereunder;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7" w:lineRule="auto"/>
        <w:tabs>
          <w:tab w:leader="none" w:pos="19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or to add any new provision to this Indenture, in respect of one or more series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change, elimination or addition (A) shall neither (i) apply to any Security Outstanding on the date of such indenture supplemental hereto nor (ii) modify the rights of the Holder of any such Security Outstanding with respect to such provision in effect prior to the date of such indenture supplemental hereto or (B) shall become effective only when no Security of such series remains Outstanding;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add guarantees or collateral security with respect to the Securities of any series; or</w:t>
      </w:r>
    </w:p>
    <w:p>
      <w:pPr>
        <w:spacing w:after="0" w:line="225" w:lineRule="exact"/>
        <w:rPr>
          <w:rFonts w:ascii="Arial" w:cs="Arial" w:eastAsia="Arial" w:hAnsi="Arial"/>
          <w:sz w:val="18"/>
          <w:szCs w:val="18"/>
          <w:color w:val="auto"/>
        </w:rPr>
      </w:pPr>
    </w:p>
    <w:p>
      <w:pPr>
        <w:ind w:left="660" w:firstLine="645"/>
        <w:spacing w:after="0" w:line="342" w:lineRule="auto"/>
        <w:tabs>
          <w:tab w:leader="none" w:pos="196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establish for the issuance of and establish the form or terms and conditions of Securities of any series or Tranche thereof as permitted by Section 301(b), and to establish the form of any certificates required to be furnished pursuant to the terms of this Indenture or any series</w:t>
      </w:r>
    </w:p>
    <w:p>
      <w:pPr>
        <w:sectPr>
          <w:pgSz w:w="11900" w:h="16975" w:orient="portrait"/>
          <w:cols w:equalWidth="0" w:num="1">
            <w:col w:w="11400"/>
          </w:cols>
          <w:pgMar w:left="240" w:top="125" w:right="259" w:bottom="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of Securities; or</w:t>
      </w:r>
    </w:p>
    <w:p>
      <w:pPr>
        <w:spacing w:after="0" w:line="225" w:lineRule="exact"/>
        <w:rPr>
          <w:sz w:val="20"/>
          <w:szCs w:val="20"/>
          <w:color w:val="auto"/>
        </w:rPr>
      </w:pPr>
    </w:p>
    <w:p>
      <w:pPr>
        <w:ind w:left="1960" w:hanging="655"/>
        <w:spacing w:after="0"/>
        <w:tabs>
          <w:tab w:leader="none" w:pos="19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provide for uncertificated Securities in addition to or in place of all, or any series or Tranche of, certificated Securities; or</w:t>
      </w:r>
    </w:p>
    <w:p>
      <w:pPr>
        <w:spacing w:after="0" w:line="236" w:lineRule="exact"/>
        <w:rPr>
          <w:rFonts w:ascii="Arial" w:cs="Arial" w:eastAsia="Arial" w:hAnsi="Arial"/>
          <w:sz w:val="17"/>
          <w:szCs w:val="17"/>
          <w:color w:val="auto"/>
        </w:rPr>
      </w:pPr>
    </w:p>
    <w:p>
      <w:pPr>
        <w:jc w:val="both"/>
        <w:ind w:left="660" w:right="80" w:firstLine="645"/>
        <w:spacing w:after="0" w:line="286" w:lineRule="auto"/>
        <w:tabs>
          <w:tab w:leader="none" w:pos="196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separate or successor Trustee or co-trustee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65" w:lineRule="exact"/>
        <w:rPr>
          <w:rFonts w:ascii="Arial" w:cs="Arial" w:eastAsia="Arial" w:hAnsi="Arial"/>
          <w:sz w:val="17"/>
          <w:szCs w:val="17"/>
          <w:color w:val="auto"/>
        </w:rPr>
      </w:pPr>
    </w:p>
    <w:p>
      <w:pPr>
        <w:ind w:left="660" w:right="140" w:firstLine="645"/>
        <w:spacing w:after="0" w:line="279" w:lineRule="auto"/>
        <w:tabs>
          <w:tab w:leader="none" w:pos="196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change any place or places where (a) the principal of or premium, if any, or interest, if any, on all or any series of Securities, or any Tranche thereof, shall be payable, (b) all or any series of Securities, or any Tranche thereof, may be surrendered for registration or transfer, (c) all or any series of Securities, or any Tranche thereof, may be surrendered for exchange and (d) notices and demands to or upon the Company in respect of all or any series of Securities, or any Tranche thereof, and this Indenture may be served;</w:t>
      </w:r>
    </w:p>
    <w:p>
      <w:pPr>
        <w:spacing w:after="0" w:line="171" w:lineRule="exact"/>
        <w:rPr>
          <w:rFonts w:ascii="Arial" w:cs="Arial" w:eastAsia="Arial" w:hAnsi="Arial"/>
          <w:sz w:val="17"/>
          <w:szCs w:val="17"/>
          <w:color w:val="auto"/>
        </w:rPr>
      </w:pPr>
    </w:p>
    <w:p>
      <w:pPr>
        <w:ind w:left="660" w:right="100" w:firstLine="645"/>
        <w:spacing w:after="0" w:line="286" w:lineRule="auto"/>
        <w:tabs>
          <w:tab w:leader="none" w:pos="195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supplement any of the provisions of this Indenture to such extent as shall be necessary to permit or facilitate the defeasance and discharge of any series of Securities, or any Tranche thereof, pursuant to Article Four, provided that any such action shall not adversely affect the interests of the Holders of Securities of such series or Tranche or any other series of Securities in any material respect;</w:t>
      </w:r>
    </w:p>
    <w:p>
      <w:pPr>
        <w:spacing w:after="0" w:line="165" w:lineRule="exact"/>
        <w:rPr>
          <w:rFonts w:ascii="Arial" w:cs="Arial" w:eastAsia="Arial" w:hAnsi="Arial"/>
          <w:sz w:val="17"/>
          <w:szCs w:val="17"/>
          <w:color w:val="auto"/>
        </w:rPr>
      </w:pPr>
    </w:p>
    <w:p>
      <w:pPr>
        <w:ind w:left="660" w:right="120" w:firstLine="645"/>
        <w:spacing w:after="0" w:line="259" w:lineRule="auto"/>
        <w:tabs>
          <w:tab w:leader="none" w:pos="19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to cure any ambiguity or to correct or supplement any provision contained herein or in any supplemental indenture that may be defective or inconsistent with any other provision contained herein or in any supplemental indenture or (ii) to conform the terms of any series of Securities, or Tranche thereof, to the description thereof in the prospectus and prospectus supplement (or similar offering document) offering such series of Securities, or Tranche thereof; or</w:t>
      </w:r>
    </w:p>
    <w:p>
      <w:pPr>
        <w:spacing w:after="0" w:line="186" w:lineRule="exact"/>
        <w:rPr>
          <w:rFonts w:ascii="Arial" w:cs="Arial" w:eastAsia="Arial" w:hAnsi="Arial"/>
          <w:sz w:val="18"/>
          <w:szCs w:val="18"/>
          <w:color w:val="auto"/>
        </w:rPr>
      </w:pPr>
    </w:p>
    <w:p>
      <w:pPr>
        <w:ind w:left="660" w:firstLine="645"/>
        <w:spacing w:after="0" w:line="342" w:lineRule="auto"/>
        <w:tabs>
          <w:tab w:leader="none" w:pos="195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to make any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action shall not adversely affect the interests of the Holders of any Securities of any series or Tranche Outstanding on the date of such indenture supplemental hereto.</w:t>
      </w:r>
    </w:p>
    <w:p>
      <w:pPr>
        <w:spacing w:after="0" w:line="124"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Without limiting the generality of the foregoing, if the Trust Indenture Act as in effect at the date of the execution and delivery of this Indenture or at any time thereafter becomes amended and</w:t>
      </w:r>
    </w:p>
    <w:p>
      <w:pPr>
        <w:spacing w:after="0" w:line="170" w:lineRule="exact"/>
        <w:rPr>
          <w:sz w:val="20"/>
          <w:szCs w:val="20"/>
          <w:color w:val="auto"/>
        </w:rPr>
      </w:pPr>
    </w:p>
    <w:p>
      <w:pPr>
        <w:jc w:val="both"/>
        <w:ind w:right="60" w:firstLine="1305"/>
        <w:spacing w:after="0" w:line="279" w:lineRule="auto"/>
        <w:tabs>
          <w:tab w:leader="none" w:pos="19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any such amendment requires one or more changes to any provisions hereof or the inclusion herein of any additional provisions, or by 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171" w:lineRule="exact"/>
        <w:rPr>
          <w:rFonts w:ascii="Arial" w:cs="Arial" w:eastAsia="Arial" w:hAnsi="Arial"/>
          <w:sz w:val="17"/>
          <w:szCs w:val="17"/>
          <w:color w:val="auto"/>
        </w:rPr>
      </w:pPr>
    </w:p>
    <w:p>
      <w:pPr>
        <w:ind w:right="40" w:firstLine="1305"/>
        <w:spacing w:after="0" w:line="264" w:lineRule="auto"/>
        <w:tabs>
          <w:tab w:leader="none" w:pos="19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any such amendment permits one or more changes to, or the elimination of, any provisions hereof that, at the date hereof or at any time thereafter, are required by the Trust Indenture Act to be contained herein (or if it is no longer required by the Trust Indenture Act for the Indenture to contain one or more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170" w:lineRule="exact"/>
        <w:rPr>
          <w:sz w:val="20"/>
          <w:szCs w:val="20"/>
          <w:color w:val="auto"/>
        </w:rPr>
      </w:pPr>
    </w:p>
    <w:p>
      <w:pPr>
        <w:jc w:val="both"/>
        <w:ind w:right="200" w:firstLine="1305"/>
        <w:spacing w:after="0" w:line="286" w:lineRule="auto"/>
        <w:tabs>
          <w:tab w:leader="none" w:pos="195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by reason of any such amendment, it shall be no longer necessary for this Indenture to contain one or more provisions that, at the date 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66"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Supplemental Indentures With Consent of Holders</w:t>
      </w:r>
      <w:r>
        <w:rPr>
          <w:rFonts w:ascii="Arial" w:cs="Arial" w:eastAsia="Arial" w:hAnsi="Arial"/>
          <w:sz w:val="17"/>
          <w:szCs w:val="17"/>
          <w:color w:val="auto"/>
        </w:rPr>
        <w:t xml:space="preserve">. (a) Except as set forth in paragraph (b) below, with the consent of the Holders of not less than a majority in aggregate principal amount of the Outstanding Securities of each series affected (voting as one class) by such supplemental indenture, by Act of said Holders delivered to the Company and the Trustee, the Company, when authorized by a resolution of its Board of Directors (which resolution may provide general terms or parameters for such action and may provide that the specific terms of such action may be determined in accordance with or pursuant to a Company Order),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modifying in any manner the rights of the Holders of Securities of such series under this Indenture;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183" w:lineRule="exact"/>
        <w:rPr>
          <w:sz w:val="20"/>
          <w:szCs w:val="20"/>
          <w:color w:val="auto"/>
        </w:rPr>
      </w:pPr>
    </w:p>
    <w:p>
      <w:pPr>
        <w:ind w:left="1960" w:hanging="655"/>
        <w:spacing w:after="0"/>
        <w:tabs>
          <w:tab w:leader="none" w:pos="19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 such supplemental indenture shall, without the consent of the Holder of each Outstanding Security affected thereby,</w:t>
      </w:r>
    </w:p>
    <w:p>
      <w:pPr>
        <w:spacing w:after="0" w:line="237" w:lineRule="exact"/>
        <w:rPr>
          <w:sz w:val="20"/>
          <w:szCs w:val="20"/>
          <w:color w:val="auto"/>
        </w:rPr>
      </w:pPr>
    </w:p>
    <w:p>
      <w:pPr>
        <w:ind w:left="660" w:right="20" w:firstLine="645"/>
        <w:spacing w:after="0" w:line="253" w:lineRule="auto"/>
        <w:tabs>
          <w:tab w:leader="none" w:pos="19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 modify any provisions of this Indenture with respect to the conversion or exchange of the Securities into Securities of another series or into any other debt or equity securities in a manner adverse to the Holders, or</w:t>
      </w:r>
    </w:p>
    <w:p>
      <w:pPr>
        <w:spacing w:after="0" w:line="197" w:lineRule="exact"/>
        <w:rPr>
          <w:rFonts w:ascii="Arial" w:cs="Arial" w:eastAsia="Arial" w:hAnsi="Arial"/>
          <w:sz w:val="18"/>
          <w:szCs w:val="18"/>
          <w:color w:val="auto"/>
        </w:rPr>
      </w:pPr>
    </w:p>
    <w:p>
      <w:pPr>
        <w:jc w:val="both"/>
        <w:ind w:left="660" w:right="60" w:firstLine="645"/>
        <w:spacing w:after="0" w:line="264" w:lineRule="auto"/>
        <w:tabs>
          <w:tab w:leader="none" w:pos="19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ectPr>
          <w:pgSz w:w="11900" w:h="16838" w:orient="portrait"/>
          <w:cols w:equalWidth="0" w:num="1">
            <w:col w:w="11420"/>
          </w:cols>
          <w:pgMar w:left="240" w:top="125" w:right="239" w:bottom="0" w:gutter="0" w:footer="0" w:header="0"/>
        </w:sectPr>
      </w:pPr>
    </w:p>
    <w:bookmarkStart w:id="76" w:name="page77"/>
    <w:bookmarkEnd w:id="76"/>
    <w:p>
      <w:pPr>
        <w:spacing w:after="0" w:line="114" w:lineRule="exact"/>
        <w:rPr>
          <w:sz w:val="20"/>
          <w:szCs w:val="20"/>
          <w:color w:val="auto"/>
        </w:rPr>
      </w:pPr>
    </w:p>
    <w:p>
      <w:pPr>
        <w:ind w:left="660" w:right="40" w:firstLine="645"/>
        <w:spacing w:after="0" w:line="257" w:lineRule="auto"/>
        <w:tabs>
          <w:tab w:leader="none" w:pos="19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611(b) and 901(8).</w:t>
      </w:r>
    </w:p>
    <w:p>
      <w:pPr>
        <w:spacing w:after="0" w:line="188"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81"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88"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Any supplemental indenture permitted by this Article may restate this Indenture in its entirety, and, upon the execution and delivery thereof, any such restatement shall supersede this Indenture as theretofore in effect for all purposes.</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Reference in Securities to Supplemental Indentures</w:t>
      </w:r>
      <w:r>
        <w:rPr>
          <w:rFonts w:ascii="Arial" w:cs="Arial" w:eastAsia="Arial" w:hAnsi="Arial"/>
          <w:sz w:val="17"/>
          <w:szCs w:val="17"/>
          <w:color w:val="auto"/>
        </w:rPr>
        <w:t>. Securities of any series, or any Tranche thereof, authenticated and 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so modified as to conform, in the opinion of the Trustee and the Company, to any such supplemental indenture may be prepared and executed by the Company and authenticated and delivered by the Trustee in exchange for Outstanding Securities of such series or Tranche.</w:t>
      </w:r>
    </w:p>
    <w:p>
      <w:pPr>
        <w:spacing w:after="0" w:line="173" w:lineRule="exact"/>
        <w:rPr>
          <w:sz w:val="20"/>
          <w:szCs w:val="20"/>
          <w:color w:val="auto"/>
        </w:rPr>
      </w:pPr>
    </w:p>
    <w:p>
      <w:pPr>
        <w:ind w:right="220" w:firstLine="1297"/>
        <w:spacing w:after="0" w:line="293"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Revocation and Effect of Consents</w:t>
      </w:r>
      <w:r>
        <w:rPr>
          <w:rFonts w:ascii="Arial" w:cs="Arial" w:eastAsia="Arial" w:hAnsi="Arial"/>
          <w:sz w:val="16"/>
          <w:szCs w:val="16"/>
          <w:color w:val="auto"/>
        </w:rPr>
        <w:t>. 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on which the Trustee receives an Officer’s Certificate certifying that the Holders of the requisite principal amount of Securities have consented to the amendment or waiver. After an amendment or waiver becomes effective, it shall bind every Holder of each series of Securities affected by such amendment or waiver.</w:t>
      </w:r>
    </w:p>
    <w:p>
      <w:pPr>
        <w:spacing w:after="0" w:line="16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consent to any amendment or waiver. If a record date is fixed, then notwithstanding the provisions of the immediately preceding paragraph, those persons who were Holders at such record date (or their duly designated proxies), and only those persons, shall be entitled to consent to such amendment or waiver or to revoke any consent previously given, whether or not such persons continue to be Holders after such record date.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an amendment or waiver becomes effective it shall bind every Holder, unless it is of the type described in any of clauses (1) through</w:t>
      </w:r>
    </w:p>
    <w:p>
      <w:pPr>
        <w:spacing w:after="0" w:line="46" w:lineRule="exact"/>
        <w:rPr>
          <w:sz w:val="20"/>
          <w:szCs w:val="20"/>
          <w:color w:val="auto"/>
        </w:rPr>
      </w:pPr>
    </w:p>
    <w:p>
      <w:pPr>
        <w:ind w:right="140" w:firstLine="8"/>
        <w:spacing w:after="0" w:line="261" w:lineRule="auto"/>
        <w:tabs>
          <w:tab w:leader="none" w:pos="2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of Section 902(c). In such case, the amendment or waiver shall bind each Holder of a Security who has consented to it and every subsequent Holder of a Security that evidences the same debt as the consenting Holder’s Security.</w:t>
      </w:r>
    </w:p>
    <w:p>
      <w:pPr>
        <w:spacing w:after="0" w:line="184"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Modification Without Supplemental Indenture</w:t>
      </w:r>
      <w:r>
        <w:rPr>
          <w:rFonts w:ascii="Arial" w:cs="Arial" w:eastAsia="Arial" w:hAnsi="Arial"/>
          <w:sz w:val="18"/>
          <w:szCs w:val="18"/>
          <w:color w:val="auto"/>
        </w:rPr>
        <w:t xml:space="preserve">. If the terms of any particular series of Securities have been established in a 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supplemental Board Resolution or Officer’s Certificate shall not be accepted by the Trustee or otherwise be effective unless all conditions set forth in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Payment of Principal, Premium and Interest</w:t>
      </w:r>
      <w:r>
        <w:rPr>
          <w:rFonts w:ascii="Arial" w:cs="Arial" w:eastAsia="Arial" w:hAnsi="Arial"/>
          <w:sz w:val="16"/>
          <w:szCs w:val="16"/>
          <w:color w:val="auto"/>
        </w:rPr>
        <w:t>. (a) Subject to the following provisions, the Company will pay to the Trustee the amounts, in such coin or currency as is at the time legal tender for the payment of public or private debt, in the manner, at the times and for the purposes set forth herein and in the text of the Securities for each series, and the Company hereby authorizes and directs the Trustee from funds so paid to it to</w:t>
      </w:r>
    </w:p>
    <w:p>
      <w:pPr>
        <w:sectPr>
          <w:pgSz w:w="11900" w:h="16952" w:orient="portrait"/>
          <w:cols w:equalWidth="0" w:num="1">
            <w:col w:w="11420"/>
          </w:cols>
          <w:pgMar w:left="240" w:top="125" w:right="239" w:bottom="0" w:gutter="0" w:footer="0" w:header="0"/>
        </w:sectPr>
      </w:pPr>
    </w:p>
    <w:bookmarkStart w:id="77" w:name="page78"/>
    <w:bookmarkEnd w:id="77"/>
    <w:p>
      <w:pPr>
        <w:spacing w:after="0" w:line="312" w:lineRule="auto"/>
        <w:rPr>
          <w:sz w:val="20"/>
          <w:szCs w:val="20"/>
          <w:color w:val="auto"/>
        </w:rPr>
      </w:pPr>
      <w:r>
        <w:rPr>
          <w:rFonts w:ascii="Arial" w:cs="Arial" w:eastAsia="Arial" w:hAnsi="Arial"/>
          <w:sz w:val="16"/>
          <w:szCs w:val="16"/>
          <w:color w:val="auto"/>
        </w:rPr>
        <w:t>make or cause to be made payment of the principal of and any premium and interest on the Securities of each series as set forth herein and in the text of such Securities. Unless otherwise provided in the Securities of a series, the Trustee will arrange directly with any Paying Agents for the payment, or the Trustee will make payment, from funds furnished by the Company, of the principal of and any premium and interest, on the Securities of each series by check or draft.</w:t>
      </w:r>
    </w:p>
    <w:p>
      <w:pPr>
        <w:spacing w:after="0" w:line="147" w:lineRule="exact"/>
        <w:rPr>
          <w:sz w:val="20"/>
          <w:szCs w:val="20"/>
          <w:color w:val="auto"/>
        </w:rPr>
      </w:pPr>
    </w:p>
    <w:p>
      <w:pPr>
        <w:ind w:right="20" w:firstLine="1305"/>
        <w:spacing w:after="0" w:line="255" w:lineRule="auto"/>
        <w:tabs>
          <w:tab w:leader="none" w:pos="19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Unless otherwise provided in the Securities of a series, interest, if any, on Securities of a series shall be paid by check or draft on each Interest Payment Date for such series to the Holder thereof at the close of business on the Regular Record Date specified in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interest payable at Maturity will be paid to the Person to whom principal is payable. The Company may pay such interest by check or</w:t>
      </w:r>
      <w:r>
        <w:rPr>
          <w:rFonts w:ascii="Arial" w:cs="Arial" w:eastAsia="Arial" w:hAnsi="Arial"/>
          <w:sz w:val="18"/>
          <w:szCs w:val="18"/>
          <w:i w:val="1"/>
          <w:iCs w:val="1"/>
          <w:color w:val="auto"/>
        </w:rPr>
        <w:t xml:space="preserve"> </w:t>
      </w:r>
      <w:r>
        <w:rPr>
          <w:rFonts w:ascii="Arial" w:cs="Arial" w:eastAsia="Arial" w:hAnsi="Arial"/>
          <w:sz w:val="18"/>
          <w:szCs w:val="18"/>
          <w:color w:val="auto"/>
        </w:rPr>
        <w:t>draft mailed to such Holder’s address as it appears on the register for Securities of such series. Unless otherwise provided in the Securities of a series, principal of Securities shall be payable by check or draft and only against presentation and surrender of such Securities at the office of the Paying Agent, unless the Company shall have otherwise instructed the Trustee in writing.</w:t>
      </w:r>
    </w:p>
    <w:p>
      <w:pPr>
        <w:spacing w:after="0" w:line="193" w:lineRule="exact"/>
        <w:rPr>
          <w:rFonts w:ascii="Arial" w:cs="Arial" w:eastAsia="Arial" w:hAnsi="Arial"/>
          <w:sz w:val="18"/>
          <w:szCs w:val="18"/>
          <w:color w:val="auto"/>
        </w:rPr>
      </w:pPr>
    </w:p>
    <w:p>
      <w:pPr>
        <w:ind w:right="260" w:firstLine="1305"/>
        <w:spacing w:after="0" w:line="277"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the election of the Company, any payments by the Company provided for in this Indenture or in any of the Securities may be made by electronic funds transfer.</w:t>
      </w:r>
    </w:p>
    <w:p>
      <w:pPr>
        <w:spacing w:after="0" w:line="170"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(a) The Company will maintain in each Place of Payment for any series of Securities, or any Tranche thereof, an office or agency where Securities, or any Tranche thereof, of that series may be surrendered for registration of transfer or exchange and a Place of Payment where (subject to Sections 305 and 307) Securities may be presented for payment or exchange and where notices and demands to or upon the Company in respect of the Securities of that series and this Indenture may be served. Unless otherwise specified pursuant to Section 301(b) with respect to any such series, the Company shall maintain such offices or agencies in connection with each series in the Borough of Manhattan, The City of New York, State of New York. The Security Registrar shall keep a register with respect to each series of Securities and to their transfer and exchange. The Company may appoint one or more co-Security Registrars acceptable to the Trustee and one or more additional Paying Agents for each series of Securities, and the Company may terminate the appointment of any co-Security Registrar or Paying Agent at any time upon written notice. The term “Security Registrar” includes any co-Security Registrar. The term “Paying Agent” includes any additional Paying Agent. The Company shall notify the Trustee of the name and address of any Agent not a party to this Indenture. Subject to Section 305, if the Company fails to maintain a Security Registrar or Paying Agent, the Trustee shall act as such.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72" w:lineRule="exact"/>
        <w:rPr>
          <w:sz w:val="20"/>
          <w:szCs w:val="20"/>
          <w:color w:val="auto"/>
        </w:rPr>
      </w:pPr>
    </w:p>
    <w:p>
      <w:pPr>
        <w:jc w:val="both"/>
        <w:ind w:right="320" w:firstLine="1305"/>
        <w:spacing w:after="0" w:line="312" w:lineRule="auto"/>
        <w:tabs>
          <w:tab w:leader="none" w:pos="195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each Place of Payment for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Securities of any series for such purposes. The Company will give prompt written notice to the Trustee of any such designation or rescission and of any change in the location of any such other office or agency.</w:t>
      </w:r>
    </w:p>
    <w:p>
      <w:pPr>
        <w:spacing w:after="0" w:line="170" w:lineRule="exact"/>
        <w:rPr>
          <w:sz w:val="20"/>
          <w:szCs w:val="20"/>
          <w:color w:val="auto"/>
        </w:rPr>
      </w:pPr>
    </w:p>
    <w:p>
      <w:pPr>
        <w:ind w:right="120" w:firstLine="1305"/>
        <w:spacing w:after="0" w:line="277" w:lineRule="auto"/>
        <w:tabs>
          <w:tab w:leader="none" w:pos="19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Anything herein to the contrary notwithstanding, any office or agency required by this Section may be maintained at any office of the Company in which event the Company shall perform all functions to be performed at such office or agency.</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Money for Securities Payments to Be Held in Trust</w:t>
      </w:r>
      <w:r>
        <w:rPr>
          <w:rFonts w:ascii="Arial" w:cs="Arial" w:eastAsia="Arial" w:hAnsi="Arial"/>
          <w:sz w:val="18"/>
          <w:szCs w:val="18"/>
          <w:color w:val="auto"/>
        </w:rPr>
        <w:t>. (a) If the Company at any time acts as its own Paying Agent with respect to any series of Securities, or any Tranche thereof, it will, on or before each due date of the principal of or any premium or interest on any of such Securities,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188" w:lineRule="exact"/>
        <w:rPr>
          <w:sz w:val="20"/>
          <w:szCs w:val="20"/>
          <w:color w:val="auto"/>
        </w:rPr>
      </w:pPr>
    </w:p>
    <w:p>
      <w:pPr>
        <w:ind w:right="80" w:firstLine="1305"/>
        <w:spacing w:after="0" w:line="276" w:lineRule="auto"/>
        <w:tabs>
          <w:tab w:leader="none" w:pos="195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Whenever the Company has one or more Paying Agents for any series of Securities, it will, on or prior to (and if on, then before 11:00 a.m. (New York City time)) each due date of the principal of and any premium or interest on such Securities, deposit with a Paying Agent a sum sufficient (in immediately available funds, if payment is made on the due date)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172" w:lineRule="exact"/>
        <w:rPr>
          <w:rFonts w:ascii="Arial" w:cs="Arial" w:eastAsia="Arial" w:hAnsi="Arial"/>
          <w:sz w:val="17"/>
          <w:szCs w:val="17"/>
          <w:color w:val="auto"/>
        </w:rPr>
      </w:pPr>
    </w:p>
    <w:p>
      <w:pPr>
        <w:ind w:right="80" w:firstLine="1305"/>
        <w:spacing w:after="0" w:line="264" w:lineRule="auto"/>
        <w:tabs>
          <w:tab w:leader="none" w:pos="19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will cause each Paying Agent for any series of Securities, or any Tranche thereof, other than the Trustee, to execute and deliver to the Trustee an instrument in which such Paying Agent shall agree with the Trustee, subject to the provisions of this Section, that such Paying Agent will:</w:t>
      </w:r>
    </w:p>
    <w:p>
      <w:pPr>
        <w:spacing w:after="0" w:line="181" w:lineRule="exact"/>
        <w:rPr>
          <w:sz w:val="20"/>
          <w:szCs w:val="20"/>
          <w:color w:val="auto"/>
        </w:rPr>
      </w:pPr>
    </w:p>
    <w:p>
      <w:pPr>
        <w:ind w:left="1980" w:hanging="675"/>
        <w:spacing w:after="0"/>
        <w:tabs>
          <w:tab w:leader="none" w:pos="1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comply with the provisions of the Trust Indenture Act applicable to it as a Paying Agent and</w:t>
      </w:r>
    </w:p>
    <w:p>
      <w:pPr>
        <w:spacing w:after="0" w:line="225" w:lineRule="exact"/>
        <w:rPr>
          <w:rFonts w:ascii="Arial" w:cs="Arial" w:eastAsia="Arial" w:hAnsi="Arial"/>
          <w:sz w:val="18"/>
          <w:szCs w:val="18"/>
          <w:color w:val="auto"/>
        </w:rPr>
      </w:pPr>
    </w:p>
    <w:p>
      <w:pPr>
        <w:ind w:left="660" w:right="180" w:firstLine="645"/>
        <w:spacing w:after="0" w:line="264" w:lineRule="auto"/>
        <w:tabs>
          <w:tab w:leader="none" w:pos="198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81" w:lineRule="exact"/>
        <w:rPr>
          <w:sz w:val="20"/>
          <w:szCs w:val="20"/>
          <w:color w:val="auto"/>
        </w:rPr>
      </w:pPr>
    </w:p>
    <w:p>
      <w:pPr>
        <w:ind w:right="40" w:firstLine="1305"/>
        <w:spacing w:after="0" w:line="279" w:lineRule="auto"/>
        <w:tabs>
          <w:tab w:leader="none" w:pos="195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rFonts w:ascii="Arial" w:cs="Arial" w:eastAsia="Arial" w:hAnsi="Arial"/>
          <w:sz w:val="17"/>
          <w:szCs w:val="17"/>
          <w:color w:val="auto"/>
        </w:rPr>
      </w:pPr>
    </w:p>
    <w:p>
      <w:pPr>
        <w:ind w:firstLine="1305"/>
        <w:spacing w:after="0" w:line="297" w:lineRule="auto"/>
        <w:tabs>
          <w:tab w:leader="none" w:pos="195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money deposited with the Trustee or any Paying Agent, or received by the Trustee in respect of Eligible Obligations deposited with the Trustee pursuant to Section 401 or 404,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w:t>
      </w:r>
    </w:p>
    <w:p>
      <w:pPr>
        <w:sectPr>
          <w:pgSz w:w="11900" w:h="16838" w:orient="portrait"/>
          <w:cols w:equalWidth="0" w:num="1">
            <w:col w:w="11420"/>
          </w:cols>
          <w:pgMar w:left="240" w:top="125" w:right="239" w:bottom="0" w:gutter="0" w:footer="0" w:header="0"/>
        </w:sectPr>
      </w:pPr>
    </w:p>
    <w:bookmarkStart w:id="78" w:name="page79"/>
    <w:bookmarkEnd w:id="78"/>
    <w:p>
      <w:pPr>
        <w:ind w:right="480"/>
        <w:spacing w:after="0" w:line="277" w:lineRule="auto"/>
        <w:rPr>
          <w:sz w:val="20"/>
          <w:szCs w:val="20"/>
          <w:color w:val="auto"/>
        </w:rPr>
      </w:pPr>
      <w:r>
        <w:rPr>
          <w:rFonts w:ascii="Arial" w:cs="Arial" w:eastAsia="Arial" w:hAnsi="Arial"/>
          <w:sz w:val="18"/>
          <w:szCs w:val="18"/>
          <w:color w:val="auto"/>
        </w:rPr>
        <w:t>Company for payment thereof, and all liability of the Trustee or such Paying Agent with respect to such trust money, and all liability of the Company as trustee thereof, shall thereupon cease.</w:t>
      </w:r>
    </w:p>
    <w:p>
      <w:pPr>
        <w:spacing w:after="0" w:line="170" w:lineRule="exact"/>
        <w:rPr>
          <w:sz w:val="20"/>
          <w:szCs w:val="20"/>
          <w:color w:val="auto"/>
        </w:rPr>
      </w:pPr>
    </w:p>
    <w:p>
      <w:pPr>
        <w:ind w:right="200" w:firstLine="1297"/>
        <w:spacing w:after="0" w:line="286"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i w:val="1"/>
          <w:iCs w:val="1"/>
          <w:color w:val="auto"/>
        </w:rPr>
        <w:t>Statement as to Compliance</w:t>
      </w:r>
      <w:r>
        <w:rPr>
          <w:rFonts w:ascii="Arial" w:cs="Arial" w:eastAsia="Arial" w:hAnsi="Arial"/>
          <w:sz w:val="17"/>
          <w:szCs w:val="17"/>
          <w:color w:val="auto"/>
        </w:rPr>
        <w:t>. The Company will deliver to the Trustee, within 120 days after the end of each fiscal year of the Company ending after the date hereof, a written statement, which need not comply with Section 102, signed by the principal executive officer, the principal financial officer or the principal accounting officer of the Company stating, as to each signer thereof stating whether or not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knowledge of the signers thereof it is in default in the performance and observance of any of the terms, provisions, and conditions of this Indenture (without regard to any period of grace or requirement of notice provided hereunder) and, if it is in default, specifying all such defaults and the nature and status thereof of which they may have knowledge.</w:t>
      </w:r>
    </w:p>
    <w:p>
      <w:pPr>
        <w:spacing w:after="0" w:line="18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Corporate 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rights (charter and statutory) and franchises;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preserve any such right or franchise if, in the judgment of the Company, the preservation thereof is no longer desirable in the conduct of the business of the Company.</w:t>
      </w:r>
    </w:p>
    <w:p>
      <w:pPr>
        <w:spacing w:after="0" w:line="18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Waiver of Certain Covenants</w:t>
      </w:r>
      <w:r>
        <w:rPr>
          <w:rFonts w:ascii="Arial" w:cs="Arial" w:eastAsia="Arial" w:hAnsi="Arial"/>
          <w:sz w:val="16"/>
          <w:szCs w:val="16"/>
          <w:color w:val="auto"/>
        </w:rPr>
        <w:t>. Except as otherwise specified as contemplated by Section 301 for Securities of such series, the Company may, with respect to the Securities of any series, omit in any particular instance to comply with any term, provision or condition set forth in</w:t>
      </w:r>
    </w:p>
    <w:p>
      <w:pPr>
        <w:ind w:right="60" w:firstLine="8"/>
        <w:spacing w:after="0" w:line="287" w:lineRule="auto"/>
        <w:tabs>
          <w:tab w:leader="none" w:pos="21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additional covenants or restrictions specified with respect to the Securities of any series as contemplated by Section 301 if before the time for such compliance the Holders of not less than a majority in aggregate principal amount (or such larger proportion as may be required in respect of waiving a past default of any such additional covenant or restriction) of the Outstanding Securities of all series of equal ranking with respect to which such covenant or restriction was so specified, considered as one class, by Act of such Holders, either waive such compliance in such instance or generally waive compliance with such term, provision or condition and (ii) Sections 1002 and 1004 and Article Eight if before the time for such compliance the Holders of at least a majority in principal amount of Securities of all series of equal ranking Outstanding under this Indenture by Act of such Holders, either waive such compliance in such instance or generally waive compliance with such term, provision or condition; but, in the case of clause (i) or (ii) of this Section,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Applicability of Article</w:t>
      </w:r>
      <w:r>
        <w:rPr>
          <w:rFonts w:ascii="Arial" w:cs="Arial" w:eastAsia="Arial" w:hAnsi="Arial"/>
          <w:sz w:val="16"/>
          <w:szCs w:val="16"/>
          <w:color w:val="auto"/>
        </w:rPr>
        <w:t>. Securities of any series that are redeemable before their Stated Maturity (or, if the principal of the Securities of any series is payable in installments, the Stated Maturity of the final installment of the principal thereof) shall be redeemable in accordance with their terms and (except as otherwise specified as contemplated by Section 301(b) for Securities of any series) in accordance with this Article.</w:t>
      </w:r>
    </w:p>
    <w:p>
      <w:pPr>
        <w:spacing w:after="0" w:line="147"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Election to Redeem; Notice to Trustee</w:t>
      </w:r>
      <w:r>
        <w:rPr>
          <w:rFonts w:ascii="Arial" w:cs="Arial" w:eastAsia="Arial" w:hAnsi="Arial"/>
          <w:sz w:val="17"/>
          <w:szCs w:val="17"/>
          <w:color w:val="auto"/>
        </w:rPr>
        <w:t>. The election of the Company to redeem any Securities shall be evidenced by a Board Resolution or an Officer’s Certificate. In case of any redemption at the election of the Company of less than all the Securities of any series, the Company shall, at least 45 days prior to the Redemption Date fixed by the Company (unless a shorter notice is satisfactory to the Trustee in its sole discretion),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w:t>
      </w:r>
    </w:p>
    <w:p>
      <w:pPr>
        <w:spacing w:after="0" w:line="17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Selection by Trustee of Securities to Be Redeemed</w:t>
      </w:r>
      <w:r>
        <w:rPr>
          <w:rFonts w:ascii="Arial" w:cs="Arial" w:eastAsia="Arial" w:hAnsi="Arial"/>
          <w:sz w:val="17"/>
          <w:szCs w:val="17"/>
          <w:color w:val="auto"/>
        </w:rPr>
        <w:t>. If less than all the Securities of any series are to be redeemed, unless the procedures of the Depositary provide otherwise, the particular Securities to be redeemed shall be selected by the Trustee, from the Outstanding Securities of such series not previously called for redemption, by such method as is provided for any particular series, or, in the absence of any such provision, pro rata, by lot, or by such method as the Trustee deems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i w:val="1"/>
          <w:iCs w:val="1"/>
          <w:color w:val="auto"/>
        </w:rPr>
        <w:t>Notice of Redemption</w:t>
      </w:r>
      <w:r>
        <w:rPr>
          <w:rFonts w:ascii="Arial" w:cs="Arial" w:eastAsia="Arial" w:hAnsi="Arial"/>
          <w:sz w:val="17"/>
          <w:szCs w:val="17"/>
          <w:color w:val="auto"/>
        </w:rPr>
        <w:t>. Unless otherwise specified as contemplated by Section 301 with respect to any series of Securities, notice of redemption shall be given by electronic transmission or first-class mail, postage prepaid, mailed not less than 30 nor more than 60 days prior to the Redemption Date, to each Holder of Securities to be redeemed, at such Holder’s address appearing in the Security Register.</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960" w:hanging="655"/>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Redemption Date,</w:t>
      </w:r>
    </w:p>
    <w:p>
      <w:pPr>
        <w:sectPr>
          <w:pgSz w:w="11900" w:h="16838" w:orient="portrait"/>
          <w:cols w:equalWidth="0" w:num="1">
            <w:col w:w="11420"/>
          </w:cols>
          <w:pgMar w:left="240" w:top="125" w:right="239" w:bottom="32" w:gutter="0" w:footer="0" w:header="0"/>
        </w:sectPr>
      </w:pPr>
    </w:p>
    <w:bookmarkStart w:id="79" w:name="page80"/>
    <w:bookmarkEnd w:id="79"/>
    <w:p>
      <w:pPr>
        <w:ind w:left="660" w:right="140" w:firstLine="645"/>
        <w:spacing w:after="0" w:line="277" w:lineRule="auto"/>
        <w:tabs>
          <w:tab w:leader="none" w:pos="19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Redemption Price, or the formula pursuant to which the Redemption Price is to be determined if the Redemption Price cannot be determined at the time notice is given,</w:t>
      </w:r>
    </w:p>
    <w:p>
      <w:pPr>
        <w:spacing w:after="0" w:line="170" w:lineRule="exact"/>
        <w:rPr>
          <w:rFonts w:ascii="Arial" w:cs="Arial" w:eastAsia="Arial" w:hAnsi="Arial"/>
          <w:sz w:val="18"/>
          <w:szCs w:val="18"/>
          <w:color w:val="auto"/>
        </w:rPr>
      </w:pPr>
    </w:p>
    <w:p>
      <w:pPr>
        <w:ind w:left="660" w:firstLine="645"/>
        <w:spacing w:after="0" w:line="257" w:lineRule="auto"/>
        <w:tabs>
          <w:tab w:leader="none" w:pos="19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188"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place or places where such Securities are to be surrendered for payment of the Redemption Price and accrued interest, if any,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CUSIP, “ISIN” or similar number(s), if any, assigned to such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notice may state that no representation is made as to the correctness of CUSIP, “ISIN” or similar number(s), and the redemption of such Securities shall not be affected by any defect in or omission of such number(s),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other matters as the Company shall deem desirable or appropriate.</w:t>
      </w:r>
    </w:p>
    <w:p>
      <w:pPr>
        <w:spacing w:after="0" w:line="225" w:lineRule="exact"/>
        <w:rPr>
          <w:sz w:val="20"/>
          <w:szCs w:val="20"/>
          <w:color w:val="auto"/>
        </w:rPr>
      </w:pPr>
    </w:p>
    <w:p>
      <w:pPr>
        <w:ind w:right="520" w:firstLine="1297"/>
        <w:spacing w:after="0" w:line="291" w:lineRule="auto"/>
        <w:rPr>
          <w:sz w:val="20"/>
          <w:szCs w:val="20"/>
          <w:color w:val="auto"/>
        </w:rPr>
      </w:pPr>
      <w:r>
        <w:rPr>
          <w:rFonts w:ascii="Arial" w:cs="Arial" w:eastAsia="Arial" w:hAnsi="Arial"/>
          <w:sz w:val="16"/>
          <w:szCs w:val="16"/>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w:t>
      </w:r>
    </w:p>
    <w:p>
      <w:pPr>
        <w:spacing w:after="0" w:line="269" w:lineRule="auto"/>
        <w:rPr>
          <w:sz w:val="20"/>
          <w:szCs w:val="20"/>
          <w:color w:val="auto"/>
        </w:rPr>
      </w:pPr>
      <w:r>
        <w:rPr>
          <w:rFonts w:ascii="Arial" w:cs="Arial" w:eastAsia="Arial" w:hAnsi="Arial"/>
          <w:sz w:val="17"/>
          <w:szCs w:val="17"/>
          <w:color w:val="auto"/>
        </w:rPr>
        <w:t>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1297"/>
        <w:spacing w:after="0" w:line="312" w:lineRule="auto"/>
        <w:rPr>
          <w:sz w:val="20"/>
          <w:szCs w:val="20"/>
          <w:color w:val="auto"/>
        </w:rPr>
      </w:pPr>
      <w:r>
        <w:rPr>
          <w:rFonts w:ascii="Arial" w:cs="Arial" w:eastAsia="Arial" w:hAnsi="Arial"/>
          <w:sz w:val="16"/>
          <w:szCs w:val="16"/>
          <w:color w:val="auto"/>
        </w:rPr>
        <w:t>Notice of redemption of Securities to be redeemed at the election of the Company, and any notice of non-satisfaction of a condition for redemption as aforesaid, shall be given by the Company or, at the Company’s request, by the Security Registrar in the name and at the expense of the Company. Notice of mandatory redemption of Securities shall be given by the Security Registrar in the name and at the expense of the Company.</w:t>
      </w:r>
    </w:p>
    <w:p>
      <w:pPr>
        <w:spacing w:after="0" w:line="147"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i w:val="1"/>
          <w:iCs w:val="1"/>
          <w:color w:val="auto"/>
        </w:rPr>
        <w:t>Securities Payable on Redemption Date</w:t>
      </w:r>
      <w:r>
        <w:rPr>
          <w:rFonts w:ascii="Arial" w:cs="Arial" w:eastAsia="Arial" w:hAnsi="Arial"/>
          <w:sz w:val="17"/>
          <w:szCs w:val="17"/>
          <w:color w:val="auto"/>
        </w:rPr>
        <w:t xml:space="preserve">. (a) Notice of redemption having been given as aforesaid, and the conditions, if 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for redemption in accordance with said notice, such Security or portion thereof, if any, shall be paid by the Company at the Redemption Price, together with accrued interest, if any, to the Redemption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installments of interest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79" w:lineRule="exact"/>
        <w:rPr>
          <w:sz w:val="20"/>
          <w:szCs w:val="20"/>
          <w:color w:val="auto"/>
        </w:rPr>
      </w:pPr>
    </w:p>
    <w:p>
      <w:pPr>
        <w:ind w:right="260" w:firstLine="1305"/>
        <w:spacing w:after="0" w:line="277" w:lineRule="auto"/>
        <w:tabs>
          <w:tab w:leader="none" w:pos="19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Securities Redeemed in Part</w:t>
      </w:r>
      <w:r>
        <w:rPr>
          <w:rFonts w:ascii="Arial" w:cs="Arial" w:eastAsia="Arial" w:hAnsi="Arial"/>
          <w:sz w:val="18"/>
          <w:szCs w:val="18"/>
          <w:color w:val="auto"/>
        </w:rPr>
        <w:t>. Any physical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OF SECURITIES AT OPTION OF HOLDERS</w:t>
      </w:r>
    </w:p>
    <w:p>
      <w:pPr>
        <w:spacing w:after="0" w:line="229"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Securities of any series that are repayable before their Stated Maturity at the option of the Holders shall be repayable in accordance with their terms and (except as otherwise specified as contemplated by Section 301 for Securities of any series) in accordance with this Article.</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Notice of Repayment Date</w:t>
      </w:r>
      <w:r>
        <w:rPr>
          <w:rFonts w:ascii="Arial" w:cs="Arial" w:eastAsia="Arial" w:hAnsi="Arial"/>
          <w:sz w:val="18"/>
          <w:szCs w:val="18"/>
          <w:color w:val="auto"/>
        </w:rPr>
        <w:t>. Notice of any Repayment Date with respect to Securities of any series shall be given by the 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as to the Repayment Date shall state (unless otherwise specified for such repayment or repurchase pursuant to Section 301):</w:t>
      </w:r>
    </w:p>
    <w:p>
      <w:pPr>
        <w:spacing w:after="0" w:line="237" w:lineRule="exact"/>
        <w:rPr>
          <w:sz w:val="20"/>
          <w:szCs w:val="20"/>
          <w:color w:val="auto"/>
        </w:rPr>
      </w:pPr>
    </w:p>
    <w:p>
      <w:pPr>
        <w:ind w:left="1960" w:hanging="655"/>
        <w:spacing w:after="0"/>
        <w:tabs>
          <w:tab w:leader="none" w:pos="1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Repayment Date;</w:t>
      </w:r>
    </w:p>
    <w:p>
      <w:pPr>
        <w:sectPr>
          <w:pgSz w:w="11900" w:h="16838" w:orient="portrait"/>
          <w:cols w:equalWidth="0" w:num="1">
            <w:col w:w="11420"/>
          </w:cols>
          <w:pgMar w:left="240" w:top="125" w:right="239" w:bottom="0" w:gutter="0" w:footer="0" w:header="0"/>
        </w:sectPr>
      </w:pPr>
    </w:p>
    <w:bookmarkStart w:id="80" w:name="page81"/>
    <w:bookmarkEnd w:id="80"/>
    <w:p>
      <w:pPr>
        <w:ind w:left="660" w:right="280" w:firstLine="645"/>
        <w:spacing w:after="0" w:line="308" w:lineRule="auto"/>
        <w:tabs>
          <w:tab w:leader="none" w:pos="196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146" w:lineRule="exact"/>
        <w:rPr>
          <w:rFonts w:ascii="Arial" w:cs="Arial" w:eastAsia="Arial" w:hAnsi="Arial"/>
          <w:sz w:val="17"/>
          <w:szCs w:val="17"/>
          <w:color w:val="auto"/>
        </w:rPr>
      </w:pPr>
    </w:p>
    <w:p>
      <w:pPr>
        <w:ind w:left="660" w:right="220" w:firstLine="645"/>
        <w:spacing w:after="0" w:line="277" w:lineRule="auto"/>
        <w:tabs>
          <w:tab w:leader="none" w:pos="19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Repayment Price, and accrued interest, if any, and the date by which Securities must be so surrendered in order to be repaid or repurchased;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any Security not tendered or accepted for payment shall continue to accrue interest;</w:t>
      </w:r>
    </w:p>
    <w:p>
      <w:pPr>
        <w:spacing w:after="0" w:line="225" w:lineRule="exact"/>
        <w:rPr>
          <w:rFonts w:ascii="Arial" w:cs="Arial" w:eastAsia="Arial" w:hAnsi="Arial"/>
          <w:sz w:val="18"/>
          <w:szCs w:val="18"/>
          <w:color w:val="auto"/>
        </w:rPr>
      </w:pPr>
    </w:p>
    <w:p>
      <w:pPr>
        <w:ind w:left="660" w:right="180" w:firstLine="645"/>
        <w:spacing w:after="0" w:line="264" w:lineRule="auto"/>
        <w:tabs>
          <w:tab w:leader="none" w:pos="1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or the Paying Agent is prohibited from paying such money to the Holders on that date pursuant to the terms of this Indenture, Securities accepted for payment pursuant to any such offer of repayment or repurchase shall cease to accrue interest after the Repayment Date;</w:t>
      </w:r>
    </w:p>
    <w:p>
      <w:pPr>
        <w:spacing w:after="0" w:line="181"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Holders electing to have a Security repaid or purchased pursuant to such offer may elect to have all or any portion of such Security purchased;</w:t>
      </w:r>
    </w:p>
    <w:p>
      <w:pPr>
        <w:spacing w:after="0" w:line="170" w:lineRule="exact"/>
        <w:rPr>
          <w:rFonts w:ascii="Arial" w:cs="Arial" w:eastAsia="Arial" w:hAnsi="Arial"/>
          <w:sz w:val="18"/>
          <w:szCs w:val="18"/>
          <w:color w:val="auto"/>
        </w:rPr>
      </w:pPr>
    </w:p>
    <w:p>
      <w:pPr>
        <w:ind w:left="660" w:right="280" w:firstLine="645"/>
        <w:spacing w:after="0" w:line="312" w:lineRule="auto"/>
        <w:tabs>
          <w:tab w:leader="none" w:pos="196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that Holders electing to have a Security repaid or repurchased pursuant to any such offer shall be required to surrender the Security, with 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146" w:lineRule="exact"/>
        <w:rPr>
          <w:rFonts w:ascii="Arial" w:cs="Arial" w:eastAsia="Arial" w:hAnsi="Arial"/>
          <w:sz w:val="16"/>
          <w:szCs w:val="16"/>
          <w:color w:val="auto"/>
        </w:rPr>
      </w:pPr>
    </w:p>
    <w:p>
      <w:pPr>
        <w:ind w:left="660" w:right="40" w:firstLine="645"/>
        <w:spacing w:after="0" w:line="259" w:lineRule="auto"/>
        <w:tabs>
          <w:tab w:leader="none" w:pos="1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Holders shall be entitled to withdraw their election if the Company or the Paying Agent, as the case may be, receives, not later than 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186" w:lineRule="exact"/>
        <w:rPr>
          <w:rFonts w:ascii="Arial" w:cs="Arial" w:eastAsia="Arial" w:hAnsi="Arial"/>
          <w:sz w:val="18"/>
          <w:szCs w:val="18"/>
          <w:color w:val="auto"/>
        </w:rPr>
      </w:pPr>
    </w:p>
    <w:p>
      <w:pPr>
        <w:ind w:left="660" w:right="480" w:firstLine="645"/>
        <w:spacing w:after="0" w:line="264" w:lineRule="auto"/>
        <w:tabs>
          <w:tab w:leader="none" w:pos="1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in the case of a repayment or repurchase of less than all Outstanding Securities of a series, the method of selection of Securities to be repaid or repurchased to be applied by the Trustee if the principal amount of properly tendered Securities exceeds the principal amount of the Securities to be repaid or repurchased;</w:t>
      </w:r>
    </w:p>
    <w:p>
      <w:pPr>
        <w:spacing w:after="0" w:line="181" w:lineRule="exact"/>
        <w:rPr>
          <w:rFonts w:ascii="Arial" w:cs="Arial" w:eastAsia="Arial" w:hAnsi="Arial"/>
          <w:sz w:val="18"/>
          <w:szCs w:val="18"/>
          <w:color w:val="auto"/>
        </w:rPr>
      </w:pPr>
    </w:p>
    <w:p>
      <w:pPr>
        <w:ind w:left="660" w:right="580" w:firstLine="645"/>
        <w:spacing w:after="0" w:line="277" w:lineRule="auto"/>
        <w:tabs>
          <w:tab w:leader="none" w:pos="19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170" w:lineRule="exact"/>
        <w:rPr>
          <w:rFonts w:ascii="Arial" w:cs="Arial" w:eastAsia="Arial" w:hAnsi="Arial"/>
          <w:sz w:val="18"/>
          <w:szCs w:val="18"/>
          <w:color w:val="auto"/>
        </w:rPr>
      </w:pPr>
    </w:p>
    <w:p>
      <w:pPr>
        <w:ind w:left="660" w:right="100" w:firstLine="645"/>
        <w:spacing w:after="0" w:line="308" w:lineRule="auto"/>
        <w:tabs>
          <w:tab w:leader="none" w:pos="1953"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147"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Securities Payable on Repayment Date</w:t>
      </w:r>
      <w:r>
        <w:rPr>
          <w:rFonts w:ascii="Arial" w:cs="Arial" w:eastAsia="Arial" w:hAnsi="Arial"/>
          <w:sz w:val="17"/>
          <w:szCs w:val="17"/>
          <w:color w:val="auto"/>
        </w:rPr>
        <w:t xml:space="preserve">. The form of option to elect repurchase or repayment having been delivered as specified in the form of Security for such series, the Securities of such series so to be repaid (after application of the method of 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shall cease to bear interest. Upon surrender of any such Security for repayment in accordance with said notice, such Security shall be paid by the Company at the Repayment Price together with accrued interest, if any, to but excluding the Repayment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7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If any Security is not paid upon surrender thereof for repayment, the principal (and premium, if any) shall, until paid, bear interest from the Repayment Date at the rate prescribed therefor in such Security.</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Securities Repaid in Part</w:t>
      </w:r>
      <w:r>
        <w:rPr>
          <w:rFonts w:ascii="Arial" w:cs="Arial" w:eastAsia="Arial" w:hAnsi="Arial"/>
          <w:sz w:val="18"/>
          <w:szCs w:val="18"/>
          <w:color w:val="auto"/>
        </w:rPr>
        <w:t>. Any Security that by its terms may be repaid in part at the option of the Holder and that is to be repaid only in part shall be surrendered at any office or agency of the Company designated for that purpose pursuant to Section 1002 (with, if the Company or the Trustee so requires, due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w:t>
      </w:r>
      <w:r>
        <w:rPr>
          <w:rFonts w:ascii="Arial" w:cs="Arial" w:eastAsia="Arial" w:hAnsi="Arial"/>
          <w:sz w:val="16"/>
          <w:szCs w:val="16"/>
          <w:b w:val="1"/>
          <w:bCs w:val="1"/>
          <w:color w:val="auto"/>
        </w:rPr>
        <w:t>,</w:t>
      </w:r>
      <w:r>
        <w:rPr>
          <w:rFonts w:ascii="Arial" w:cs="Arial" w:eastAsia="Arial" w:hAnsi="Arial"/>
          <w:sz w:val="16"/>
          <w:szCs w:val="16"/>
          <w:color w:val="auto"/>
        </w:rPr>
        <w:t xml:space="preserve"> of any authorized denomination as requested by such Holder, in aggregate principal amount equal to and in exchange for the unrepaid portion of the principal of the Security so surrendered.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ectPr>
          <w:pgSz w:w="11900" w:h="16838" w:orient="portrait"/>
          <w:cols w:equalWidth="0" w:num="1">
            <w:col w:w="11420"/>
          </w:cols>
          <w:pgMar w:left="240" w:top="125" w:right="239" w:bottom="0" w:gutter="0" w:footer="0" w:header="0"/>
        </w:sectPr>
      </w:pPr>
    </w:p>
    <w:bookmarkStart w:id="81" w:name="page82"/>
    <w:bookmarkEnd w:id="81"/>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-130810</wp:posOffset>
            </wp:positionV>
            <wp:extent cx="3361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[TRUSTEE]</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-130810</wp:posOffset>
            </wp:positionV>
            <wp:extent cx="3361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2824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94126</w:t>
      </w:r>
    </w:p>
    <w:p>
      <w:pPr>
        <w:spacing w:after="0" w:line="21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June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Registration Statement on Form S-3 relating to the registration under the Securities Act of 1933 (the “Act”) of (a) the following securities of the Company having an aggregate initial public offering price of up to $125,000,000: (i) shares (the “Company Shares”) of common stock, par value $0.001 per share (“Common Stock”), (ii) shares of preferred stock, par value $0.001 per share (“Preferred Stock”), in one or more series, (iii) depositary shares evidenced by depositary receipts, each representing fractional interests in Preferred Stock (“Depositary Shares”), (iv) senior or subordinated debt securities (“Debt Securities”), (v) warrants to purchase Common Stock, Preferred Stock, Depositary Shares, Debt Securities or any combination thereof (“Warrants”), and (vi) stock purchase rights (“Rights”) to purchase Common Stock or Preferred Stock and (b) 5,000,000 shares of Common Stock to be offered and sold by certain stockholders of the Company (the “Selling Stockholder Shares.” The Company Shares, Preferred Stock, Depositary Shares, Debt Securities, Warrants, and Rights are collectively referred to herein as the “Securities.” The Securities shall include any additional amounts of such securities the offer and sale of which are registered pursuant to a registration statement filed pursuant to Rule 462(b) under the Act in connection with one or more offerings contemplated by such Registration Statement. Such Registration Statement, as amended, and including any registration statement related thereto and filed pursuant to Rule 462(b) under the Act, is herein referred to as the “Registration Statement.”</w:t>
      </w:r>
    </w:p>
    <w:p>
      <w:pPr>
        <w:spacing w:after="0" w:line="1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Debt Securities will be issued under an Indenture in substantially the form of Exhibit 4.1 to the Registration Statement (the “Indenture”) to be entered into between the Company and a trustee to be identified in the Indenture (the “Trustee”).</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reviewed the Registration Statement and such other agreements, documents, records, certificates and other materials, and have reviewed and are familiar with such corporate proceedings and satisfied ourselves as to such other matters, as we have considered relevant or necessary as a basis for this opinion. In such review, we have assumed the accuracy and completeness of all agreements, documents, records, certificates and other materials submitted to us, the conformity with the originals of all such materials submitted to us as copies (whether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 certified and including facsimiles), the authenticity of the originals of such materials and all materials submitted to us as originals, the genuineness of all signatures and the legal capacity of all natural persons.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ind w:left="660" w:hanging="652"/>
        <w:spacing w:after="0" w:line="255"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 respect to the Company Shares, when the Board of Directors of the Company or a duly authorized committee of such Board (such Board of Directors or committee being referred to herein as the “Board”) has taken all necessary corporate action to approve the issuance and establish the terms of the offering of shares of the Company Shares and related matters and when such shares have been issued and sold by the Company in the manner contemplated by the Registration Statement and in accordance with such Board action, such Company Shares (including any Company Shares duly issued upon conversion, exchange or exercise of any other Security in accordance with the terms of such other Security or the instrument governing such other Security providing for such conversion, exchange or exercise as approved by the Board) will be duly authorized, validly issued, fully paid and nonassessable.</w:t>
      </w:r>
    </w:p>
    <w:p>
      <w:pPr>
        <w:spacing w:after="0" w:line="189" w:lineRule="exact"/>
        <w:rPr>
          <w:rFonts w:ascii="Arial" w:cs="Arial" w:eastAsia="Arial" w:hAnsi="Arial"/>
          <w:sz w:val="18"/>
          <w:szCs w:val="18"/>
          <w:color w:val="auto"/>
        </w:rPr>
      </w:pPr>
    </w:p>
    <w:p>
      <w:pPr>
        <w:ind w:left="660" w:right="60" w:hanging="652"/>
        <w:spacing w:after="0" w:line="271" w:lineRule="auto"/>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With respect to the Preferred Stock, when the Board has taken all necessary corporate action to approve the issuance and establish the terms of any particular series of Preferred Stock, the offering thereof and related matters, including the filing of a certificate of designations conforming to the General Corporation Law of the State of Delaware regarding such series of Preferred Stock with the Secretary of State of the State of Delaware, and when shares of such series of Preferred Stock have been issued and sold by the Company in the manner contemplated by the Registration Statement and in accordance with such Board action, such shares of such series of Preferred Stock (including any shares of such series of Preferred Stock duly issued upon conversion, exchange or exercise of any other Security in accordance with the terms of such other Security or the instrument governing such other Security providing for such conversion, exchange or exercise as approved by the Board) will be duly authorized, legally issued, fully paid and nonassessable.</w:t>
      </w:r>
    </w:p>
    <w:p>
      <w:pPr>
        <w:spacing w:after="0" w:line="178" w:lineRule="exact"/>
        <w:rPr>
          <w:rFonts w:ascii="Arial" w:cs="Arial" w:eastAsia="Arial" w:hAnsi="Arial"/>
          <w:sz w:val="17"/>
          <w:szCs w:val="17"/>
          <w:color w:val="auto"/>
        </w:rPr>
      </w:pPr>
    </w:p>
    <w:p>
      <w:pPr>
        <w:ind w:left="660" w:right="160" w:hanging="652"/>
        <w:spacing w:after="0" w:line="271" w:lineRule="auto"/>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With respect to any of the Depositary Shares, when (a) the Board has taken all necessary corporate action to approve the issuance and establish the terms of the series of Preferred Stock to be issued in connection therewith, the offering of such Depositary Shares in such series of Preferred Stock, and related matters, including the filing of a certificate of designations conforming to the General Corporation Law of the State of Delaware regarding the Preferred Stock with the Secretary of State of the State of Delaware, (b) a deposit agreement has been duly authorized, executed and delivered by the Company and a bank or trust company to be selected by the Company, as depositary (a “Deposit Agreement”), which Deposit Agreement establishes the terms of the Depositary Shares and their issuance and sale, (c) the shares of such series of Preferred Stock have been deposited with such depositary in accordance with such Deposit Agreement, (d) such shares of such series of Preferred Stock have been issued and sold in the manner</w:t>
      </w:r>
    </w:p>
    <w:p>
      <w:pPr>
        <w:sectPr>
          <w:pgSz w:w="11900" w:h="16838" w:orient="portrait"/>
          <w:cols w:equalWidth="0" w:num="1">
            <w:col w:w="11420"/>
          </w:cols>
          <w:pgMar w:left="240" w:top="121" w:right="239" w:bottom="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contemplated by the Registration Statement and in accordance with such Board action, and (e) receipts (“Receipts”) evidencing Depositary Shares are duly issued against the deposit of such series of Preferred Stock in accordance with such Deposit Agreement, such Depositary Shares will be duly authorized, validly issued, fully paid and nonassessable and such Receipts will be duly authorized and validly issued and entitle the holders thereof to the rights specified in such Deposit Agreement.</w:t>
      </w:r>
    </w:p>
    <w:p>
      <w:pPr>
        <w:spacing w:after="0" w:line="187" w:lineRule="exact"/>
        <w:rPr>
          <w:sz w:val="20"/>
          <w:szCs w:val="20"/>
          <w:color w:val="auto"/>
        </w:rPr>
      </w:pPr>
    </w:p>
    <w:p>
      <w:pPr>
        <w:ind w:left="660" w:hanging="652"/>
        <w:spacing w:after="0" w:line="271" w:lineRule="auto"/>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With respect to any of the Debt Securities, when (a) the Indenture has been duly authorized, executed and delivered by the Company and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Indenture, and (d) such Debt Securities have been issued and sold in the manner contemplated by the Registration Statement and in accordance with the Indenture, such Debt Securities (including any Debt Securities duly issued upon conversion, exchange or exercise of any other Security in accordance with the terms of such other Security or the instrument governing such other Security providing for such conversion, exchange or exercise as approved by the Board) will constitute the valid and legally binding obligations of the Company, enforceable against the Company in accordance with their terms.</w:t>
      </w:r>
    </w:p>
    <w:p>
      <w:pPr>
        <w:spacing w:after="0" w:line="178" w:lineRule="exact"/>
        <w:rPr>
          <w:rFonts w:ascii="Arial" w:cs="Arial" w:eastAsia="Arial" w:hAnsi="Arial"/>
          <w:sz w:val="17"/>
          <w:szCs w:val="17"/>
          <w:color w:val="auto"/>
        </w:rPr>
      </w:pPr>
    </w:p>
    <w:p>
      <w:pPr>
        <w:ind w:left="660" w:right="180" w:hanging="652"/>
        <w:spacing w:after="0" w:line="293" w:lineRule="auto"/>
        <w:tabs>
          <w:tab w:leader="none" w:pos="6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With respect to any of the Warrants, when (a) one or more agreements incorporating the terms and other provisions thereof has been duly executed and delivered by the Company and a warrant agent (a “Warrant Agreement”), (b) the Board has taken all necessary corporate action to approve the issuance and establish the terms of such Warrants, the terms of the offering of such Warrants, and related matters, (c) the Warrant certificates have been duly executed and authenticated or countersigned in accordance with the terms of such Warrant Agreement, and (d) such Warrants have been issued and sold in the manner contemplated by the Registration Statement and in accordance with such Warrant Agreement, such Warrants will constitute the valid and legally binding obligations of the Company, enforceable against the Company in accordance with their terms.</w:t>
      </w:r>
    </w:p>
    <w:p>
      <w:pPr>
        <w:spacing w:after="0" w:line="164" w:lineRule="exact"/>
        <w:rPr>
          <w:rFonts w:ascii="Arial" w:cs="Arial" w:eastAsia="Arial" w:hAnsi="Arial"/>
          <w:sz w:val="16"/>
          <w:szCs w:val="16"/>
          <w:color w:val="auto"/>
        </w:rPr>
      </w:pPr>
    </w:p>
    <w:p>
      <w:pPr>
        <w:ind w:left="660" w:hanging="652"/>
        <w:spacing w:after="0" w:line="273" w:lineRule="auto"/>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With respect to any of the Rights, when (a) one or more agreements incorporating the terms and other provisions thereof has been duly executed and delivered by the Company and a rights holder (a “Rights Agreement”), (b) the Board has taken all necessary corporate action to approve the issuance and establish the terms of such Rights, the terms of the offering of such Rights, and related matters, (c) such Rights have been duly executed and authenticated in accordance with the terms of such Rights Agreement, and (d) such Rights have been issued and sold in the manner contemplated by the Registration Statement and in accordance with such Rights Agreement, such Rights will constitute the valid and legally binding obligations of the Company, enforceable against the Company in accordance with their terms.</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Selling Stockholder Shares have been duly authorized and validly issued and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requirements of reasonableness, good faith, fair dealing and materiality and the discretion of the court before which any proceeding therefor may be brought.</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of the Securities (a) the Registration Statement, and any amendments thereto (including post-effective amendments), will have been declared effective under the Act and a Prospectus Supplement relating to the offer and sale of such Securities to the Prospectus forming a part of the Registration Statement will have been prepared and filed with the Securities and Exchange Commission pursuant to Rule 424(b) under the Act, (b) in the case of the issuance of the Company Shares or the Preferred Stock, the Company will have a sufficient number of authorized but unissued shares thereof under the Certificate of Incorporation of the Company at the time of such issuance, (c) the Board shall not have rescinded or otherwise modified the authorization of such Securities, and (d) neither the establishment of any terms of such Securities after the date hereof nor the issuance and delivery of, or the performance of the Company’s obligations under, such Securities will require any authorization, consent, approval or license of or exemption from, or registration or filing with, or report or notice to, any governmental unit, agency, commission, department or other authority (a “Governmental Approval”) or violate or conflict with, result in a breach of, or constitute a default under, (i) any agreement or instrument to which the Company or any of its affiliates is a party or by which the Company or any of its affiliates or any of their respective properties may be bound, (ii) any Governmental Approval that may be applicable to the Company or any of its affiliates or any of their respective properties,</w:t>
      </w:r>
    </w:p>
    <w:p>
      <w:pPr>
        <w:spacing w:after="0" w:line="5" w:lineRule="exact"/>
        <w:rPr>
          <w:sz w:val="20"/>
          <w:szCs w:val="20"/>
          <w:color w:val="auto"/>
        </w:rPr>
      </w:pPr>
    </w:p>
    <w:p>
      <w:pPr>
        <w:ind w:right="260" w:firstLine="8"/>
        <w:spacing w:after="0" w:line="255" w:lineRule="auto"/>
        <w:tabs>
          <w:tab w:leader="none" w:pos="3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order, decision, judgment or decree that may be applicable to the Company or any of its affiliates or any of their respective properties or (iv) any applicable law (other than the General Corporation Law of the State of Delaware and the law of the State of New York in each case as in effect on the date hereof).</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opinions set forth in this letter are limited to the General Corporation Law of the State of Delaware and the law of the State of New York, in each case as in effect on the date hereof.</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63765" cy="4763"/>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2824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94126</w:t>
      </w:r>
    </w:p>
    <w:p>
      <w:pPr>
        <w:spacing w:after="0" w:line="21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June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acting as counsel for Veracyte, Inc., a Delaware corporation (the “Company”), in connection with the issuance and sale of shares (the “Shares”) of common stock, par value $0.001 per share (the “Common Stock”), of the Company having an aggregate offering price of up to $25,000,000, all of which are authorized but heretofore unissued shares to be offered and sold by the Company, pursuant to (i) the Registration Statement on Form S-3 (the “Registration Statement”), filed by the Company with the Securities and Exchange Commission (the “Commission”) under the Securities Act of 1933 (the “Act”) on June 24, 2015, (ii) the related prospectus, as supplemented by the prospectus supplement relating to the offer and sale of the Shares (as so supplemented, the “Prospectus”), and (iii) the Controlled Equity Offering</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Sales Agreement dated June 24, 2015 between the Company and Cantor Fitzgerald &amp; Co. (the “Agreement”).</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terms of the Agreement, will be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General Corporation Law of the State of Delaware, as in effect on the date hereof.</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filing of this opinion letter as Exhibit 5.2 to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(deficiency):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(14,445)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(18,649)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(25,580)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(29,373)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(deficiency)</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Debt financing expense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Estimated interest portion of rental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fixed charges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Deficiency in the coverage of fixed charges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(18,649)</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(25,580)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Ratio of Earnings to Fixed Charges(1)(2)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both"/>
        <w:ind w:right="220" w:firstLine="8"/>
        <w:spacing w:after="0" w:line="259" w:lineRule="auto"/>
        <w:tabs>
          <w:tab w:leader="none" w:pos="7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ratio of earnings to fixed charges is computed by dividing loss before taxes plus fixed charges by fixed charges. Fixed charges consist of interest expense (including interest expense from capital leases), debt financing expense and the estimated portion of rental expense deemed by us to be representative of the interest factor of rental payments under operating leases. Earnings were insufficient to cover fixed charges by the amounts set forth in the table above under the heading “Deficiency in the coverage of fixed charges.”</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periods presented above, there were no outstanding shares of preferred stock with required dividend payments. Therefore, earnings were insufficient to cover combined fixed charges and preferred stock dividends in the same amounts referenced in the line entitled “Deficiency in the coverage of fixed charges”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the related Prospectus and Prospectus Supplement of Veracyte, Inc. for the registration of Veracyte, Inc.’s debt securities, common stock, preferred stock, depositary shares, warrants and/or rights, and to the incorporation by reference therein of our report dated March 24, 2015, with respect to the consolidated financial statements of Veracyte, Inc., included in its Annual Report (Form 10-K) for the year ended December 31, 2014, filed with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Veracyte, Inc. of our report dated March 20, 2014, relating to the financial statements which appears in Veracyte, Inc.’s Annual Report on Form 10-K for the year ended December 31, 2014. We also consent to the reference to us under the heading “Experts” in such Registration Statement.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Veracyte, Inc. of our report dated August 22, 2014, relating to the financial statements of Allegro Diagnostics Corp., which appears in Veracyte, Inc.’s Current Report on Form 8-K/A dated September 16, 2014.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decimal"/>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decimal"/>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1)"/>
      <w:numFmt w:val="lowerLetter"/>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1)"/>
      <w:numFmt w:val="decimal"/>
      <w:start w:val="1"/>
    </w:lvl>
    <w:lvl w:ilvl="1">
      <w:lvlJc w:val="left"/>
      <w:lvlText w:val="(%2)"/>
      <w:numFmt w:val="lowerRoman"/>
      <w:start w:val="1"/>
    </w:lvl>
  </w:abstractNum>
  <w:abstractNum w:abstractNumId="41">
    <w:nsid w:val="34FD6B4F"/>
    <w:multiLevelType w:val="hybridMultilevel"/>
    <w:lvl w:ilvl="0">
      <w:lvlJc w:val="left"/>
      <w:lvlText w:val="(%1)"/>
      <w:numFmt w:val="lowerRoman"/>
      <w:start w:val="3"/>
    </w:lvl>
  </w:abstractNum>
  <w:abstractNum w:abstractNumId="42">
    <w:nsid w:val="5915FF32"/>
    <w:multiLevelType w:val="hybridMultilevel"/>
    <w:lvl w:ilvl="0">
      <w:lvlJc w:val="left"/>
      <w:lvlText w:val="(%1)"/>
      <w:numFmt w:val="decimal"/>
      <w:start w:val="2"/>
    </w:lvl>
    <w:lvl w:ilvl="1">
      <w:lvlJc w:val="left"/>
      <w:lvlText w:val="(%2)"/>
      <w:numFmt w:val="upperLetter"/>
      <w:start w:val="1"/>
    </w:lvl>
  </w:abstractNum>
  <w:abstractNum w:abstractNumId="43">
    <w:nsid w:val="56438D15"/>
    <w:multiLevelType w:val="hybridMultilevel"/>
    <w:lvl w:ilvl="0">
      <w:lvlJc w:val="left"/>
      <w:lvlText w:val="%1"/>
      <w:numFmt w:val="decimal"/>
      <w:start w:val="1"/>
    </w:lvl>
    <w:lvl w:ilvl="1">
      <w:lvlJc w:val="left"/>
      <w:lvlText w:val="(%2)"/>
      <w:numFmt w:val="upperLetter"/>
      <w:start w:val="2"/>
    </w:lvl>
  </w:abstractNum>
  <w:abstractNum w:abstractNumId="44">
    <w:nsid w:val="519E3149"/>
    <w:multiLevelType w:val="hybridMultilevel"/>
    <w:lvl w:ilvl="0">
      <w:lvlJc w:val="left"/>
      <w:lvlText w:val="(%1)"/>
      <w:numFmt w:val="decimal"/>
      <w:start w:val="5"/>
    </w:lvl>
    <w:lvl w:ilvl="1">
      <w:lvlJc w:val="left"/>
      <w:lvlText w:val="%2"/>
      <w:numFmt w:val="upperLetter"/>
      <w:start w:val="1"/>
    </w:lvl>
  </w:abstractNum>
  <w:abstractNum w:abstractNumId="45">
    <w:nsid w:val="2C6E4AFD"/>
    <w:multiLevelType w:val="hybridMultilevel"/>
    <w:lvl w:ilvl="0">
      <w:lvlJc w:val="left"/>
      <w:lvlText w:val="%1"/>
      <w:numFmt w:val="decimal"/>
      <w:start w:val="1"/>
    </w:lvl>
    <w:lvl w:ilvl="1">
      <w:lvlJc w:val="left"/>
      <w:lvlText w:val="(%2)"/>
      <w:numFmt w:val="lowerRoman"/>
      <w:start w:val="1"/>
    </w:lvl>
  </w:abstractNum>
  <w:abstractNum w:abstractNumId="46">
    <w:nsid w:val="17A1B582"/>
    <w:multiLevelType w:val="hybridMultilevel"/>
    <w:lvl w:ilvl="0">
      <w:lvlJc w:val="left"/>
      <w:lvlText w:val="(%1)"/>
      <w:numFmt w:val="decimal"/>
      <w:start w:val="6"/>
    </w:lvl>
    <w:lvl w:ilvl="1">
      <w:lvlJc w:val="left"/>
      <w:lvlText w:val="%2"/>
      <w:numFmt w:val="lowerRoman"/>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1."/>
      <w:numFmt w:val="decimal"/>
      <w:start w:val="1"/>
    </w:lvl>
  </w:abstractNum>
  <w:abstractNum w:abstractNumId="50">
    <w:nsid w:val="2A082C70"/>
    <w:multiLevelType w:val="hybridMultilevel"/>
    <w:lvl w:ilvl="0">
      <w:lvlJc w:val="left"/>
      <w:lvlText w:val="%1."/>
      <w:numFmt w:val="decimal"/>
      <w:start w:val="2"/>
    </w:lvl>
  </w:abstractNum>
  <w:abstractNum w:abstractNumId="51">
    <w:nsid w:val="5EC6AFD4"/>
    <w:multiLevelType w:val="hybridMultilevel"/>
    <w:lvl w:ilvl="0">
      <w:lvlJc w:val="left"/>
      <w:lvlText w:val="%1."/>
      <w:numFmt w:val="decimal"/>
      <w:start w:val="3"/>
    </w:lvl>
  </w:abstractNum>
  <w:abstractNum w:abstractNumId="52">
    <w:nsid w:val="19E21BB2"/>
    <w:multiLevelType w:val="hybridMultilevel"/>
    <w:lvl w:ilvl="0">
      <w:lvlJc w:val="left"/>
      <w:lvlText w:val="%1."/>
      <w:numFmt w:val="decimal"/>
      <w:start w:val="5"/>
    </w:lvl>
    <w:lvl w:ilvl="1">
      <w:lvlJc w:val="left"/>
      <w:lvlText w:val="(%2)"/>
      <w:numFmt w:val="lowerLetter"/>
      <w:start w:val="1"/>
    </w:lvl>
  </w:abstractNum>
  <w:abstractNum w:abstractNumId="53">
    <w:nsid w:val="75E0858A"/>
    <w:multiLevelType w:val="hybridMultilevel"/>
    <w:lvl w:ilvl="0">
      <w:lvlJc w:val="left"/>
      <w:lvlText w:val="%1"/>
      <w:numFmt w:val="decimal"/>
      <w:start w:val="1"/>
    </w:lvl>
    <w:lvl w:ilvl="1">
      <w:lvlJc w:val="left"/>
      <w:lvlText w:val="(%2)"/>
      <w:numFmt w:val="lowerLetter"/>
      <w:start w:val="4"/>
    </w:lvl>
  </w:abstractNum>
  <w:abstractNum w:abstractNumId="54">
    <w:nsid w:val="57A61A29"/>
    <w:multiLevelType w:val="hybridMultilevel"/>
    <w:lvl w:ilvl="0">
      <w:lvlJc w:val="left"/>
      <w:lvlText w:val="%1."/>
      <w:numFmt w:val="decimal"/>
      <w:start w:val="6"/>
    </w:lvl>
    <w:lvl w:ilvl="1">
      <w:lvlJc w:val="left"/>
      <w:lvlText w:val="(%2)"/>
      <w:numFmt w:val="lowerLetter"/>
      <w:start w:val="1"/>
    </w:lvl>
  </w:abstractNum>
  <w:abstractNum w:abstractNumId="55">
    <w:nsid w:val="5399C654"/>
    <w:multiLevelType w:val="hybridMultilevel"/>
    <w:lvl w:ilvl="0">
      <w:lvlJc w:val="left"/>
      <w:lvlText w:val="(%1)"/>
      <w:numFmt w:val="lowerLetter"/>
      <w:start w:val="2"/>
    </w:lvl>
  </w:abstractNum>
  <w:abstractNum w:abstractNumId="56">
    <w:nsid w:val="20EE1348"/>
    <w:multiLevelType w:val="hybridMultilevel"/>
    <w:lvl w:ilvl="0">
      <w:lvlJc w:val="left"/>
      <w:lvlText w:val="(%1)"/>
      <w:numFmt w:val="lowerLetter"/>
      <w:start w:val="5"/>
    </w:lvl>
  </w:abstractNum>
  <w:abstractNum w:abstractNumId="57">
    <w:nsid w:val="4427069A"/>
    <w:multiLevelType w:val="hybridMultilevel"/>
    <w:lvl w:ilvl="0">
      <w:lvlJc w:val="left"/>
      <w:lvlText w:val="(%1)"/>
      <w:numFmt w:val="lowerLetter"/>
      <w:start w:val="9"/>
    </w:lvl>
  </w:abstractNum>
  <w:abstractNum w:abstractNumId="58">
    <w:nsid w:val="B37E80A"/>
    <w:multiLevelType w:val="hybridMultilevel"/>
    <w:lvl w:ilvl="0">
      <w:lvlJc w:val="left"/>
      <w:lvlText w:val="(%1)"/>
      <w:numFmt w:val="lowerLetter"/>
      <w:start w:val="12"/>
    </w:lvl>
  </w:abstractNum>
  <w:abstractNum w:abstractNumId="59">
    <w:nsid w:val="2157F6BC"/>
    <w:multiLevelType w:val="hybridMultilevel"/>
    <w:lvl w:ilvl="0">
      <w:lvlJc w:val="left"/>
      <w:lvlText w:val="(%1)"/>
      <w:numFmt w:val="lowerLetter"/>
      <w:start w:val="13"/>
    </w:lvl>
  </w:abstractNum>
  <w:abstractNum w:abstractNumId="60">
    <w:nsid w:val="704E1DD5"/>
    <w:multiLevelType w:val="hybridMultilevel"/>
    <w:lvl w:ilvl="0">
      <w:lvlJc w:val="left"/>
      <w:lvlText w:val="(%1)"/>
      <w:numFmt w:val="lowerLetter"/>
      <w:start w:val="16"/>
    </w:lvl>
  </w:abstractNum>
  <w:abstractNum w:abstractNumId="61">
    <w:nsid w:val="57D2F10E"/>
    <w:multiLevelType w:val="hybridMultilevel"/>
    <w:lvl w:ilvl="0">
      <w:lvlJc w:val="left"/>
      <w:lvlText w:val="(%1)"/>
      <w:numFmt w:val="lowerLetter"/>
      <w:start w:val="19"/>
    </w:lvl>
  </w:abstractNum>
  <w:abstractNum w:abstractNumId="62">
    <w:nsid w:val="BFFAE18"/>
    <w:multiLevelType w:val="hybridMultilevel"/>
    <w:lvl w:ilvl="0">
      <w:lvlJc w:val="left"/>
      <w:lvlText w:val="%1)"/>
      <w:numFmt w:val="decimal"/>
      <w:start w:val="135"/>
    </w:lvl>
    <w:lvl w:ilvl="1">
      <w:lvlJc w:val="left"/>
      <w:lvlText w:val="(%2)"/>
      <w:numFmt w:val="lowerLetter"/>
      <w:start w:val="21"/>
    </w:lvl>
  </w:abstractNum>
  <w:abstractNum w:abstractNumId="63">
    <w:nsid w:val="E3E47A8"/>
    <w:multiLevelType w:val="hybridMultilevel"/>
    <w:lvl w:ilvl="0">
      <w:lvlJc w:val="left"/>
      <w:lvlText w:val="(%1)"/>
      <w:numFmt w:val="lowerLetter"/>
      <w:start w:val="24"/>
    </w:lvl>
  </w:abstractNum>
  <w:abstractNum w:abstractNumId="64">
    <w:nsid w:val="2E48F044"/>
    <w:multiLevelType w:val="hybridMultilevel"/>
    <w:lvl w:ilvl="0">
      <w:lvlJc w:val="left"/>
      <w:lvlText w:val="(%1)"/>
      <w:numFmt w:val="lowerLetter"/>
      <w:start w:val="26"/>
    </w:lvl>
  </w:abstractNum>
  <w:abstractNum w:abstractNumId="65">
    <w:nsid w:val="49D0FEAC"/>
    <w:multiLevelType w:val="hybridMultilevel"/>
    <w:lvl w:ilvl="0">
      <w:lvlJc w:val="left"/>
      <w:lvlText w:val="(%1)"/>
      <w:numFmt w:val="lowerLetter"/>
      <w:start w:val="27"/>
    </w:lvl>
  </w:abstractNum>
  <w:abstractNum w:abstractNumId="66">
    <w:nsid w:val="4BEE5A5B"/>
    <w:multiLevelType w:val="hybridMultilevel"/>
    <w:lvl w:ilvl="0">
      <w:lvlJc w:val="left"/>
      <w:lvlText w:val="(%1)"/>
      <w:numFmt w:val="lowerLetter"/>
      <w:start w:val="29"/>
    </w:lvl>
  </w:abstractNum>
  <w:abstractNum w:abstractNumId="67">
    <w:nsid w:val="5551B9F3"/>
    <w:multiLevelType w:val="hybridMultilevel"/>
    <w:lvl w:ilvl="0">
      <w:lvlJc w:val="left"/>
      <w:lvlText w:val="(%1)"/>
      <w:numFmt w:val="lowerLetter"/>
      <w:start w:val="31"/>
    </w:lvl>
  </w:abstractNum>
  <w:abstractNum w:abstractNumId="68">
    <w:nsid w:val="24F6AB8E"/>
    <w:multiLevelType w:val="hybridMultilevel"/>
    <w:lvl w:ilvl="0">
      <w:lvlJc w:val="left"/>
      <w:lvlText w:val="(%1)"/>
      <w:numFmt w:val="lowerLetter"/>
      <w:start w:val="32"/>
    </w:lvl>
  </w:abstractNum>
  <w:abstractNum w:abstractNumId="69">
    <w:nsid w:val="634C574C"/>
    <w:multiLevelType w:val="hybridMultilevel"/>
    <w:lvl w:ilvl="0">
      <w:lvlJc w:val="left"/>
      <w:lvlText w:val="(%1)"/>
      <w:numFmt w:val="lowerLetter"/>
      <w:start w:val="36"/>
    </w:lvl>
  </w:abstractNum>
  <w:abstractNum w:abstractNumId="70">
    <w:nsid w:val="24E99DD7"/>
    <w:multiLevelType w:val="hybridMultilevel"/>
    <w:lvl w:ilvl="0">
      <w:lvlJc w:val="left"/>
      <w:lvlText w:val="(%1)"/>
      <w:numFmt w:val="lowerLetter"/>
      <w:start w:val="41"/>
    </w:lvl>
  </w:abstractNum>
  <w:abstractNum w:abstractNumId="71">
    <w:nsid w:val="2A31B62D"/>
    <w:multiLevelType w:val="hybridMultilevel"/>
    <w:lvl w:ilvl="0">
      <w:lvlJc w:val="left"/>
      <w:lvlText w:val="(%1)"/>
      <w:numFmt w:val="lowerLetter"/>
      <w:start w:val="44"/>
    </w:lvl>
    <w:lvl w:ilvl="1">
      <w:lvlJc w:val="left"/>
      <w:lvlText w:val="(%2)"/>
      <w:numFmt w:val="upperLetter"/>
      <w:start w:val="1"/>
    </w:lvl>
  </w:abstractNum>
  <w:abstractNum w:abstractNumId="72">
    <w:nsid w:val="1849C29B"/>
    <w:multiLevelType w:val="hybridMultilevel"/>
    <w:lvl w:ilvl="0">
      <w:lvlJc w:val="left"/>
      <w:lvlText w:val="(%1)"/>
      <w:numFmt w:val="lowerRoman"/>
      <w:start w:val="2"/>
    </w:lvl>
  </w:abstractNum>
  <w:abstractNum w:abstractNumId="73">
    <w:nsid w:val="7DFF9D09"/>
    <w:multiLevelType w:val="hybridMultilevel"/>
    <w:lvl w:ilvl="0">
      <w:lvlJc w:val="left"/>
      <w:lvlText w:val="%1"/>
      <w:numFmt w:val="lowerRoman"/>
      <w:start w:val="1"/>
    </w:lvl>
    <w:lvl w:ilvl="1">
      <w:lvlJc w:val="left"/>
      <w:lvlText w:val="(%2)"/>
      <w:numFmt w:val="upperLetter"/>
      <w:start w:val="1"/>
    </w:lvl>
  </w:abstractNum>
  <w:abstractNum w:abstractNumId="74">
    <w:nsid w:val="754342"/>
    <w:multiLevelType w:val="hybridMultilevel"/>
    <w:lvl w:ilvl="0">
      <w:lvlJc w:val="left"/>
      <w:lvlText w:val="(%1)"/>
      <w:numFmt w:val="lowerRoman"/>
      <w:start w:val="3"/>
    </w:lvl>
    <w:lvl w:ilvl="1">
      <w:lvlJc w:val="left"/>
      <w:lvlText w:val="%2"/>
      <w:numFmt w:val="upperLetter"/>
      <w:start w:val="1"/>
    </w:lvl>
  </w:abstractNum>
  <w:abstractNum w:abstractNumId="75">
    <w:nsid w:val="69E7F3E5"/>
    <w:multiLevelType w:val="hybridMultilevel"/>
    <w:lvl w:ilvl="0">
      <w:lvlJc w:val="left"/>
      <w:lvlText w:val="(%1)"/>
      <w:numFmt w:val="lowerLetter"/>
      <w:start w:val="48"/>
    </w:lvl>
  </w:abstractNum>
  <w:abstractNum w:abstractNumId="76">
    <w:nsid w:val="2A6DE806"/>
    <w:multiLevelType w:val="hybridMultilevel"/>
    <w:lvl w:ilvl="0">
      <w:lvlJc w:val="left"/>
      <w:lvlText w:val="%1."/>
      <w:numFmt w:val="decimal"/>
      <w:start w:val="7"/>
    </w:lvl>
    <w:lvl w:ilvl="1">
      <w:lvlJc w:val="left"/>
      <w:lvlText w:val="(%2)"/>
      <w:numFmt w:val="lowerLetter"/>
      <w:start w:val="1"/>
    </w:lvl>
  </w:abstractNum>
  <w:abstractNum w:abstractNumId="77">
    <w:nsid w:val="1816F8C4"/>
    <w:multiLevelType w:val="hybridMultilevel"/>
    <w:lvl w:ilvl="0">
      <w:lvlJc w:val="left"/>
      <w:lvlText w:val="(%1)"/>
      <w:numFmt w:val="lowerLetter"/>
      <w:start w:val="2"/>
    </w:lvl>
  </w:abstractNum>
  <w:abstractNum w:abstractNumId="78">
    <w:nsid w:val="37DF2233"/>
    <w:multiLevelType w:val="hybridMultilevel"/>
    <w:lvl w:ilvl="0">
      <w:lvlJc w:val="left"/>
      <w:lvlText w:val="(%1)"/>
      <w:numFmt w:val="lowerLetter"/>
      <w:start w:val="4"/>
    </w:lvl>
  </w:abstractNum>
  <w:abstractNum w:abstractNumId="79">
    <w:nsid w:val="7AB49DAF"/>
    <w:multiLevelType w:val="hybridMultilevel"/>
    <w:lvl w:ilvl="0">
      <w:lvlJc w:val="left"/>
      <w:lvlText w:val="(%1)"/>
      <w:numFmt w:val="lowerLetter"/>
      <w:start w:val="6"/>
    </w:lvl>
  </w:abstractNum>
  <w:abstractNum w:abstractNumId="80">
    <w:nsid w:val="759F82CD"/>
    <w:multiLevelType w:val="hybridMultilevel"/>
    <w:lvl w:ilvl="0">
      <w:lvlJc w:val="left"/>
      <w:lvlText w:val="(%1)"/>
      <w:numFmt w:val="lowerLetter"/>
      <w:start w:val="9"/>
    </w:lvl>
  </w:abstractNum>
  <w:abstractNum w:abstractNumId="81">
    <w:nsid w:val="61E74EA3"/>
    <w:multiLevelType w:val="hybridMultilevel"/>
    <w:lvl w:ilvl="0">
      <w:lvlJc w:val="left"/>
      <w:lvlText w:val="(%1)"/>
      <w:numFmt w:val="lowerRoman"/>
      <w:start w:val="1"/>
    </w:lvl>
  </w:abstractNum>
  <w:abstractNum w:abstractNumId="82">
    <w:nsid w:val="597B4D84"/>
    <w:multiLevelType w:val="hybridMultilevel"/>
    <w:lvl w:ilvl="0">
      <w:lvlJc w:val="left"/>
      <w:lvlText w:val="(%1)"/>
      <w:numFmt w:val="lowerLetter"/>
      <w:start w:val="13"/>
    </w:lvl>
  </w:abstractNum>
  <w:abstractNum w:abstractNumId="83">
    <w:nsid w:val="F819E7F"/>
    <w:multiLevelType w:val="hybridMultilevel"/>
    <w:lvl w:ilvl="0">
      <w:lvlJc w:val="left"/>
      <w:lvlText w:val="(%1)"/>
      <w:numFmt w:val="lowerLetter"/>
      <w:start w:val="14"/>
    </w:lvl>
  </w:abstractNum>
  <w:abstractNum w:abstractNumId="84">
    <w:nsid w:val="57C7D42D"/>
    <w:multiLevelType w:val="hybridMultilevel"/>
    <w:lvl w:ilvl="0">
      <w:lvlJc w:val="left"/>
      <w:lvlText w:val="%1"/>
      <w:numFmt w:val="lowerRoman"/>
      <w:start w:val="1"/>
    </w:lvl>
    <w:lvl w:ilvl="1">
      <w:lvlJc w:val="left"/>
      <w:lvlText w:val="(%2)"/>
      <w:numFmt w:val="lowerLetter"/>
      <w:start w:val="18"/>
    </w:lvl>
  </w:abstractNum>
  <w:abstractNum w:abstractNumId="85">
    <w:nsid w:val="312167AD"/>
    <w:multiLevelType w:val="hybridMultilevel"/>
    <w:lvl w:ilvl="0">
      <w:lvlJc w:val="left"/>
      <w:lvlText w:val="(%1)"/>
      <w:numFmt w:val="lowerRoman"/>
      <w:start w:val="4"/>
    </w:lvl>
    <w:lvl w:ilvl="1">
      <w:lvlJc w:val="left"/>
      <w:lvlText w:val="%2"/>
      <w:numFmt w:val="lowerLetter"/>
      <w:start w:val="1"/>
    </w:lvl>
  </w:abstractNum>
  <w:abstractNum w:abstractNumId="86">
    <w:nsid w:val="631B64D4"/>
    <w:multiLevelType w:val="hybridMultilevel"/>
    <w:lvl w:ilvl="0">
      <w:lvlJc w:val="left"/>
      <w:lvlText w:val="(%1)"/>
      <w:numFmt w:val="lowerLetter"/>
      <w:start w:val="20"/>
    </w:lvl>
  </w:abstractNum>
  <w:abstractNum w:abstractNumId="87">
    <w:nsid w:val="78B5E776"/>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8">
    <w:nsid w:val="75486E47"/>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1"/>
    </w:lvl>
  </w:abstractNum>
  <w:abstractNum w:abstractNumId="89">
    <w:nsid w:val="6E534CDE"/>
    <w:multiLevelType w:val="hybridMultilevel"/>
    <w:lvl w:ilvl="0">
      <w:lvlJc w:val="left"/>
      <w:lvlText w:val="%1"/>
      <w:numFmt w:val="lowerLetter"/>
      <w:start w:val="1"/>
    </w:lvl>
    <w:lvl w:ilvl="1">
      <w:lvlJc w:val="left"/>
      <w:lvlText w:val="(%2)"/>
      <w:numFmt w:val="lowerLetter"/>
      <w:start w:val="2"/>
    </w:lvl>
  </w:abstractNum>
  <w:abstractNum w:abstractNumId="90">
    <w:nsid w:val="1A0DDE32"/>
    <w:multiLevelType w:val="hybridMultilevel"/>
    <w:lvl w:ilvl="0">
      <w:lvlJc w:val="left"/>
      <w:lvlText w:val="(%1)"/>
      <w:numFmt w:val="lowerLetter"/>
      <w:start w:val="35"/>
    </w:lvl>
    <w:lvl w:ilvl="1">
      <w:lvlJc w:val="left"/>
      <w:lvlText w:val="(%2)"/>
      <w:numFmt w:val="lowerLetter"/>
      <w:start w:val="3"/>
    </w:lvl>
  </w:abstractNum>
  <w:abstractNum w:abstractNumId="91">
    <w:nsid w:val="65968C1C"/>
    <w:multiLevelType w:val="hybridMultilevel"/>
    <w:lvl w:ilvl="0">
      <w:lvlJc w:val="left"/>
      <w:lvlText w:val="(%1)"/>
      <w:numFmt w:val="lowerLetter"/>
      <w:start w:val="6"/>
    </w:lvl>
  </w:abstractNum>
  <w:abstractNum w:abstractNumId="92">
    <w:nsid w:val="46263DEC"/>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93">
    <w:nsid w:val="260D8C4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94">
    <w:nsid w:val="73D4D3C4"/>
    <w:multiLevelType w:val="hybridMultilevel"/>
    <w:lvl w:ilvl="0">
      <w:lvlJc w:val="left"/>
      <w:lvlText w:val="(%1)"/>
      <w:numFmt w:val="lowerRoman"/>
      <w:start w:val="2"/>
    </w:lvl>
  </w:abstractNum>
  <w:abstractNum w:abstractNumId="95">
    <w:nsid w:val="746F2E30"/>
    <w:multiLevelType w:val="hybridMultilevel"/>
    <w:lvl w:ilvl="0">
      <w:lvlJc w:val="left"/>
      <w:lvlText w:val="(%1)"/>
      <w:numFmt w:val="lowerLetter"/>
      <w:start w:val="2"/>
    </w:lvl>
  </w:abstractNum>
  <w:abstractNum w:abstractNumId="96">
    <w:nsid w:val="6FDE8AF6"/>
    <w:multiLevelType w:val="hybridMultilevel"/>
    <w:lvl w:ilvl="0">
      <w:lvlJc w:val="left"/>
      <w:lvlText w:val="(%1)"/>
      <w:numFmt w:val="lowerLetter"/>
      <w:start w:val="4"/>
    </w:lvl>
  </w:abstractNum>
  <w:abstractNum w:abstractNumId="97">
    <w:nsid w:val="3FC32E20"/>
    <w:multiLevelType w:val="hybridMultilevel"/>
    <w:lvl w:ilvl="0">
      <w:lvlJc w:val="left"/>
      <w:lvlText w:val="%1."/>
      <w:numFmt w:val="decimal"/>
      <w:start w:val="11"/>
    </w:lvl>
    <w:lvl w:ilvl="1">
      <w:lvlJc w:val="left"/>
      <w:lvlText w:val="(%2)"/>
      <w:numFmt w:val="lowerLetter"/>
      <w:start w:val="1"/>
    </w:lvl>
  </w:abstractNum>
  <w:abstractNum w:abstractNumId="98">
    <w:nsid w:val="49C0E823"/>
    <w:multiLevelType w:val="hybridMultilevel"/>
    <w:lvl w:ilvl="0">
      <w:lvlJc w:val="left"/>
      <w:lvlText w:val="(%1)"/>
      <w:numFmt w:val="lowerLetter"/>
      <w:start w:val="3"/>
    </w:lvl>
  </w:abstractNum>
  <w:abstractNum w:abstractNumId="99">
    <w:nsid w:val="14D53685"/>
    <w:multiLevelType w:val="hybridMultilevel"/>
    <w:lvl w:ilvl="0">
      <w:lvlJc w:val="left"/>
      <w:lvlText w:val="%1."/>
      <w:numFmt w:val="decimal"/>
      <w:start w:val="13"/>
    </w:lvl>
  </w:abstractNum>
  <w:abstractNum w:abstractNumId="100">
    <w:nsid w:val="230F856C"/>
    <w:multiLevelType w:val="hybridMultilevel"/>
    <w:lvl w:ilvl="0">
      <w:lvlJc w:val="left"/>
      <w:lvlText w:val="(%1)"/>
      <w:numFmt w:val="lowerRoman"/>
      <w:start w:val="2"/>
    </w:lvl>
  </w:abstractNum>
  <w:abstractNum w:abstractNumId="101">
    <w:nsid w:val="6EAA85FB"/>
    <w:multiLevelType w:val="hybridMultilevel"/>
    <w:lvl w:ilvl="0">
      <w:lvlJc w:val="left"/>
      <w:lvlText w:val="%1."/>
      <w:numFmt w:val="decimal"/>
      <w:start w:val="14"/>
    </w:lvl>
  </w:abstractNum>
  <w:abstractNum w:abstractNumId="102">
    <w:nsid w:val="3F06ECB2"/>
    <w:multiLevelType w:val="hybridMultilevel"/>
    <w:lvl w:ilvl="0">
      <w:lvlJc w:val="left"/>
      <w:lvlText w:val="%1."/>
      <w:numFmt w:val="decimal"/>
      <w:start w:val="15"/>
    </w:lvl>
  </w:abstractNum>
  <w:abstractNum w:abstractNumId="103">
    <w:nsid w:val="3B594807"/>
    <w:multiLevelType w:val="hybridMultilevel"/>
    <w:lvl w:ilvl="0">
      <w:lvlJc w:val="left"/>
      <w:lvlText w:val="%1."/>
      <w:numFmt w:val="decimal"/>
      <w:start w:val="19"/>
    </w:lvl>
    <w:lvl w:ilvl="1">
      <w:lvlJc w:val="left"/>
      <w:lvlText w:val="(%2)"/>
      <w:numFmt w:val="lowerLetter"/>
      <w:start w:val="1"/>
    </w:lvl>
  </w:abstractNum>
  <w:abstractNum w:abstractNumId="104">
    <w:nsid w:val="6CAA2304"/>
    <w:multiLevelType w:val="hybridMultilevel"/>
    <w:lvl w:ilvl="0">
      <w:lvlJc w:val="left"/>
      <w:lvlText w:val="%1"/>
      <w:numFmt w:val="decimal"/>
      <w:start w:val="1"/>
    </w:lvl>
    <w:lvl w:ilvl="1">
      <w:lvlJc w:val="left"/>
      <w:lvlText w:val="(%2)"/>
      <w:numFmt w:val="lowerLetter"/>
      <w:start w:val="2"/>
    </w:lvl>
  </w:abstractNum>
  <w:abstractNum w:abstractNumId="105">
    <w:nsid w:val="3F7C2FF4"/>
    <w:multiLevelType w:val="hybridMultilevel"/>
    <w:lvl w:ilvl="0">
      <w:lvlJc w:val="left"/>
      <w:lvlText w:val="%1."/>
      <w:numFmt w:val="decimal"/>
      <w:start w:val="24"/>
    </w:lvl>
    <w:lvl w:ilvl="1">
      <w:lvlJc w:val="left"/>
      <w:lvlText w:val="%2"/>
      <w:numFmt w:val="lowerLetter"/>
      <w:start w:val="1"/>
    </w:lvl>
  </w:abstractNum>
  <w:abstractNum w:abstractNumId="106">
    <w:nsid w:val="25413BEC"/>
    <w:multiLevelType w:val="hybridMultilevel"/>
    <w:lvl w:ilvl="0">
      <w:lvlJc w:val="left"/>
      <w:lvlText w:val="(%1)"/>
      <w:numFmt w:val="lowerRoman"/>
      <w:start w:val="1"/>
    </w:lvl>
  </w:abstractNum>
  <w:abstractNum w:abstractNumId="107">
    <w:nsid w:val="17180B0B"/>
    <w:multiLevelType w:val="hybridMultilevel"/>
    <w:lvl w:ilvl="0">
      <w:lvlJc w:val="left"/>
      <w:lvlText w:val="["/>
      <w:numFmt w:val="bullet"/>
      <w:start w:val="1"/>
    </w:lvl>
  </w:abstractNum>
  <w:abstractNum w:abstractNumId="108">
    <w:nsid w:val="579328B9"/>
    <w:multiLevelType w:val="hybridMultilevel"/>
    <w:lvl w:ilvl="0">
      <w:lvlJc w:val="left"/>
      <w:lvlText w:val="(%1)"/>
      <w:numFmt w:val="decimal"/>
      <w:start w:val="1"/>
    </w:lvl>
  </w:abstractNum>
  <w:abstractNum w:abstractNumId="109">
    <w:nsid w:val="5D205E20"/>
    <w:multiLevelType w:val="hybridMultilevel"/>
    <w:lvl w:ilvl="0">
      <w:lvlJc w:val="left"/>
      <w:lvlText w:val="(%1)"/>
      <w:numFmt w:val="lowerLetter"/>
      <w:start w:val="1"/>
    </w:lvl>
  </w:abstractNum>
  <w:abstractNum w:abstractNumId="110">
    <w:nsid w:val="11CCA8BA"/>
    <w:multiLevelType w:val="hybridMultilevel"/>
    <w:lvl w:ilvl="0">
      <w:lvlJc w:val="left"/>
      <w:lvlText w:val="(%1)"/>
      <w:numFmt w:val="lowerLetter"/>
      <w:start w:val="1"/>
    </w:lvl>
  </w:abstractNum>
  <w:abstractNum w:abstractNumId="111">
    <w:nsid w:val="4D32AB86"/>
    <w:multiLevelType w:val="hybridMultilevel"/>
    <w:lvl w:ilvl="0">
      <w:lvlJc w:val="left"/>
      <w:lvlText w:val="(%1)"/>
      <w:numFmt w:val="lowerRoman"/>
      <w:start w:val="1"/>
    </w:lvl>
  </w:abstractNum>
  <w:abstractNum w:abstractNumId="112">
    <w:nsid w:val="3F07ACC3"/>
    <w:multiLevelType w:val="hybridMultilevel"/>
    <w:lvl w:ilvl="0">
      <w:lvlJc w:val="left"/>
      <w:lvlText w:val="(%1)"/>
      <w:numFmt w:val="lowerLetter"/>
      <w:start w:val="2"/>
    </w:lvl>
  </w:abstractNum>
  <w:abstractNum w:abstractNumId="113">
    <w:nsid w:val="6B47F63E"/>
    <w:multiLevelType w:val="hybridMultilevel"/>
    <w:lvl w:ilvl="0">
      <w:lvlJc w:val="left"/>
      <w:lvlText w:val="(%1)"/>
      <w:numFmt w:val="decimal"/>
      <w:start w:val="1"/>
    </w:lvl>
  </w:abstractNum>
  <w:abstractNum w:abstractNumId="114">
    <w:nsid w:val="5CB44A05"/>
    <w:multiLevelType w:val="hybridMultilevel"/>
    <w:lvl w:ilvl="0">
      <w:lvlJc w:val="left"/>
      <w:lvlText w:val="(%1)"/>
      <w:numFmt w:val="decimal"/>
      <w:start w:val="2"/>
    </w:lvl>
  </w:abstractNum>
  <w:abstractNum w:abstractNumId="115">
    <w:nsid w:val="16CF80F1"/>
    <w:multiLevelType w:val="hybridMultilevel"/>
    <w:lvl w:ilvl="0">
      <w:lvlJc w:val="left"/>
      <w:lvlText w:val="(%1)"/>
      <w:numFmt w:val="lowerLetter"/>
      <w:start w:val="2"/>
    </w:lvl>
  </w:abstractNum>
  <w:abstractNum w:abstractNumId="116">
    <w:nsid w:val="1C695DEC"/>
    <w:multiLevelType w:val="hybridMultilevel"/>
    <w:lvl w:ilvl="0">
      <w:lvlJc w:val="left"/>
      <w:lvlText w:val="(%1)"/>
      <w:numFmt w:val="lowerLetter"/>
      <w:start w:val="2"/>
    </w:lvl>
  </w:abstractNum>
  <w:abstractNum w:abstractNumId="117">
    <w:nsid w:val="3FCFAED9"/>
    <w:multiLevelType w:val="hybridMultilevel"/>
    <w:lvl w:ilvl="0">
      <w:lvlJc w:val="left"/>
      <w:lvlText w:val="(%1)"/>
      <w:numFmt w:val="lowerLetter"/>
      <w:start w:val="4"/>
    </w:lvl>
  </w:abstractNum>
  <w:abstractNum w:abstractNumId="118">
    <w:nsid w:val="F856867"/>
    <w:multiLevelType w:val="hybridMultilevel"/>
    <w:lvl w:ilvl="0">
      <w:lvlJc w:val="left"/>
      <w:lvlText w:val="(%1)"/>
      <w:numFmt w:val="lowerLetter"/>
      <w:start w:val="5"/>
    </w:lvl>
  </w:abstractNum>
  <w:abstractNum w:abstractNumId="119">
    <w:nsid w:val="11B1CC33"/>
    <w:multiLevelType w:val="hybridMultilevel"/>
    <w:lvl w:ilvl="0">
      <w:lvlJc w:val="left"/>
      <w:lvlText w:val="(%1)"/>
      <w:numFmt w:val="lowerLetter"/>
      <w:start w:val="1"/>
    </w:lvl>
  </w:abstractNum>
  <w:abstractNum w:abstractNumId="120">
    <w:nsid w:val="2E22FBB7"/>
    <w:multiLevelType w:val="hybridMultilevel"/>
    <w:lvl w:ilvl="0">
      <w:lvlJc w:val="left"/>
      <w:lvlText w:val="(%1)"/>
      <w:numFmt w:val="lowerLetter"/>
      <w:start w:val="2"/>
    </w:lvl>
  </w:abstractNum>
  <w:abstractNum w:abstractNumId="121">
    <w:nsid w:val="29934699"/>
    <w:multiLevelType w:val="hybridMultilevel"/>
    <w:lvl w:ilvl="0">
      <w:lvlJc w:val="left"/>
      <w:lvlText w:val="(%1)"/>
      <w:numFmt w:val="lowerLetter"/>
      <w:start w:val="4"/>
    </w:lvl>
  </w:abstractNum>
  <w:abstractNum w:abstractNumId="122">
    <w:nsid w:val="77485850"/>
    <w:multiLevelType w:val="hybridMultilevel"/>
    <w:lvl w:ilvl="0">
      <w:lvlJc w:val="left"/>
      <w:lvlText w:val="(%1)"/>
      <w:numFmt w:val="lowerLetter"/>
      <w:start w:val="2"/>
    </w:lvl>
  </w:abstractNum>
  <w:abstractNum w:abstractNumId="123">
    <w:nsid w:val="744939A3"/>
    <w:multiLevelType w:val="hybridMultilevel"/>
    <w:lvl w:ilvl="0">
      <w:lvlJc w:val="left"/>
      <w:lvlText w:val="(%1)"/>
      <w:numFmt w:val="lowerLetter"/>
      <w:start w:val="2"/>
    </w:lvl>
  </w:abstractNum>
  <w:abstractNum w:abstractNumId="124">
    <w:nsid w:val="4FA0D2E3"/>
    <w:multiLevelType w:val="hybridMultilevel"/>
    <w:lvl w:ilvl="0">
      <w:lvlJc w:val="left"/>
      <w:lvlText w:val="(%1)"/>
      <w:numFmt w:val="decimal"/>
      <w:start w:val="1"/>
    </w:lvl>
  </w:abstractNum>
  <w:abstractNum w:abstractNumId="125">
    <w:nsid w:val="6B1D2C14"/>
    <w:multiLevelType w:val="hybridMultilevel"/>
    <w:lvl w:ilvl="0">
      <w:lvlJc w:val="left"/>
      <w:lvlText w:val="(%1)"/>
      <w:numFmt w:val="decimal"/>
      <w:start w:val="3"/>
    </w:lvl>
  </w:abstractNum>
  <w:abstractNum w:abstractNumId="126">
    <w:nsid w:val="68B867D3"/>
    <w:multiLevelType w:val="hybridMultilevel"/>
    <w:lvl w:ilvl="0">
      <w:lvlJc w:val="left"/>
      <w:lvlText w:val="(%1)"/>
      <w:numFmt w:val="decimal"/>
      <w:start w:val="5"/>
    </w:lvl>
  </w:abstractNum>
  <w:abstractNum w:abstractNumId="127">
    <w:nsid w:val="3F7F5DD9"/>
    <w:multiLevelType w:val="hybridMultilevel"/>
    <w:lvl w:ilvl="0">
      <w:lvlJc w:val="left"/>
      <w:lvlText w:val="(%1)"/>
      <w:numFmt w:val="decimal"/>
      <w:start w:val="12"/>
    </w:lvl>
  </w:abstractNum>
  <w:abstractNum w:abstractNumId="128">
    <w:nsid w:val="2AE05A34"/>
    <w:multiLevelType w:val="hybridMultilevel"/>
    <w:lvl w:ilvl="0">
      <w:lvlJc w:val="left"/>
      <w:lvlText w:val="(%1)"/>
      <w:numFmt w:val="lowerLetter"/>
      <w:start w:val="3"/>
    </w:lvl>
  </w:abstractNum>
  <w:abstractNum w:abstractNumId="129">
    <w:nsid w:val="32794FF7"/>
    <w:multiLevelType w:val="hybridMultilevel"/>
    <w:lvl w:ilvl="0">
      <w:lvlJc w:val="left"/>
      <w:lvlText w:val="(%1)"/>
      <w:numFmt w:val="lowerLetter"/>
      <w:start w:val="5"/>
    </w:lvl>
  </w:abstractNum>
  <w:abstractNum w:abstractNumId="130">
    <w:nsid w:val="5454945E"/>
    <w:multiLevelType w:val="hybridMultilevel"/>
    <w:lvl w:ilvl="0">
      <w:lvlJc w:val="left"/>
      <w:lvlText w:val="(%1)"/>
      <w:numFmt w:val="lowerLetter"/>
      <w:start w:val="6"/>
    </w:lvl>
  </w:abstractNum>
  <w:abstractNum w:abstractNumId="131">
    <w:nsid w:val="4DEFDFA0"/>
    <w:multiLevelType w:val="hybridMultilevel"/>
    <w:lvl w:ilvl="0">
      <w:lvlJc w:val="left"/>
      <w:lvlText w:val="(%1)"/>
      <w:numFmt w:val="lowerLetter"/>
      <w:start w:val="2"/>
    </w:lvl>
  </w:abstractNum>
  <w:abstractNum w:abstractNumId="132">
    <w:nsid w:val="2123D5F2"/>
    <w:multiLevelType w:val="hybridMultilevel"/>
    <w:lvl w:ilvl="0">
      <w:lvlJc w:val="left"/>
      <w:lvlText w:val="(%1)"/>
      <w:numFmt w:val="lowerRoman"/>
      <w:start w:val="1"/>
    </w:lvl>
  </w:abstractNum>
  <w:abstractNum w:abstractNumId="133">
    <w:nsid w:val="135B8110"/>
    <w:multiLevelType w:val="hybridMultilevel"/>
    <w:lvl w:ilvl="0">
      <w:lvlJc w:val="left"/>
      <w:lvlText w:val="(%1)"/>
      <w:numFmt w:val="lowerLetter"/>
      <w:start w:val="5"/>
    </w:lvl>
  </w:abstractNum>
  <w:abstractNum w:abstractNumId="134">
    <w:nsid w:val="94927A8"/>
    <w:multiLevelType w:val="hybridMultilevel"/>
    <w:lvl w:ilvl="0">
      <w:lvlJc w:val="left"/>
      <w:lvlText w:val="(%1)"/>
      <w:numFmt w:val="lowerLetter"/>
      <w:start w:val="2"/>
    </w:lvl>
  </w:abstractNum>
  <w:abstractNum w:abstractNumId="135">
    <w:nsid w:val="DCDF8F6"/>
    <w:multiLevelType w:val="hybridMultilevel"/>
    <w:lvl w:ilvl="0">
      <w:lvlJc w:val="left"/>
      <w:lvlText w:val="(%1)"/>
      <w:numFmt w:val="lowerLetter"/>
      <w:start w:val="2"/>
    </w:lvl>
  </w:abstractNum>
  <w:abstractNum w:abstractNumId="136">
    <w:nsid w:val="52D7B105"/>
    <w:multiLevelType w:val="hybridMultilevel"/>
    <w:lvl w:ilvl="0">
      <w:lvlJc w:val="left"/>
      <w:lvlText w:val="(%1)"/>
      <w:numFmt w:val="lowerLetter"/>
      <w:start w:val="5"/>
    </w:lvl>
  </w:abstractNum>
  <w:abstractNum w:abstractNumId="137">
    <w:nsid w:val="2E8A6394"/>
    <w:multiLevelType w:val="hybridMultilevel"/>
    <w:lvl w:ilvl="0">
      <w:lvlJc w:val="left"/>
      <w:lvlText w:val="(%1)"/>
      <w:numFmt w:val="lowerLetter"/>
      <w:start w:val="2"/>
    </w:lvl>
  </w:abstractNum>
  <w:abstractNum w:abstractNumId="138">
    <w:nsid w:val="24E60401"/>
    <w:multiLevelType w:val="hybridMultilevel"/>
    <w:lvl w:ilvl="0">
      <w:lvlJc w:val="left"/>
      <w:lvlText w:val="(%1)"/>
      <w:numFmt w:val="lowerLetter"/>
      <w:start w:val="2"/>
    </w:lvl>
  </w:abstractNum>
  <w:abstractNum w:abstractNumId="139">
    <w:nsid w:val="2A6AD9BE"/>
    <w:multiLevelType w:val="hybridMultilevel"/>
    <w:lvl w:ilvl="0">
      <w:lvlJc w:val="left"/>
      <w:lvlText w:val="(%1)"/>
      <w:numFmt w:val="lowerRoman"/>
      <w:start w:val="1"/>
    </w:lvl>
  </w:abstractNum>
  <w:abstractNum w:abstractNumId="140">
    <w:nsid w:val="BAAC1B4"/>
    <w:multiLevelType w:val="hybridMultilevel"/>
    <w:lvl w:ilvl="0">
      <w:lvlJc w:val="left"/>
      <w:lvlText w:val="(%1)"/>
      <w:numFmt w:val="lowerLetter"/>
      <w:start w:val="3"/>
    </w:lvl>
  </w:abstractNum>
  <w:abstractNum w:abstractNumId="141">
    <w:nsid w:val="36B2ACB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42">
    <w:nsid w:val="779D8544"/>
    <w:multiLevelType w:val="hybridMultilevel"/>
    <w:lvl w:ilvl="0">
      <w:lvlJc w:val="left"/>
      <w:lvlText w:val="(%1)"/>
      <w:numFmt w:val="decimal"/>
      <w:start w:val="2"/>
    </w:lvl>
  </w:abstractNum>
  <w:abstractNum w:abstractNumId="143">
    <w:nsid w:val="4AB26E78"/>
    <w:multiLevelType w:val="hybridMultilevel"/>
    <w:lvl w:ilvl="0">
      <w:lvlJc w:val="left"/>
      <w:lvlText w:val="(%1)"/>
      <w:numFmt w:val="lowerLetter"/>
      <w:start w:val="2"/>
    </w:lvl>
  </w:abstractNum>
  <w:abstractNum w:abstractNumId="144">
    <w:nsid w:val="21FAA2FA"/>
    <w:multiLevelType w:val="hybridMultilevel"/>
    <w:lvl w:ilvl="0">
      <w:lvlJc w:val="left"/>
      <w:lvlText w:val="(%1)"/>
      <w:numFmt w:val="lowerLetter"/>
      <w:start w:val="1"/>
    </w:lvl>
  </w:abstractNum>
  <w:abstractNum w:abstractNumId="145">
    <w:nsid w:val="5451CF49"/>
    <w:multiLevelType w:val="hybridMultilevel"/>
    <w:lvl w:ilvl="0">
      <w:lvlJc w:val="left"/>
      <w:lvlText w:val="%1"/>
      <w:numFmt w:val="decimal"/>
      <w:start w:val="1"/>
    </w:lvl>
    <w:lvl w:ilvl="1">
      <w:lvlJc w:val="left"/>
      <w:lvlText w:val="(%2)"/>
      <w:numFmt w:val="lowerRoman"/>
      <w:start w:val="1"/>
    </w:lvl>
  </w:abstractNum>
  <w:abstractNum w:abstractNumId="146">
    <w:nsid w:val="6181EF69"/>
    <w:multiLevelType w:val="hybridMultilevel"/>
    <w:lvl w:ilvl="0">
      <w:lvlJc w:val="left"/>
      <w:lvlText w:val="(%1)"/>
      <w:numFmt w:val="decimal"/>
      <w:start w:val="1"/>
    </w:lvl>
    <w:lvl w:ilvl="1">
      <w:lvlJc w:val="left"/>
      <w:lvlText w:val="%2"/>
      <w:numFmt w:val="lowerRoman"/>
      <w:start w:val="1"/>
    </w:lvl>
  </w:abstractNum>
  <w:abstractNum w:abstractNumId="147">
    <w:nsid w:val="3E6400E6"/>
    <w:multiLevelType w:val="hybridMultilevel"/>
    <w:lvl w:ilvl="0">
      <w:lvlJc w:val="left"/>
      <w:lvlText w:val="%1"/>
      <w:numFmt w:val="lowerLetter"/>
      <w:start w:val="1"/>
    </w:lvl>
    <w:lvl w:ilvl="1">
      <w:lvlJc w:val="left"/>
      <w:lvlText w:val="(%2)"/>
      <w:numFmt w:val="lowerLetter"/>
      <w:start w:val="35"/>
    </w:lvl>
  </w:abstractNum>
  <w:abstractNum w:abstractNumId="148">
    <w:nsid w:val="14217E23"/>
    <w:multiLevelType w:val="hybridMultilevel"/>
    <w:lvl w:ilvl="0">
      <w:lvlJc w:val="left"/>
      <w:lvlText w:val="(%1)"/>
      <w:numFmt w:val="lowerLetter"/>
      <w:start w:val="25"/>
    </w:lvl>
    <w:lvl w:ilvl="1">
      <w:lvlJc w:val="left"/>
      <w:lvlText w:val="(%2)"/>
      <w:numFmt w:val="lowerLetter"/>
      <w:start w:val="61"/>
    </w:lvl>
  </w:abstractNum>
  <w:abstractNum w:abstractNumId="149">
    <w:nsid w:val="710757D0"/>
    <w:multiLevelType w:val="hybridMultilevel"/>
    <w:lvl w:ilvl="0">
      <w:lvlJc w:val="left"/>
      <w:lvlText w:val="(%1)"/>
      <w:numFmt w:val="lowerRoman"/>
      <w:start w:val="4"/>
    </w:lvl>
  </w:abstractNum>
  <w:abstractNum w:abstractNumId="150">
    <w:nsid w:val="5015CD1A"/>
    <w:multiLevelType w:val="hybridMultilevel"/>
    <w:lvl w:ilvl="0">
      <w:lvlJc w:val="left"/>
      <w:lvlText w:val="(%1)"/>
      <w:numFmt w:val="lowerLetter"/>
      <w:start w:val="2"/>
    </w:lvl>
  </w:abstractNum>
  <w:abstractNum w:abstractNumId="151">
    <w:nsid w:val="424479DA"/>
    <w:multiLevelType w:val="hybridMultilevel"/>
    <w:lvl w:ilvl="0">
      <w:lvlJc w:val="left"/>
      <w:lvlText w:val="(%1)"/>
      <w:numFmt w:val="decimal"/>
      <w:start w:val="1"/>
    </w:lvl>
  </w:abstractNum>
  <w:abstractNum w:abstractNumId="152">
    <w:nsid w:val="1A9A9E69"/>
    <w:multiLevelType w:val="hybridMultilevel"/>
    <w:lvl w:ilvl="0">
      <w:lvlJc w:val="left"/>
      <w:lvlText w:val="(%1)"/>
      <w:numFmt w:val="decimal"/>
      <w:start w:val="4"/>
    </w:lvl>
  </w:abstractNum>
  <w:abstractNum w:abstractNumId="153">
    <w:nsid w:val="475E256A"/>
    <w:multiLevelType w:val="hybridMultilevel"/>
    <w:lvl w:ilvl="0">
      <w:lvlJc w:val="left"/>
      <w:lvlText w:val="(%1)"/>
      <w:numFmt w:val="decimal"/>
      <w:start w:val="6"/>
    </w:lvl>
  </w:abstractNum>
  <w:abstractNum w:abstractNumId="154">
    <w:nsid w:val="368DB37E"/>
    <w:multiLevelType w:val="hybridMultilevel"/>
    <w:lvl w:ilvl="0">
      <w:lvlJc w:val="left"/>
      <w:lvlText w:val="(%1)"/>
      <w:numFmt w:val="decimal"/>
      <w:start w:val="1"/>
    </w:lvl>
    <w:lvl w:ilvl="1">
      <w:lvlJc w:val="left"/>
      <w:lvlText w:val="(%2)"/>
      <w:numFmt w:val="upperLetter"/>
      <w:start w:val="1"/>
    </w:lvl>
  </w:abstractNum>
  <w:abstractNum w:abstractNumId="155">
    <w:nsid w:val="6A3B714C"/>
    <w:multiLevelType w:val="hybridMultilevel"/>
    <w:lvl w:ilvl="0">
      <w:lvlJc w:val="left"/>
      <w:lvlText w:val="(%1)"/>
      <w:numFmt w:val="decimal"/>
      <w:start w:val="2"/>
    </w:lvl>
  </w:abstractNum>
  <w:abstractNum w:abstractNumId="156">
    <w:nsid w:val="327B517E"/>
    <w:multiLevelType w:val="hybridMultilevel"/>
    <w:lvl w:ilvl="0">
      <w:lvlJc w:val="left"/>
      <w:lvlText w:val="(%1)"/>
      <w:numFmt w:val="lowerRoman"/>
      <w:start w:val="1"/>
    </w:lvl>
  </w:abstractNum>
  <w:abstractNum w:abstractNumId="157">
    <w:nsid w:val="1F461B51"/>
    <w:multiLevelType w:val="hybridMultilevel"/>
    <w:lvl w:ilvl="0">
      <w:lvlJc w:val="left"/>
      <w:lvlText w:val="(%1)"/>
      <w:numFmt w:val="decimal"/>
      <w:start w:val="1"/>
    </w:lvl>
  </w:abstractNum>
  <w:abstractNum w:abstractNumId="158">
    <w:nsid w:val="29BACF25"/>
    <w:multiLevelType w:val="hybridMultilevel"/>
    <w:lvl w:ilvl="0">
      <w:lvlJc w:val="left"/>
      <w:lvlText w:val="(%1)"/>
      <w:numFmt w:val="decimal"/>
      <w:start w:val="1"/>
    </w:lvl>
  </w:abstractNum>
  <w:abstractNum w:abstractNumId="159">
    <w:nsid w:val="5D5BABB3"/>
    <w:multiLevelType w:val="hybridMultilevel"/>
    <w:lvl w:ilvl="0">
      <w:lvlJc w:val="left"/>
      <w:lvlText w:val="(%1)"/>
      <w:numFmt w:val="decimal"/>
      <w:start w:val="1"/>
    </w:lvl>
  </w:abstractNum>
  <w:abstractNum w:abstractNumId="160">
    <w:nsid w:val="51BF6B48"/>
    <w:multiLevelType w:val="hybridMultilevel"/>
    <w:lvl w:ilvl="0">
      <w:lvlJc w:val="left"/>
      <w:lvlText w:val="(%1)"/>
      <w:numFmt w:val="decimal"/>
      <w:start w:val="1"/>
    </w:lvl>
  </w:abstractNum>
  <w:abstractNum w:abstractNumId="161">
    <w:nsid w:val="7E0F6384"/>
    <w:multiLevelType w:val="hybridMultilevel"/>
    <w:lvl w:ilvl="0">
      <w:lvlJc w:val="left"/>
      <w:lvlText w:val="(%1)"/>
      <w:numFmt w:val="lowerLetter"/>
      <w:start w:val="2"/>
    </w:lvl>
  </w:abstractNum>
  <w:abstractNum w:abstractNumId="162">
    <w:nsid w:val="2B4B8B53"/>
    <w:multiLevelType w:val="hybridMultilevel"/>
    <w:lvl w:ilvl="0">
      <w:lvlJc w:val="left"/>
      <w:lvlText w:val="(%1)"/>
      <w:numFmt w:val="lowerLetter"/>
      <w:start w:val="3"/>
    </w:lvl>
    <w:lvl w:ilvl="1">
      <w:lvlJc w:val="left"/>
      <w:lvlText w:val="(%2)"/>
      <w:numFmt w:val="decimal"/>
      <w:start w:val="1"/>
    </w:lvl>
  </w:abstractNum>
  <w:abstractNum w:abstractNumId="163">
    <w:nsid w:val="72E3413A"/>
    <w:multiLevelType w:val="hybridMultilevel"/>
    <w:lvl w:ilvl="0">
      <w:lvlJc w:val="left"/>
      <w:lvlText w:val="(%1)"/>
      <w:numFmt w:val="lowerLetter"/>
      <w:start w:val="1"/>
    </w:lvl>
  </w:abstractNum>
  <w:abstractNum w:abstractNumId="164">
    <w:nsid w:val="116AE494"/>
    <w:multiLevelType w:val="hybridMultilevel"/>
    <w:lvl w:ilvl="0">
      <w:lvlJc w:val="left"/>
      <w:lvlText w:val="(%1)"/>
      <w:numFmt w:val="lowerLetter"/>
      <w:start w:val="4"/>
    </w:lvl>
  </w:abstractNum>
  <w:abstractNum w:abstractNumId="165">
    <w:nsid w:val="3494B2FB"/>
    <w:multiLevelType w:val="hybridMultilevel"/>
    <w:lvl w:ilvl="0">
      <w:lvlJc w:val="left"/>
      <w:lvlText w:val="(%1)"/>
      <w:numFmt w:val="decimal"/>
      <w:start w:val="1"/>
    </w:lvl>
  </w:abstractNum>
  <w:abstractNum w:abstractNumId="166">
    <w:nsid w:val="B13A31"/>
    <w:multiLevelType w:val="hybridMultilevel"/>
    <w:lvl w:ilvl="0">
      <w:lvlJc w:val="left"/>
      <w:lvlText w:val="(%1)"/>
      <w:numFmt w:val="lowerLetter"/>
      <w:start w:val="2"/>
    </w:lvl>
    <w:lvl w:ilvl="1">
      <w:lvlJc w:val="left"/>
      <w:lvlText w:val="(%2)"/>
      <w:numFmt w:val="decimal"/>
      <w:start w:val="1"/>
    </w:lvl>
  </w:abstractNum>
  <w:abstractNum w:abstractNumId="167">
    <w:nsid w:val="64429599"/>
    <w:multiLevelType w:val="hybridMultilevel"/>
    <w:lvl w:ilvl="0">
      <w:lvlJc w:val="left"/>
      <w:lvlText w:val="(%1)"/>
      <w:numFmt w:val="decimal"/>
      <w:start w:val="3"/>
    </w:lvl>
  </w:abstractNum>
  <w:abstractNum w:abstractNumId="168">
    <w:nsid w:val="631F1690"/>
    <w:multiLevelType w:val="hybridMultilevel"/>
    <w:lvl w:ilvl="0">
      <w:lvlJc w:val="left"/>
      <w:lvlText w:val="(%1)"/>
      <w:numFmt w:val="lowerLetter"/>
      <w:start w:val="6"/>
    </w:lvl>
  </w:abstractNum>
  <w:abstractNum w:abstractNumId="169">
    <w:nsid w:val="25973E32"/>
    <w:multiLevelType w:val="hybridMultilevel"/>
    <w:lvl w:ilvl="0">
      <w:lvlJc w:val="left"/>
      <w:lvlText w:val="(%1)"/>
      <w:numFmt w:val="lowerLetter"/>
      <w:start w:val="2"/>
    </w:lvl>
  </w:abstractNum>
  <w:abstractNum w:abstractNumId="170">
    <w:nsid w:val="EAD6F57"/>
    <w:multiLevelType w:val="hybridMultilevel"/>
    <w:lvl w:ilvl="0">
      <w:lvlJc w:val="left"/>
      <w:lvlText w:val="(%1)"/>
      <w:numFmt w:val="lowerLetter"/>
      <w:start w:val="3"/>
    </w:lvl>
  </w:abstractNum>
  <w:abstractNum w:abstractNumId="171">
    <w:nsid w:val="6EC9D844"/>
    <w:multiLevelType w:val="hybridMultilevel"/>
    <w:lvl w:ilvl="0">
      <w:lvlJc w:val="left"/>
      <w:lvlText w:val="(%1)"/>
      <w:numFmt w:val="lowerLetter"/>
      <w:start w:val="2"/>
    </w:lvl>
  </w:abstractNum>
  <w:abstractNum w:abstractNumId="172">
    <w:nsid w:val="5C49EAEE"/>
    <w:multiLevelType w:val="hybridMultilevel"/>
    <w:lvl w:ilvl="0">
      <w:lvlJc w:val="left"/>
      <w:lvlText w:val="(%1)"/>
      <w:numFmt w:val="lowerLetter"/>
      <w:start w:val="6"/>
    </w:lvl>
  </w:abstractNum>
  <w:abstractNum w:abstractNumId="173">
    <w:nsid w:val="64AF49B"/>
    <w:multiLevelType w:val="hybridMultilevel"/>
    <w:lvl w:ilvl="0">
      <w:lvlJc w:val="left"/>
      <w:lvlText w:val="(%1)"/>
      <w:numFmt w:val="lowerLetter"/>
      <w:start w:val="1"/>
    </w:lvl>
  </w:abstractNum>
  <w:abstractNum w:abstractNumId="174">
    <w:nsid w:val="397C46BC"/>
    <w:multiLevelType w:val="hybridMultilevel"/>
    <w:lvl w:ilvl="0">
      <w:lvlJc w:val="left"/>
      <w:lvlText w:val="(%1)"/>
      <w:numFmt w:val="lowerLetter"/>
      <w:start w:val="2"/>
    </w:lvl>
    <w:lvl w:ilvl="1">
      <w:lvlJc w:val="left"/>
      <w:lvlText w:val="(%2)"/>
      <w:numFmt w:val="lowerRoman"/>
      <w:start w:val="1"/>
    </w:lvl>
  </w:abstractNum>
  <w:abstractNum w:abstractNumId="175">
    <w:nsid w:val="7E448DE9"/>
    <w:multiLevelType w:val="hybridMultilevel"/>
    <w:lvl w:ilvl="0">
      <w:lvlJc w:val="left"/>
      <w:lvlText w:val="(%1)"/>
      <w:numFmt w:val="lowerLetter"/>
      <w:start w:val="3"/>
    </w:lvl>
  </w:abstractNum>
  <w:abstractNum w:abstractNumId="176">
    <w:nsid w:val="5A9CC3E5"/>
    <w:multiLevelType w:val="hybridMultilevel"/>
    <w:lvl w:ilvl="0">
      <w:lvlJc w:val="left"/>
      <w:lvlText w:val="(%1)"/>
      <w:numFmt w:val="lowerLetter"/>
      <w:start w:val="2"/>
    </w:lvl>
  </w:abstractNum>
  <w:abstractNum w:abstractNumId="177">
    <w:nsid w:val="1AFE3625"/>
    <w:multiLevelType w:val="hybridMultilevel"/>
    <w:lvl w:ilvl="0">
      <w:lvlJc w:val="left"/>
      <w:lvlText w:val="(%1)"/>
      <w:numFmt w:val="decimal"/>
      <w:start w:val="1"/>
    </w:lvl>
  </w:abstractNum>
  <w:abstractNum w:abstractNumId="178">
    <w:nsid w:val="3CA88ECF"/>
    <w:multiLevelType w:val="hybridMultilevel"/>
    <w:lvl w:ilvl="0">
      <w:lvlJc w:val="left"/>
      <w:lvlText w:val="%1"/>
      <w:numFmt w:val="decimal"/>
      <w:start w:val="1"/>
    </w:lvl>
    <w:lvl w:ilvl="1">
      <w:lvlJc w:val="left"/>
      <w:lvlText w:val="(%2)"/>
      <w:numFmt w:val="decimal"/>
      <w:start w:val="2"/>
    </w:lvl>
  </w:abstractNum>
  <w:abstractNum w:abstractNumId="179">
    <w:nsid w:val="6EBE4208"/>
    <w:multiLevelType w:val="hybridMultilevel"/>
    <w:lvl w:ilvl="0">
      <w:lvlJc w:val="left"/>
      <w:lvlText w:val="(%1)"/>
      <w:numFmt w:val="decimal"/>
      <w:start w:val="2"/>
    </w:lvl>
    <w:lvl w:ilvl="1">
      <w:lvlJc w:val="left"/>
      <w:lvlText w:val="%2"/>
      <w:numFmt w:val="decimal"/>
      <w:start w:val="1"/>
    </w:lvl>
  </w:abstractNum>
  <w:abstractNum w:abstractNumId="180">
    <w:nsid w:val="C058DF5"/>
    <w:multiLevelType w:val="hybridMultilevel"/>
    <w:lvl w:ilvl="0">
      <w:lvlJc w:val="left"/>
      <w:lvlText w:val="(%1)"/>
      <w:numFmt w:val="decimal"/>
      <w:start w:val="1"/>
    </w:lvl>
  </w:abstractNum>
  <w:abstractNum w:abstractNumId="181">
    <w:nsid w:val="CBE5BE9"/>
    <w:multiLevelType w:val="hybridMultilevel"/>
    <w:lvl w:ilvl="0">
      <w:lvlJc w:val="left"/>
      <w:lvlText w:val="(%1)"/>
      <w:numFmt w:val="decimal"/>
      <w:start w:val="1"/>
    </w:lvl>
  </w:abstractNum>
  <w:abstractNum w:abstractNumId="182">
    <w:nsid w:val="3102BBE2"/>
    <w:multiLevelType w:val="hybridMultilevel"/>
    <w:lvl w:ilvl="0">
      <w:lvlJc w:val="left"/>
      <w:lvlText w:val="(%1)"/>
      <w:numFmt w:val="decimal"/>
      <w:start w:val="4"/>
    </w:lvl>
  </w:abstractNum>
  <w:abstractNum w:abstractNumId="183">
    <w:nsid w:val="26A02C5E"/>
    <w:multiLevelType w:val="hybridMultilevel"/>
    <w:lvl w:ilvl="0">
      <w:lvlJc w:val="left"/>
      <w:lvlText w:val="(%1)"/>
      <w:numFmt w:val="decimal"/>
      <w:start w:val="7"/>
    </w:lvl>
  </w:abstractNum>
  <w:abstractNum w:abstractNumId="184">
    <w:nsid w:val="541C8153"/>
    <w:multiLevelType w:val="hybridMultilevel"/>
    <w:lvl w:ilvl="0">
      <w:lvlJc w:val="left"/>
      <w:lvlText w:val="(%1)"/>
      <w:numFmt w:val="lowerLetter"/>
      <w:start w:val="24"/>
    </w:lvl>
  </w:abstractNum>
  <w:abstractNum w:abstractNumId="185">
    <w:nsid w:val="67906F60"/>
    <w:multiLevelType w:val="hybridMultilevel"/>
    <w:lvl w:ilvl="0">
      <w:lvlJc w:val="left"/>
      <w:lvlText w:val="(%1)"/>
      <w:numFmt w:val="lowerLetter"/>
      <w:start w:val="26"/>
    </w:lvl>
  </w:abstractNum>
  <w:abstractNum w:abstractNumId="186">
    <w:nsid w:val="10DB9DAA"/>
    <w:multiLevelType w:val="hybridMultilevel"/>
    <w:lvl w:ilvl="0">
      <w:lvlJc w:val="left"/>
      <w:lvlText w:val="(%1)"/>
      <w:numFmt w:val="lowerLetter"/>
      <w:start w:val="2"/>
    </w:lvl>
  </w:abstractNum>
  <w:abstractNum w:abstractNumId="187">
    <w:nsid w:val="697D2D2"/>
    <w:multiLevelType w:val="hybridMultilevel"/>
    <w:lvl w:ilvl="0">
      <w:lvlJc w:val="left"/>
      <w:lvlText w:val="(%1)"/>
      <w:numFmt w:val="decimal"/>
      <w:start w:val="1"/>
    </w:lvl>
  </w:abstractNum>
  <w:abstractNum w:abstractNumId="188">
    <w:nsid w:val="6D68AB2"/>
    <w:multiLevelType w:val="hybridMultilevel"/>
    <w:lvl w:ilvl="0">
      <w:lvlJc w:val="left"/>
      <w:lvlText w:val="(%1)"/>
      <w:numFmt w:val="decimal"/>
      <w:start w:val="3"/>
    </w:lvl>
  </w:abstractNum>
  <w:abstractNum w:abstractNumId="189">
    <w:nsid w:val="3A966CD0"/>
    <w:multiLevelType w:val="hybridMultilevel"/>
    <w:lvl w:ilvl="0">
      <w:lvlJc w:val="left"/>
      <w:lvlText w:val="(%1)"/>
      <w:numFmt w:val="decimal"/>
      <w:start w:val="3"/>
    </w:lvl>
  </w:abstractNum>
  <w:abstractNum w:abstractNumId="190">
    <w:nsid w:val="63F37E85"/>
    <w:multiLevelType w:val="hybridMultilevel"/>
    <w:lvl w:ilvl="0">
      <w:lvlJc w:val="left"/>
      <w:lvlText w:val="(%1)"/>
      <w:numFmt w:val="lowerLetter"/>
      <w:start w:val="2"/>
    </w:lvl>
  </w:abstractNum>
  <w:abstractNum w:abstractNumId="191">
    <w:nsid w:val="5895F5FA"/>
    <w:multiLevelType w:val="hybridMultilevel"/>
    <w:lvl w:ilvl="0">
      <w:lvlJc w:val="left"/>
      <w:lvlText w:val="(%1)"/>
      <w:numFmt w:val="lowerLetter"/>
      <w:start w:val="2"/>
    </w:lvl>
  </w:abstractNum>
  <w:abstractNum w:abstractNumId="192">
    <w:nsid w:val="38A5D054"/>
    <w:multiLevelType w:val="hybridMultilevel"/>
    <w:lvl w:ilvl="0">
      <w:lvlJc w:val="left"/>
      <w:lvlText w:val="(%1)"/>
      <w:numFmt w:val="lowerLetter"/>
      <w:start w:val="3"/>
    </w:lvl>
  </w:abstractNum>
  <w:abstractNum w:abstractNumId="193">
    <w:nsid w:val="F3F09D8"/>
    <w:multiLevelType w:val="hybridMultilevel"/>
    <w:lvl w:ilvl="0">
      <w:lvlJc w:val="left"/>
      <w:lvlText w:val="(%1)"/>
      <w:numFmt w:val="lowerLetter"/>
      <w:start w:val="2"/>
    </w:lvl>
  </w:abstractNum>
  <w:abstractNum w:abstractNumId="194">
    <w:nsid w:val="4B793735"/>
    <w:multiLevelType w:val="hybridMultilevel"/>
    <w:lvl w:ilvl="0">
      <w:lvlJc w:val="left"/>
      <w:lvlText w:val="(%1)"/>
      <w:numFmt w:val="lowerRoman"/>
      <w:start w:val="1"/>
    </w:lvl>
  </w:abstractNum>
  <w:abstractNum w:abstractNumId="195">
    <w:nsid w:val="4A10B4E8"/>
    <w:multiLevelType w:val="hybridMultilevel"/>
    <w:lvl w:ilvl="0">
      <w:lvlJc w:val="left"/>
      <w:lvlText w:val="(%1)"/>
      <w:numFmt w:val="lowerLetter"/>
      <w:start w:val="4"/>
    </w:lvl>
  </w:abstractNum>
  <w:abstractNum w:abstractNumId="196">
    <w:nsid w:val="43D3BCD4"/>
    <w:multiLevelType w:val="hybridMultilevel"/>
    <w:lvl w:ilvl="0">
      <w:lvlJc w:val="left"/>
      <w:lvlText w:val="(%1)"/>
      <w:numFmt w:val="lowerRoman"/>
      <w:start w:val="1"/>
    </w:lvl>
  </w:abstractNum>
  <w:abstractNum w:abstractNumId="197">
    <w:nsid w:val="4C2A7166"/>
    <w:multiLevelType w:val="hybridMultilevel"/>
    <w:lvl w:ilvl="0">
      <w:lvlJc w:val="left"/>
      <w:lvlText w:val="(%1)"/>
      <w:numFmt w:val="decimal"/>
      <w:start w:val="1"/>
    </w:lvl>
  </w:abstractNum>
  <w:abstractNum w:abstractNumId="198">
    <w:nsid w:val="2E534A82"/>
    <w:multiLevelType w:val="hybridMultilevel"/>
    <w:lvl w:ilvl="0">
      <w:lvlJc w:val="left"/>
      <w:lvlText w:val="(%1)"/>
      <w:numFmt w:val="decimal"/>
      <w:start w:val="2"/>
    </w:lvl>
  </w:abstractNum>
  <w:abstractNum w:abstractNumId="199">
    <w:nsid w:val="26F2D364"/>
    <w:multiLevelType w:val="hybridMultilevel"/>
    <w:lvl w:ilvl="0">
      <w:lvlJc w:val="left"/>
      <w:lvlText w:val="(%1)"/>
      <w:numFmt w:val="lowerLetter"/>
      <w:start w:val="2"/>
    </w:lvl>
  </w:abstractNum>
  <w:abstractNum w:abstractNumId="200">
    <w:nsid w:val="71C1AF98"/>
    <w:multiLevelType w:val="hybridMultilevel"/>
    <w:lvl w:ilvl="0">
      <w:lvlJc w:val="left"/>
      <w:lvlText w:val="(%1)"/>
      <w:numFmt w:val="decimal"/>
      <w:start w:val="1"/>
    </w:lvl>
  </w:abstractNum>
  <w:abstractNum w:abstractNumId="201">
    <w:nsid w:val="3D00B9D9"/>
    <w:multiLevelType w:val="hybridMultilevel"/>
    <w:lvl w:ilvl="0">
      <w:lvlJc w:val="left"/>
      <w:lvlText w:val="(%1)"/>
      <w:numFmt w:val="decimal"/>
      <w:start w:val="2"/>
    </w:lvl>
  </w:abstractNum>
  <w:abstractNum w:abstractNumId="202">
    <w:nsid w:val="15BCABA8"/>
    <w:multiLevelType w:val="hybridMultilevel"/>
    <w:lvl w:ilvl="0">
      <w:lvlJc w:val="left"/>
      <w:lvlText w:val="(%1)"/>
      <w:numFmt w:val="decimal"/>
      <w:start w:val="4"/>
    </w:lvl>
  </w:abstractNum>
  <w:abstractNum w:abstractNumId="203">
    <w:nsid w:val="4E0B9A87"/>
    <w:multiLevelType w:val="hybridMultilevel"/>
    <w:lvl w:ilvl="0">
      <w:lvlJc w:val="left"/>
      <w:lvlText w:val="%1."/>
      <w:numFmt w:val="decimal"/>
      <w:start w:val="1"/>
    </w:lvl>
  </w:abstractNum>
  <w:abstractNum w:abstractNumId="204">
    <w:nsid w:val="434BAE75"/>
    <w:multiLevelType w:val="hybridMultilevel"/>
    <w:lvl w:ilvl="0">
      <w:lvlJc w:val="left"/>
      <w:lvlText w:val="%1."/>
      <w:numFmt w:val="decimal"/>
      <w:start w:val="4"/>
    </w:lvl>
  </w:abstractNum>
  <w:abstractNum w:abstractNumId="205">
    <w:nsid w:val="4F38F265"/>
    <w:multiLevelType w:val="hybridMultilevel"/>
    <w:lvl w:ilvl="0">
      <w:lvlJc w:val="left"/>
      <w:lvlText w:val="(%1)"/>
      <w:numFmt w:val="lowerRoman"/>
      <w:start w:val="3"/>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2019-12-08T19:31:11Z</dcterms:created>
  <dcterms:modified xsi:type="dcterms:W3CDTF">2019-12-08T19:31:11Z</dcterms:modified>
</cp:coreProperties>
</file>