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30,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VERACYTE,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71" w:type="dxa"/>
        <w:jc w:val="left"/>
        <w:tblInd w:w="0" w:type="dxa"/>
        <w:tblLayout w:type="fixed"/>
        <w:tblCellMar>
          <w:top w:w="28" w:type="dxa"/>
          <w:left w:w="28" w:type="dxa"/>
          <w:bottom w:w="28" w:type="dxa"/>
          <w:right w:w="28" w:type="dxa"/>
        </w:tblCellMar>
      </w:tblPr>
      <w:tblGrid>
        <w:gridCol w:w="911"/>
        <w:gridCol w:w="800"/>
        <w:gridCol w:w="808"/>
        <w:gridCol w:w="109"/>
        <w:gridCol w:w="109"/>
        <w:gridCol w:w="109"/>
        <w:gridCol w:w="742"/>
        <w:gridCol w:w="742"/>
        <w:gridCol w:w="750"/>
        <w:gridCol w:w="109"/>
        <w:gridCol w:w="109"/>
        <w:gridCol w:w="109"/>
        <w:gridCol w:w="749"/>
        <w:gridCol w:w="749"/>
        <w:gridCol w:w="1066"/>
      </w:tblGrid>
      <w:tr>
        <w:trPr/>
        <w:tc>
          <w:tcPr>
            <w:tcW w:w="9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001-36156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20-5455398</w:t>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r>
          </w:p>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No.)</w:t>
            </w:r>
          </w:p>
        </w:tc>
      </w:tr>
    </w:tbl>
    <w:tbl>
      <w:tblPr>
        <w:tblW w:w="7017" w:type="dxa"/>
        <w:jc w:val="left"/>
        <w:tblInd w:w="0" w:type="dxa"/>
        <w:tblLayout w:type="fixed"/>
        <w:tblCellMar>
          <w:top w:w="28" w:type="dxa"/>
          <w:left w:w="28" w:type="dxa"/>
          <w:bottom w:w="28" w:type="dxa"/>
          <w:right w:w="28" w:type="dxa"/>
        </w:tblCellMar>
      </w:tblPr>
      <w:tblGrid>
        <w:gridCol w:w="2024"/>
        <w:gridCol w:w="1780"/>
        <w:gridCol w:w="1791"/>
        <w:gridCol w:w="109"/>
        <w:gridCol w:w="109"/>
        <w:gridCol w:w="109"/>
        <w:gridCol w:w="320"/>
        <w:gridCol w:w="320"/>
        <w:gridCol w:w="455"/>
      </w:tblGrid>
      <w:tr>
        <w:trPr/>
        <w:tc>
          <w:tcPr>
            <w:tcW w:w="202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6000 Shoreline Court, Suite 300, South 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(650) 243-6300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1494"/>
        <w:gridCol w:w="1312"/>
        <w:gridCol w:w="1312"/>
        <w:gridCol w:w="2085"/>
        <w:gridCol w:w="1646"/>
        <w:gridCol w:w="2356"/>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93" w:type="dxa"/>
        <w:jc w:val="left"/>
        <w:tblInd w:w="0" w:type="dxa"/>
        <w:tblLayout w:type="fixed"/>
        <w:tblCellMar>
          <w:top w:w="28" w:type="dxa"/>
          <w:left w:w="28" w:type="dxa"/>
          <w:bottom w:w="28" w:type="dxa"/>
          <w:right w:w="28" w:type="dxa"/>
        </w:tblCellMar>
      </w:tblPr>
      <w:tblGrid>
        <w:gridCol w:w="1303"/>
        <w:gridCol w:w="1142"/>
        <w:gridCol w:w="1155"/>
        <w:gridCol w:w="109"/>
        <w:gridCol w:w="109"/>
        <w:gridCol w:w="109"/>
        <w:gridCol w:w="584"/>
        <w:gridCol w:w="584"/>
        <w:gridCol w:w="586"/>
        <w:gridCol w:w="109"/>
        <w:gridCol w:w="109"/>
        <w:gridCol w:w="109"/>
        <w:gridCol w:w="1137"/>
        <w:gridCol w:w="1137"/>
        <w:gridCol w:w="1611"/>
      </w:tblGrid>
      <w:tr>
        <w:trPr/>
        <w:tc>
          <w:tcPr>
            <w:tcW w:w="130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VCYT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3300"/>
        <w:gridCol w:w="2848"/>
        <w:gridCol w:w="4057"/>
      </w:tblGrid>
      <w:tr>
        <w:trPr/>
        <w:tc>
          <w:tcPr>
            <w:tcW w:w="3300"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July 30, 2026, Veracyte, Inc. issued a press release announcing its financial results for the quarter ended June 30, 2026. The full text of the press release is furnished as Exhibit 99.1 to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3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44"/>
        <w:gridCol w:w="1944"/>
        <w:gridCol w:w="2756"/>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23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cyt-07x30x20268xkearnings.htm">
              <w:r>
                <w:rPr>
                  <w:rStyle w:val="InternetLink"/>
                  <w:rFonts w:ascii="Times New Roman;serif" w:hAnsi="Times New Roman;serif"/>
                  <w:b w:val="false"/>
                  <w:color w:val="000080"/>
                  <w:sz w:val="20"/>
                  <w:u w:val="single"/>
                </w:rPr>
                <w:t xml:space="preserve">Press release issued by Veracyte, Inc. dated </w:t>
              </w:r>
            </w:hyperlink>
            <w:hyperlink w:anchor="vcyt-07x30x20268xkearnings.htm">
              <w:r>
                <w:rPr>
                  <w:rStyle w:val="InternetLink"/>
                  <w:rFonts w:ascii="Times New Roman;serif" w:hAnsi="Times New Roman;serif"/>
                  <w:b w:val="false"/>
                  <w:color w:val="000080"/>
                  <w:sz w:val="20"/>
                  <w:u w:val="single"/>
                </w:rPr>
                <w:t>July</w:t>
              </w:r>
            </w:hyperlink>
            <w:hyperlink w:anchor="vcyt-07x30x20268xkearnings.htm">
              <w:r>
                <w:rPr>
                  <w:rStyle w:val="InternetLink"/>
                  <w:rFonts w:ascii="Times New Roman;serif" w:hAnsi="Times New Roman;serif"/>
                  <w:b w:val="false"/>
                  <w:color w:val="000080"/>
                  <w:sz w:val="20"/>
                  <w:u w:val="single"/>
                </w:rPr>
                <w:t xml:space="preserve"> </w:t>
              </w:r>
            </w:hyperlink>
            <w:hyperlink w:anchor="vcyt-07x30x20268xkearnings.htm">
              <w:r>
                <w:rPr>
                  <w:rStyle w:val="InternetLink"/>
                  <w:rFonts w:ascii="Times New Roman;serif" w:hAnsi="Times New Roman;serif"/>
                  <w:b w:val="false"/>
                  <w:color w:val="000080"/>
                  <w:sz w:val="20"/>
                  <w:u w:val="single"/>
                </w:rPr>
                <w:t>30</w:t>
              </w:r>
            </w:hyperlink>
            <w:hyperlink w:anchor="vcyt-07x30x20268xkearnings.htm">
              <w:r>
                <w:rPr>
                  <w:rStyle w:val="InternetLink"/>
                  <w:rFonts w:ascii="Times New Roman;serif" w:hAnsi="Times New Roman;serif"/>
                  <w:b w:val="false"/>
                  <w:color w:val="000080"/>
                  <w:sz w:val="20"/>
                  <w:u w:val="single"/>
                </w:rPr>
                <w:t>,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132" w:type="dxa"/>
        <w:jc w:val="left"/>
        <w:tblInd w:w="0" w:type="dxa"/>
        <w:tblLayout w:type="fixed"/>
        <w:tblCellMar>
          <w:top w:w="28" w:type="dxa"/>
          <w:left w:w="28" w:type="dxa"/>
          <w:bottom w:w="28" w:type="dxa"/>
          <w:right w:w="28" w:type="dxa"/>
        </w:tblCellMar>
      </w:tblPr>
      <w:tblGrid>
        <w:gridCol w:w="260"/>
        <w:gridCol w:w="229"/>
        <w:gridCol w:w="231"/>
        <w:gridCol w:w="404"/>
        <w:gridCol w:w="404"/>
        <w:gridCol w:w="407"/>
        <w:gridCol w:w="266"/>
        <w:gridCol w:w="266"/>
        <w:gridCol w:w="266"/>
        <w:gridCol w:w="699"/>
        <w:gridCol w:w="699"/>
        <w:gridCol w:w="1001"/>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21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VERACYTE, INC.</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99.1</w:t>
      </w:r>
    </w:p>
    <w:p>
      <w:pPr>
        <w:pStyle w:val="TextBody"/>
        <w:bidi w:val="0"/>
        <w:spacing w:before="0" w:after="0"/>
        <w:jc w:val="center"/>
        <w:rPr/>
      </w:pPr>
      <w:r>
        <w:rPr/>
      </w:r>
    </w:p>
    <w:p>
      <w:pPr>
        <w:pStyle w:val="TextBody"/>
        <w:bidi w:val="0"/>
        <w:spacing w:before="0" w:after="0"/>
        <w:jc w:val="center"/>
        <w:rPr/>
      </w:pPr>
      <w:r>
        <w:rPr/>
        <w:drawing>
          <wp:inline distT="0" distB="0" distL="0" distR="0">
            <wp:extent cx="24765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76500" cy="5429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Veracyte Announces Second Quarter 2026 Financial Results</w:t>
      </w:r>
    </w:p>
    <w:p>
      <w:pPr>
        <w:pStyle w:val="TextBody"/>
        <w:bidi w:val="0"/>
        <w:spacing w:before="0" w:after="0"/>
        <w:jc w:val="left"/>
        <w:rPr/>
      </w:pPr>
      <w:r>
        <w:rPr/>
      </w:r>
    </w:p>
    <w:p>
      <w:pPr>
        <w:pStyle w:val="TextBody"/>
        <w:bidi w:val="0"/>
        <w:spacing w:lineRule="auto" w:line="276" w:before="0" w:after="0"/>
        <w:jc w:val="center"/>
        <w:rPr/>
      </w:pPr>
      <w:r>
        <w:rPr>
          <w:rFonts w:ascii="Arial;sans-serif" w:hAnsi="Arial;sans-serif"/>
          <w:b w:val="false"/>
          <w:i/>
          <w:color w:val="000000"/>
          <w:sz w:val="20"/>
        </w:rPr>
        <w:t>Grew total revenue to $150.3 million and testing revenue to $145.7 million, representing increases of 15% and 19%</w:t>
      </w:r>
      <w:r>
        <w:rPr>
          <w:color w:val="000000"/>
        </w:rPr>
        <w:t xml:space="preserve"> </w:t>
      </w:r>
      <w:r>
        <w:rPr>
          <w:rFonts w:ascii="Arial;sans-serif" w:hAnsi="Arial;sans-serif"/>
          <w:b w:val="false"/>
          <w:i/>
          <w:color w:val="000000"/>
          <w:sz w:val="20"/>
        </w:rPr>
        <w:t>year-over-year, respectively</w:t>
      </w:r>
    </w:p>
    <w:p>
      <w:pPr>
        <w:pStyle w:val="TextBody"/>
        <w:bidi w:val="0"/>
        <w:spacing w:lineRule="auto" w:line="276" w:before="0" w:after="0"/>
        <w:jc w:val="center"/>
        <w:rPr>
          <w:rFonts w:ascii="Arial;sans-serif" w:hAnsi="Arial;sans-serif"/>
          <w:b w:val="false"/>
          <w:i/>
          <w:color w:val="000000"/>
          <w:sz w:val="20"/>
        </w:rPr>
      </w:pPr>
      <w:r>
        <w:rPr>
          <w:rFonts w:ascii="Arial;sans-serif" w:hAnsi="Arial;sans-serif"/>
          <w:b w:val="false"/>
          <w:i/>
          <w:color w:val="000000"/>
          <w:sz w:val="20"/>
        </w:rPr>
        <w:t>Conference call and webcast today at 4:30 p.m. ET</w:t>
      </w:r>
    </w:p>
    <w:p>
      <w:pPr>
        <w:pStyle w:val="TextBody"/>
        <w:bidi w:val="0"/>
        <w:spacing w:before="0" w:after="0"/>
        <w:jc w:val="center"/>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SOUTH SAN FRANCISCO, Calif., July 30, 2026 --- Veracyte, Inc. (Nasdaq: VCYT), a leading cancer diagnostics company, today announced financial results for the second quarter ended June 30, 2026.</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Q2 was a milestone quarter for Veracyte as we launched two new products, Prosigna LDT and TrueMRD for MIBC, while also delivering strong double-digit revenue growth, profitability and cash generation,” said Marc Stapley, Veracyte’s chief executive officer. “These launches meaningfully expand our ability to serve more patients across the cancer care continuum and, combined with the strength of our core business, position us well to deliver durable double-digit growth.”</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Key Financial Highlights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For the three-month period ended June 30, 2026, as compared to the same period in 2025:</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Increased total revenue by 15% to $150.3 million and testing revenue by 19% to $145.7 million, driven by Decipher growth of 20% to $91.9 million and Afirma growth of 18% to $51.2 million.</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Increased total volume by 13% to 50,967 tests and testing volume by 14% to 48,389 tests, driven by Decipher growth of 17% to approximately 29,700 tests and Afirma growth of 10% to approximately 18,600 tests.</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Recorded GAAP net income of $25.5 million, or 17.0% of revenue, and delivered adjusted EBITDA of $44.0 million, or</w:t>
      </w:r>
      <w:r>
        <w:rPr>
          <w:color w:val="000000"/>
          <w:shd w:fill="FFFFFF" w:val="clear"/>
        </w:rPr>
        <w:t xml:space="preserve"> </w:t>
      </w:r>
      <w:r>
        <w:rPr>
          <w:rFonts w:ascii="Arial;sans-serif" w:hAnsi="Arial;sans-serif"/>
          <w:b w:val="false"/>
          <w:color w:val="000000"/>
          <w:sz w:val="20"/>
          <w:shd w:fill="FFFFFF" w:val="clear"/>
        </w:rPr>
        <w:t>29.2% o</w:t>
      </w:r>
      <w:r>
        <w:rPr>
          <w:rFonts w:ascii="Arial;sans-serif" w:hAnsi="Arial;sans-serif"/>
          <w:b w:val="false"/>
          <w:color w:val="000000"/>
          <w:sz w:val="20"/>
        </w:rPr>
        <w:t>f revenue.</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Generated $45.8 million of cash from operations to end the quarter with $485.2 million of cash, cash equivalents, and short-term investments as of June 30, 2026.</w:t>
      </w:r>
    </w:p>
    <w:p>
      <w:pPr>
        <w:pStyle w:val="TextBody"/>
        <w:bidi w:val="0"/>
        <w:spacing w:lineRule="auto" w:line="268" w:before="120" w:after="283"/>
        <w:jc w:val="both"/>
        <w:rPr>
          <w:rFonts w:ascii="Arial;sans-serif" w:hAnsi="Arial;sans-serif"/>
          <w:b/>
          <w:color w:val="000000"/>
          <w:sz w:val="20"/>
        </w:rPr>
      </w:pPr>
      <w:r>
        <w:rPr>
          <w:rFonts w:ascii="Arial;sans-serif" w:hAnsi="Arial;sans-serif"/>
          <w:b/>
          <w:color w:val="000000"/>
          <w:sz w:val="20"/>
        </w:rPr>
        <w:t>Key Business Highlights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Launched the Prosigna Breast Test in the U.S. for patients diagnosed with early-stage hormone-receptor positive (HR+) breast cancer.</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Launched the TrueMRD Monitoring Test for patients with muscle-invasive bladder cancer (MIBC).</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Secured Medicare coverage for the TrueMRD Monitoring Test, representing the first Medicare coverage decision for the whole-genome sequencing-based TrueMRD platform.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Further expanded the clinical evidence of our testing portfolio, including new predictive evidence from the OPTIMA trial supporting the clinical utility of Prosigna and the ENZAMET trial expanding the Decipher clinical evidence base. Together, Decipher and Afirma were featured in nearly 60 abstracts and presentations during the quarter. </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 xml:space="preserve">A reconciliation of GAAP to non-GAAP financial measures has been provided in the tables included in this press release. An explanation of these measures is also included below under the heading "Note Regarding Use of Non-GAAP Financial Measures." </w:t>
      </w:r>
    </w:p>
    <w:p>
      <w:pPr>
        <w:pStyle w:val="TextBody"/>
        <w:bidi w:val="0"/>
        <w:spacing w:before="0" w:after="0"/>
        <w:jc w:val="left"/>
        <w:rPr/>
      </w:pPr>
      <w:r>
        <w:rPr/>
      </w:r>
    </w:p>
    <w:p>
      <w:pPr>
        <w:pStyle w:val="TextBody"/>
        <w:bidi w:val="0"/>
        <w:spacing w:lineRule="auto" w:line="276" w:before="0" w:after="60"/>
        <w:jc w:val="left"/>
        <w:rPr>
          <w:rFonts w:ascii="Arial;sans-serif" w:hAnsi="Arial;sans-serif"/>
          <w:b/>
          <w:color w:val="000000"/>
          <w:sz w:val="20"/>
        </w:rPr>
      </w:pPr>
      <w:r>
        <w:rPr>
          <w:rFonts w:ascii="Arial;sans-serif" w:hAnsi="Arial;sans-serif"/>
          <w:b/>
          <w:color w:val="000000"/>
          <w:sz w:val="20"/>
        </w:rPr>
        <w:t>Second Quarter 2026 Financial Results </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Total revenue for the second quarter of 2026 was $150.3 million, an increase of 15% compared to $130.2 million reported in the second quarter of 2025. Testing revenue was $145.7 million, an increase of 19% compared to $122.3 million in the second quarter of 2025, driven by growth in our Decipher Prostate and Afirma tests. Product revenue was $3.9 million, an increase of 7% compared to $3.6 million in the second quarter of 2025. Biopharmaceutical and other revenue was $0.8 million, an expected decrease compared to $4.3 million in the second quarter of 2025 given the restructuring and liquidation proceedings of Veracyte SAS. </w:t>
      </w:r>
    </w:p>
    <w:p>
      <w:pPr>
        <w:pStyle w:val="TextBody"/>
        <w:bidi w:val="0"/>
        <w:spacing w:before="0" w:after="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Total gross margin for the second quarter of 2026 was 72%, compared to 69% in the second quarter of 2025. Non-GAAP gross margin was 75%, compared to 72% in the second quarter of 2025.</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Operating expenses were $85.6 million for the second quarter of 2026 compared to $95.0 million in the second quarter of 2025. Non-GAAP operating expenses grew 16% to $70.0 million compared to $60.3 million in the second quarter of 2025.</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Net income for the second quarter of 2026 was $25.5 million, an increase of $26.5 million compared to the second quarter of 2025. Diluted net earnings per common share was $0.31, an improvement of $0.32 compared to the second quarter of 2025. Non-GAAP diluted net earnings per common share was $0.54, an increase of $0.10 compared to the second quarter of 2025. Net cash provided by operating activities in the first six months of 2026 was $81.0 million, an improvement of $42.1 million compared to the same period in 2025.</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Adjusted EBITDA for the second quarter of 2026 was $44.0 million, an improvement of 23% compared to the second quarter of 2025, representi</w:t>
      </w:r>
      <w:r>
        <w:rPr>
          <w:rFonts w:ascii="Arial;sans-serif" w:hAnsi="Arial;sans-serif"/>
          <w:b w:val="false"/>
          <w:color w:val="000000"/>
          <w:sz w:val="20"/>
          <w:shd w:fill="FFFFFF" w:val="clear"/>
        </w:rPr>
        <w:t>ng 29.2%</w:t>
      </w:r>
      <w:r>
        <w:rPr>
          <w:color w:val="000000"/>
        </w:rPr>
        <w:t xml:space="preserve"> </w:t>
      </w:r>
      <w:r>
        <w:rPr>
          <w:rFonts w:ascii="Arial;sans-serif" w:hAnsi="Arial;sans-serif"/>
          <w:b w:val="false"/>
          <w:color w:val="000000"/>
          <w:sz w:val="20"/>
        </w:rPr>
        <w:t>of revenue compared to 27.5% of revenue in the same period in 2025.</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2026 Financial Outlook</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company is raising 2026 total revenue guidance to $590 million to $596 million, or 14% to 15% growth, from prior guidance of $582 to $592 million, or 13% to 14% growth. The company is also raising testing revenue guidance to $576 million to $582 million, or 17% to 18% growth, from prior guidance of $570 million to $580 million, excluding the contribution from recently launched tests.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company continues to expect adjusted EBITDA margin to be greater than 26%.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 is unable to provide a quantitative reconciliation of expected adjusted EBITDA margin to expected GAAP net income margin, the most directly comparable forward-looking GAAP measure without unreasonable effort, because of the inherent difficulty in accurately forecasting the occurrence and financial impact of the various adjusting items necessary for such reconciliations that have not yet occurred, that are dependent on various factors, are out of the company’s control, or that cannot be reasonably predicted. Such adjustments include, but are not limited to, acquisition-related expenses, and other adjustments. Any associated estimate of these items and their impact on GAAP performance for the guidance period could vary materially. For more information on the non-GAAP financial measures, please refer to the section titled “Note Regarding Use of Non-GAAP Financial Measures” at the end of this press release.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Conference Call and Webcast Details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Veracyte will host a conference call and webcast today at 4:30 p.m. Eastern Time to discuss the company's financial results and provide a general business update. The conference call will be webcast live from the company’s website and will be available via the following link: https://edge.media-server.com/mmc/p/wwu2pyd7. The webcast should be accessed 10 minutes prior to the conference call start time. A replay of the webcast will be available for one year following the conclusion of the live broadcast and will be accessible on the company’s website at https://investor.veracyte.com/events-presentations.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Veracyte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222222"/>
          <w:sz w:val="20"/>
        </w:rPr>
        <w:t xml:space="preserve">Veracyte (Nasdaq: VCYT) is a global diagnostics company with a vision to transform cancer care for patients around the world. The company’s molecular tests assess the unique biology of each patient’s tumor to help clinicians answer essential questions about cancer care. </w:t>
      </w:r>
      <w:r>
        <w:rPr>
          <w:rFonts w:ascii="Arial;sans-serif" w:hAnsi="Arial;sans-serif"/>
          <w:b w:val="false"/>
          <w:color w:val="000000"/>
          <w:sz w:val="20"/>
        </w:rPr>
        <w:t>Veracyte’s Diagnostics Platform</w:t>
      </w:r>
      <w:r>
        <w:rPr>
          <w:color w:val="222222"/>
        </w:rPr>
        <w:t xml:space="preserve"> </w:t>
      </w:r>
      <w:r>
        <w:rPr>
          <w:rFonts w:ascii="Arial;sans-serif" w:hAnsi="Arial;sans-serif"/>
          <w:b w:val="false"/>
          <w:color w:val="222222"/>
          <w:sz w:val="20"/>
        </w:rPr>
        <w:t xml:space="preserve">combines broad genomic and clinical data, advanced bioinformatics and AI, and a powerful evidence-generation engine to support continued </w:t>
      </w:r>
      <w:r>
        <w:rPr>
          <w:rFonts w:ascii="Arial;sans-serif" w:hAnsi="Arial;sans-serif"/>
          <w:b w:val="false"/>
          <w:color w:val="000000"/>
          <w:sz w:val="20"/>
        </w:rPr>
        <w:t>innovation and pipeline development</w:t>
      </w:r>
      <w:r>
        <w:rPr>
          <w:rFonts w:ascii="Arial;sans-serif" w:hAnsi="Arial;sans-serif"/>
          <w:b w:val="false"/>
          <w:color w:val="222222"/>
          <w:sz w:val="20"/>
        </w:rPr>
        <w:t xml:space="preserve">. The company’s portfolio includes the </w:t>
      </w:r>
      <w:r>
        <w:rPr>
          <w:rFonts w:ascii="Arial;sans-serif" w:hAnsi="Arial;sans-serif"/>
          <w:b w:val="false"/>
          <w:color w:val="000000"/>
          <w:sz w:val="20"/>
        </w:rPr>
        <w:t>Afirma® Genomic Sequencing Classifier test</w:t>
      </w:r>
      <w:r>
        <w:rPr>
          <w:rFonts w:ascii="Arial;sans-serif" w:hAnsi="Arial;sans-serif"/>
          <w:b w:val="false"/>
          <w:color w:val="222222"/>
          <w:sz w:val="20"/>
        </w:rPr>
        <w:t xml:space="preserve">, </w:t>
      </w:r>
      <w:r>
        <w:rPr>
          <w:rFonts w:ascii="Arial;sans-serif" w:hAnsi="Arial;sans-serif"/>
          <w:b w:val="false"/>
          <w:color w:val="000000"/>
          <w:sz w:val="20"/>
        </w:rPr>
        <w:t>Decipher® Bladder Genomic Classifier test</w:t>
      </w:r>
      <w:r>
        <w:rPr>
          <w:rFonts w:ascii="Arial;sans-serif" w:hAnsi="Arial;sans-serif"/>
          <w:b w:val="false"/>
          <w:color w:val="222222"/>
          <w:sz w:val="20"/>
        </w:rPr>
        <w:t xml:space="preserve">, </w:t>
      </w:r>
      <w:r>
        <w:rPr>
          <w:rFonts w:ascii="Arial;sans-serif" w:hAnsi="Arial;sans-serif"/>
          <w:b w:val="false"/>
          <w:color w:val="000000"/>
          <w:sz w:val="20"/>
        </w:rPr>
        <w:t>Decipher® Prostate Genomic Classifier test</w:t>
      </w:r>
      <w:r>
        <w:rPr>
          <w:rFonts w:ascii="Arial;sans-serif" w:hAnsi="Arial;sans-serif"/>
          <w:b w:val="false"/>
          <w:color w:val="222222"/>
          <w:sz w:val="20"/>
        </w:rPr>
        <w:t xml:space="preserve">, </w:t>
      </w:r>
      <w:r>
        <w:rPr>
          <w:rFonts w:ascii="Arial;sans-serif" w:hAnsi="Arial;sans-serif"/>
          <w:b w:val="false"/>
          <w:color w:val="000000"/>
          <w:sz w:val="20"/>
        </w:rPr>
        <w:t>Prosigna® Breast Risk of Recurrence test</w:t>
      </w:r>
      <w:r>
        <w:rPr>
          <w:rFonts w:ascii="Arial;sans-serif" w:hAnsi="Arial;sans-serif"/>
          <w:b w:val="false"/>
          <w:color w:val="222222"/>
          <w:sz w:val="20"/>
        </w:rPr>
        <w:t xml:space="preserve">, and the </w:t>
      </w:r>
      <w:r>
        <w:rPr>
          <w:rFonts w:ascii="Arial;sans-serif" w:hAnsi="Arial;sans-serif"/>
          <w:b w:val="false"/>
          <w:color w:val="000000"/>
          <w:sz w:val="20"/>
        </w:rPr>
        <w:t>TrueMRD™ Monitoring Test for MIBC</w:t>
      </w:r>
      <w:r>
        <w:rPr>
          <w:rFonts w:ascii="Arial;sans-serif" w:hAnsi="Arial;sans-serif"/>
          <w:b w:val="false"/>
          <w:color w:val="222222"/>
          <w:sz w:val="20"/>
        </w:rPr>
        <w:t xml:space="preserve">. For more information, visit Veracyte’s </w:t>
      </w:r>
      <w:r>
        <w:rPr>
          <w:rFonts w:ascii="Arial;sans-serif" w:hAnsi="Arial;sans-serif"/>
          <w:b w:val="false"/>
          <w:color w:val="000000"/>
          <w:sz w:val="20"/>
        </w:rPr>
        <w:t>website</w:t>
      </w:r>
      <w:r>
        <w:rPr>
          <w:color w:val="222222"/>
        </w:rPr>
        <w:t xml:space="preserve"> </w:t>
      </w:r>
      <w:r>
        <w:rPr>
          <w:rFonts w:ascii="Arial;sans-serif" w:hAnsi="Arial;sans-serif"/>
          <w:b w:val="false"/>
          <w:color w:val="222222"/>
          <w:sz w:val="20"/>
        </w:rPr>
        <w:t xml:space="preserve">or follow the company on </w:t>
      </w:r>
      <w:r>
        <w:rPr>
          <w:rFonts w:ascii="Arial;sans-serif" w:hAnsi="Arial;sans-serif"/>
          <w:b w:val="false"/>
          <w:color w:val="000000"/>
          <w:sz w:val="20"/>
        </w:rPr>
        <w:t>LinkedIn</w:t>
      </w:r>
      <w:r>
        <w:rPr>
          <w:color w:val="222222"/>
        </w:rPr>
        <w:t xml:space="preserve"> </w:t>
      </w:r>
      <w:r>
        <w:rPr>
          <w:rFonts w:ascii="Arial;sans-serif" w:hAnsi="Arial;sans-serif"/>
          <w:b w:val="false"/>
          <w:color w:val="222222"/>
          <w:sz w:val="20"/>
        </w:rPr>
        <w:t xml:space="preserve">or </w:t>
      </w:r>
      <w:r>
        <w:rPr>
          <w:rFonts w:ascii="Arial;sans-serif" w:hAnsi="Arial;sans-serif"/>
          <w:b w:val="false"/>
          <w:color w:val="000000"/>
          <w:sz w:val="20"/>
        </w:rPr>
        <w:t>X (Twitter)</w:t>
      </w:r>
      <w:r>
        <w:rPr>
          <w:rFonts w:ascii="Arial;sans-serif" w:hAnsi="Arial;sans-serif"/>
          <w:b w:val="false"/>
          <w:color w:val="222222"/>
          <w:sz w:val="20"/>
        </w:rPr>
        <w:t>.</w:t>
      </w:r>
    </w:p>
    <w:p>
      <w:pPr>
        <w:pStyle w:val="TextBody"/>
        <w:bidi w:val="0"/>
        <w:spacing w:lineRule="auto" w:line="268"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Cautionary Note Regarding Forward-Looking Statements </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including, but not limited to our statements related to our plans, objectives, and expectations (financial and otherwise), including with respect to our 2026 financial and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operating results; and our intentions with respect to the development, launch, commercialization, adoption, and reimbursement of our tests and products. Forward-looking statements can be identified by words such as: “appears,” “anticipate,” “intend,” “plan,” “expect,” “believe,” “should,” “may,” “could,” “would,” “will,” “enable,” “positioned,” “offers,” “designed,” “ultimately,” “strategic,” “outlook,” “guidance,”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our ability to execute on our business strategies relating to the C2i Genomics acquisition, integration of the business and the realization of expected benefits and synergies; our ability to demonstrate the validity and utility of our genomic tests and biopharma and other offerings; our ability to continue executing on our business plan; our ability to continue to scale our global operations and enhance our internal control environment; the impact of the war in Ukraine and other regional conflicts on European economies; the impact of foreign currency fluctuations, volatile interest rates, inflation, the impact of legislation and policies enacted by the current U.S. administration; turmoil in the global banking and finance system; the ongoing conflict in the Middle East; and the performance and utility of our tests in the clinical environment. Additional factors that may impact these forward-looking statements can be found under the caption “Risk Factors” in our Annual Report on Form 10-K filed on February 26, 2026, as well as in other documents that we may file from time to time with the Securities and Exchange Commission. Copies of these documents, when available, may be found in the Investors section of our website at investor.veracyte.com. These forward-looking statements speak only as of the date hereof and, except as required by law, we specifically disclaim any obligation to update these forward-looking statements, whether as a result of new information, future events or otherwise.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Note Regarding Use of Non-GAAP Financial Measures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to the financial measures prepared in accordance with generally accepted accounting principles (GAAP), this press release and the accompanying tables contain, and reference certain non-GAAP results including non-GAAP gross margin, non-GAAP operating expenses, adjusted EBITDA, adjusted EBITDA as a percentage of revenue (also referred to as adjusted EBITDA margin), non-GAAP net income, and non-GAAP earnings per share (EPS) and non-GAAP weighted average shares outstanding. These non-GAAP financial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use non-GAAP financial measures to internally evaluate and analyze financial results. We believe these non-GAAP financial measures provide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 many of which present similar non-GAAP financial measures. However, the non-GAAP financial measures we present may be different from those used by other companies, including similarly titled measures.</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We compute these non-GAAP measures by adjusting the applicable GAAP measure to remove the impact of certain recurring and non-recurring charges and gains and to adjust for the impact of income tax items related to such adjustments to our GAAP financial statements. In particular, we exclude amortization of acquired intangible assets, acquisition-related expenses relating to our acquisitions of Decipher Biosciences, HalioDx and C2i Genomics, impairment charges associated with the nCounter license and other biopharmaceutical services related to HalioDx intangible assets, all stock-based compensation and certain costs related to restructuring from all of our non-GAAP financial measures as well as depreciation and income tax items from our adjusted EBITDA and adjusted EBITDA as a percentage of revenue. Beginning in the second quarter of 2024, we changed our non-GAAP policy to exclude all stock-based compensation to align with our peers and we have also excluded all stock-based compensation from our prior period non-GAAP financial measures. Management has excluded the effects of these items in non-GAAP financial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together with its supplemental non‐GAAP information and the reconciliation between these presentations. See “Reconciliation of U.S. GAAP to Non-GAAP Financial Measures” for a reconciliation of each non-GAAP measure presented to the comparable GAAP financial measure.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32"/>
        <w:gridCol w:w="1346"/>
        <w:gridCol w:w="1353"/>
        <w:gridCol w:w="222"/>
        <w:gridCol w:w="904"/>
        <w:gridCol w:w="110"/>
        <w:gridCol w:w="110"/>
        <w:gridCol w:w="110"/>
        <w:gridCol w:w="110"/>
        <w:gridCol w:w="222"/>
        <w:gridCol w:w="904"/>
        <w:gridCol w:w="110"/>
        <w:gridCol w:w="109"/>
        <w:gridCol w:w="109"/>
        <w:gridCol w:w="109"/>
        <w:gridCol w:w="222"/>
        <w:gridCol w:w="904"/>
        <w:gridCol w:w="109"/>
        <w:gridCol w:w="109"/>
        <w:gridCol w:w="109"/>
        <w:gridCol w:w="109"/>
        <w:gridCol w:w="222"/>
        <w:gridCol w:w="904"/>
        <w:gridCol w:w="157"/>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STATEMENTS OF OPERATIONS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except share and per share amounts)</w:t>
            </w:r>
          </w:p>
        </w:tc>
      </w:tr>
      <w:tr>
        <w:trPr/>
        <w:tc>
          <w:tcPr>
            <w:tcW w:w="4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4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2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Testing revenue</w:t>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145,661 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122,263 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229,572 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Biopharmaceutical and other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150,321 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130,164 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289,392 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244,637 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(1)</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testing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32,407 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60,667 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biopharmaceutical and other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 cost of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revenue</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41,772 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40,395 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75,360 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108,549 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89,769 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209,708 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169,277 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(1)</w:t>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29,442 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25,316 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49,770 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32,331 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66,139 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assets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 operating expenses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85,569 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95,037 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171,641 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22,980 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(5,268)</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(2,364)</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26,523 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8,678 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25,490 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(loss) per share:</w:t>
            </w:r>
          </w:p>
        </w:tc>
        <w:tc>
          <w:tcPr>
            <w:tcW w:w="1236"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to compute earnings (loss) per common share:</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79,972,389 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78,391,502 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79,755,699 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78,210,881 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82,059,442 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78,391,502 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81,753,292 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79,905,121 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Cost of revenue, research and development, sales and marketing and general and administrative expenses include the following stock-based compensation related expenses: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9366" w:type="dxa"/>
        <w:jc w:val="center"/>
        <w:tblInd w:w="0" w:type="dxa"/>
        <w:tblLayout w:type="fixed"/>
        <w:tblCellMar>
          <w:top w:w="28" w:type="dxa"/>
          <w:left w:w="28" w:type="dxa"/>
          <w:bottom w:w="28" w:type="dxa"/>
          <w:right w:w="28" w:type="dxa"/>
        </w:tblCellMar>
      </w:tblPr>
      <w:tblGrid>
        <w:gridCol w:w="1359"/>
        <w:gridCol w:w="1193"/>
        <w:gridCol w:w="1198"/>
        <w:gridCol w:w="233"/>
        <w:gridCol w:w="830"/>
        <w:gridCol w:w="120"/>
        <w:gridCol w:w="120"/>
        <w:gridCol w:w="120"/>
        <w:gridCol w:w="120"/>
        <w:gridCol w:w="233"/>
        <w:gridCol w:w="830"/>
        <w:gridCol w:w="120"/>
        <w:gridCol w:w="109"/>
        <w:gridCol w:w="109"/>
        <w:gridCol w:w="109"/>
        <w:gridCol w:w="215"/>
        <w:gridCol w:w="766"/>
        <w:gridCol w:w="111"/>
        <w:gridCol w:w="111"/>
        <w:gridCol w:w="111"/>
        <w:gridCol w:w="111"/>
        <w:gridCol w:w="215"/>
        <w:gridCol w:w="766"/>
        <w:gridCol w:w="157"/>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Cost of revenue </w:t>
            </w:r>
          </w:p>
        </w:tc>
        <w:tc>
          <w:tcPr>
            <w:tcW w:w="233"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960 </w:t>
            </w:r>
          </w:p>
        </w:tc>
        <w:tc>
          <w:tcPr>
            <w:tcW w:w="120"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120"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2,059 </w:t>
            </w:r>
          </w:p>
        </w:tc>
        <w:tc>
          <w:tcPr>
            <w:tcW w:w="11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1,128 </w:t>
            </w:r>
          </w:p>
        </w:tc>
        <w:tc>
          <w:tcPr>
            <w:tcW w:w="157"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0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14,086 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10,985 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26,847 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21,943 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17"/>
        <w:gridCol w:w="1158"/>
        <w:gridCol w:w="1139"/>
        <w:gridCol w:w="261"/>
        <w:gridCol w:w="933"/>
        <w:gridCol w:w="134"/>
        <w:gridCol w:w="134"/>
        <w:gridCol w:w="134"/>
        <w:gridCol w:w="134"/>
        <w:gridCol w:w="261"/>
        <w:gridCol w:w="933"/>
        <w:gridCol w:w="134"/>
        <w:gridCol w:w="134"/>
        <w:gridCol w:w="134"/>
        <w:gridCol w:w="134"/>
        <w:gridCol w:w="261"/>
        <w:gridCol w:w="933"/>
        <w:gridCol w:w="134"/>
        <w:gridCol w:w="134"/>
        <w:gridCol w:w="134"/>
        <w:gridCol w:w="134"/>
        <w:gridCol w:w="261"/>
        <w:gridCol w:w="933"/>
        <w:gridCol w:w="207"/>
      </w:tblGrid>
      <w:tr>
        <w:trPr/>
        <w:tc>
          <w:tcPr>
            <w:tcW w:w="131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 OF COMPREHENSIVE INCOME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4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4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25,490 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54,197 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6,067 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currency translation adjustments</w:t>
            </w:r>
          </w:p>
        </w:tc>
        <w:tc>
          <w:tcPr>
            <w:tcW w:w="1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comprehensive income</w:t>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25,772 </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15,702 </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54,470 </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30,198 </w:t>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207"/>
        <w:gridCol w:w="1439"/>
        <w:gridCol w:w="1384"/>
        <w:gridCol w:w="351"/>
        <w:gridCol w:w="1703"/>
        <w:gridCol w:w="181"/>
        <w:gridCol w:w="181"/>
        <w:gridCol w:w="181"/>
        <w:gridCol w:w="181"/>
        <w:gridCol w:w="351"/>
        <w:gridCol w:w="1703"/>
        <w:gridCol w:w="181"/>
        <w:gridCol w:w="162"/>
      </w:tblGrid>
      <w:tr>
        <w:trPr/>
        <w:tc>
          <w:tcPr>
            <w:tcW w:w="220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BALANCE SHEETS</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(See Note 1)</w:t>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299,521 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362,578 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185,711 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50,311 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54,177 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44,660 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22,656 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20,546 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12,710 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574,775 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488,376 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22,192 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operating leases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35,163 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36,599 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89,148 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767,154 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767,154 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1,486,366 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1,406,019 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Stockholders’ Equity</w:t>
            </w:r>
          </w:p>
        </w:tc>
        <w:tc>
          <w:tcPr>
            <w:tcW w:w="2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47,677 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48,801 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deferred revenue</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acquisition-related contingent consideration</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operating lease liabilities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62,736 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59,937 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contingent consideration, net of current portion</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34,331 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35,603 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liabilities</w:t>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97,963 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96,443 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1,388,403 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1,309,576 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1,486,366 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1,406,019 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 The condensed consolidated balance sheet at December 31, 2025 has been derived from the audited financial statements at that date included in the company's Annual Report on Form 10-K for the year ended December 31, 2025, filed with the Securities and Exchange Commission on February 26, 2026.</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2"/>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77"/>
        <w:gridCol w:w="1722"/>
        <w:gridCol w:w="1727"/>
        <w:gridCol w:w="335"/>
        <w:gridCol w:w="1360"/>
        <w:gridCol w:w="172"/>
        <w:gridCol w:w="172"/>
        <w:gridCol w:w="172"/>
        <w:gridCol w:w="172"/>
        <w:gridCol w:w="335"/>
        <w:gridCol w:w="1360"/>
        <w:gridCol w:w="501"/>
      </w:tblGrid>
      <w:tr>
        <w:trPr/>
        <w:tc>
          <w:tcPr>
            <w:tcW w:w="2177"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STATEMENTS OF CASH FLOWS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5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5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54,197 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6,067 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10,851 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property, plant and equipment</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26,847 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21,943 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Revaluation of acquisition-related contingent consideration</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(2,879)</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foreign currency on operations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(5,050)</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discount on short-term investments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loss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20,505 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(4,283)</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(2,863)</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(5,460)</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(1,186)</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3,113 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 and deferred revenue</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81,041 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38,967 </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short-term investments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(184,998)</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(99,998)</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maturity of short-term investments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50,935 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51,061 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loan receivable</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(1,622)</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plant and equipment</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(3,105)</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(141,506)</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(52,042)</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taxes on vested restricted stock units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(13,658)</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(11,831)</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common stock options and employee stock purchases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4,781 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(2,490)</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(7,050)</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Decrease in cash, cash equivalents and restricted cash</w:t>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(62,955)</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(20,125)</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 of foreign currency on cash, cash equivalents and restricted cash</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decrease in cash, cash equivalents and restricted cash</w:t>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(63,039)</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(19,478)</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beginning of period</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364,226 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240,631 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end of period</w:t>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301,187 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221,153 </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8947" w:type="dxa"/>
        <w:jc w:val="left"/>
        <w:tblInd w:w="0" w:type="dxa"/>
        <w:tblLayout w:type="fixed"/>
        <w:tblCellMar>
          <w:top w:w="28" w:type="dxa"/>
          <w:left w:w="28" w:type="dxa"/>
          <w:bottom w:w="28" w:type="dxa"/>
          <w:right w:w="28" w:type="dxa"/>
        </w:tblCellMar>
      </w:tblPr>
      <w:tblGrid>
        <w:gridCol w:w="1574"/>
        <w:gridCol w:w="1385"/>
        <w:gridCol w:w="1391"/>
        <w:gridCol w:w="356"/>
        <w:gridCol w:w="1445"/>
        <w:gridCol w:w="184"/>
        <w:gridCol w:w="184"/>
        <w:gridCol w:w="184"/>
        <w:gridCol w:w="184"/>
        <w:gridCol w:w="356"/>
        <w:gridCol w:w="1445"/>
        <w:gridCol w:w="259"/>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CASH, CASH EQUIVALENTS AND RESTRICTED CASH</w:t>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5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299,521 </w:t>
            </w:r>
          </w:p>
        </w:tc>
        <w:tc>
          <w:tcPr>
            <w:tcW w:w="18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362,578 </w:t>
            </w:r>
          </w:p>
        </w:tc>
        <w:tc>
          <w:tcPr>
            <w:tcW w:w="25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301,187 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364,226 </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36"/>
        <w:gridCol w:w="799"/>
        <w:gridCol w:w="801"/>
        <w:gridCol w:w="248"/>
        <w:gridCol w:w="1009"/>
        <w:gridCol w:w="337"/>
        <w:gridCol w:w="128"/>
        <w:gridCol w:w="128"/>
        <w:gridCol w:w="128"/>
        <w:gridCol w:w="248"/>
        <w:gridCol w:w="885"/>
        <w:gridCol w:w="337"/>
        <w:gridCol w:w="128"/>
        <w:gridCol w:w="128"/>
        <w:gridCol w:w="128"/>
        <w:gridCol w:w="248"/>
        <w:gridCol w:w="1009"/>
        <w:gridCol w:w="337"/>
        <w:gridCol w:w="128"/>
        <w:gridCol w:w="128"/>
        <w:gridCol w:w="128"/>
        <w:gridCol w:w="248"/>
        <w:gridCol w:w="1009"/>
        <w:gridCol w:w="402"/>
      </w:tblGrid>
      <w:tr>
        <w:trPr/>
        <w:tc>
          <w:tcPr>
            <w:tcW w:w="113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RECONCILIATION OF U.S. GAAP to NON-GAAP FINANCIAL MEASURES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Cost of Revenue:</w:t>
            </w:r>
          </w:p>
        </w:tc>
        <w:tc>
          <w:tcPr>
            <w:tcW w:w="15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cost of testing revenue</w:t>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36,309 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32,407 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69,615 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60,667 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(2,058)</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w:t>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(1)</w:t>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cost of testing revenue</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35,012 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31,865 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66,919 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59,679 </w:t>
            </w:r>
          </w:p>
        </w:tc>
        <w:tc>
          <w:tcPr>
            <w:tcW w:w="4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cost of product revenue</w:t>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2,515 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1,749 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4,406 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3,171 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w:t>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(1)</w:t>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cost of product revenue</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2,514 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1,716 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4,416 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3,137 </w:t>
            </w:r>
          </w:p>
        </w:tc>
        <w:tc>
          <w:tcPr>
            <w:tcW w:w="4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cost of biopharmaceutical and other revenue</w:t>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3,572 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6,270 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w:t>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(1)</w:t>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cost of biopharmaceutical and other revenue</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3,507 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6,132 </w:t>
            </w:r>
          </w:p>
        </w:tc>
        <w:tc>
          <w:tcPr>
            <w:tcW w:w="4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Gross Margin:</w:t>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Gross Profit</w:t>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108,549 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89,769 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209,708 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169,277 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Gross Margin</w:t>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w:t>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w:t>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w:t>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w:t>
            </w:r>
          </w:p>
        </w:tc>
        <w:tc>
          <w:tcPr>
            <w:tcW w:w="4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2,741 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2,667 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5,448 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5,252 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w:t>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(1)</w:t>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4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Profit</w:t>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112,588 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93,076 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217,842 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175,689 </w:t>
            </w:r>
          </w:p>
        </w:tc>
        <w:tc>
          <w:tcPr>
            <w:tcW w:w="4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Margin</w:t>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w:t>
            </w:r>
          </w:p>
        </w:tc>
        <w:tc>
          <w:tcPr>
            <w:tcW w:w="4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1.For the three months ended June 30, 2026, adjustments include the impact of Non-GAAP adjustments on IT/Facilities allocations ($0.3 million). For the three months ended June 30, 2025, adjustments include expenses related to Veracyte SAS investment review. For the six months ended June 30, 2026, adjustments include the impact of Non-GAAP adjustments on IT/Facilities allocations ($0.6 million), partially offset by expense related to the restructuring of Veracyte SAS. For the six months ended June 30, 2025, adjustments include expenses related to Veracyte SAS investment review. </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43"/>
        <w:gridCol w:w="918"/>
        <w:gridCol w:w="920"/>
        <w:gridCol w:w="279"/>
        <w:gridCol w:w="996"/>
        <w:gridCol w:w="144"/>
        <w:gridCol w:w="144"/>
        <w:gridCol w:w="144"/>
        <w:gridCol w:w="144"/>
        <w:gridCol w:w="279"/>
        <w:gridCol w:w="996"/>
        <w:gridCol w:w="144"/>
        <w:gridCol w:w="144"/>
        <w:gridCol w:w="144"/>
        <w:gridCol w:w="144"/>
        <w:gridCol w:w="279"/>
        <w:gridCol w:w="1135"/>
        <w:gridCol w:w="144"/>
        <w:gridCol w:w="144"/>
        <w:gridCol w:w="144"/>
        <w:gridCol w:w="144"/>
        <w:gridCol w:w="279"/>
        <w:gridCol w:w="1135"/>
        <w:gridCol w:w="218"/>
      </w:tblGrid>
      <w:tr>
        <w:trPr/>
        <w:tc>
          <w:tcPr>
            <w:tcW w:w="104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RECONCILIATION OF U.S. GAAP to NON-GAAP FINANCIAL MEASURES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4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4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Operating Expenses:</w:t>
            </w:r>
          </w:p>
        </w:tc>
        <w:tc>
          <w:tcPr>
            <w:tcW w:w="14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research and development</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29,442 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56,540 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33,984 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(2,917)</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(2,008)</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(5,597)</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(4,074)</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research and development</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26,326 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14,256 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50,467 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29,910 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sales and marketing</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25,316 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55,419 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49,770 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(2,706)</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(2,198)</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(5,105)</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(4,156)</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sales and marketing</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25,509 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23,118 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50,235 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45,614 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general and administrative</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27,443 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32,331 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51,123 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66,139 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(7,503)</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(6,171)</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(14,086)</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(12,585)</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(2,127)</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(4,144)</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(3,822)</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(7,838)</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general and administrative</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18,132 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22,941 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33,901 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45,289 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total operating expenses</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85,569 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95,037 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164,082 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171,641 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(13,126)</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(10,377)</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(24,788)</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(20,815)</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(2,374)</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(24,649)</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(4,377)</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(28,343)</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total operating expenses</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69,967 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60,315 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134,603 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120,813 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1.Includes transaction-related expenses as well as post-combination compensation expenses. For the three months ended June 30, 2026, adjustments consist primarily of transaction-related expenses associated with contingent consideration related to the NanoString Technologies, Inc. ("NanoString") transaction ($0.3 million). For the three months ended June 30, 2025, adjustments consist primarily of transaction-related expenses associated with contingent consideration related to the NanoString transaction ($1.0 million) partially offset by contingent consideration associated with the C2i Genomics Ltd (“C2i Genomics”) acquisition ($0.1 million). For the six months ended June 30, 2026, adjustments consist primarily of transaction-related expenses associated with contingent consideration related to the NanoString transaction ($0.7 million). For the six months ended June 30, 2025, adjustments consist primarily of transaction-related expenses associated with the acquisition of C2i Genomics ($1.4 million) partially offset by NanoString contingent consideration ($1.0 million).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2.For the three months ended June 30, 2026, adjustments consist primarily of expenses related to the assessment of licensing and strategic investments ($1.3 million), expenses related to legal proceedings ($1.0 million), and expenses related to the liquidation proceedings of Veracyte SAS ($0.3 million), partially offset by the impact of Non-GAAP adjustments on IT/Facilities allocations ($0.3 million). For the three months ended June 30, 2025, adjustments primarily include expenses related to Veracyte SAS impairment loss ($20.5 million) and Veracyte SAS investment review ($4.2 million). For the six months ended June 30, 2026, adjustments consist primarily of expenses related to the assessment of licensing and strategic investments ($3.0 million), expenses related to legal proceedings ($1.7 million), and expenses related to the liquidation proceedings of Veracyte SAS ($0.3 million), partially offset by the impact of Non-GAAP adjustments on IT/Facilities allocations ($0.6 million). For the six months ended June 30, 2025, adjustments include additional expenses related to Veracyte SAS investment review ($3.8 million) partially offset by adjustments related to restructuring costs ($0.1 million).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55"/>
        <w:gridCol w:w="1105"/>
        <w:gridCol w:w="1107"/>
        <w:gridCol w:w="246"/>
        <w:gridCol w:w="880"/>
        <w:gridCol w:w="291"/>
        <w:gridCol w:w="111"/>
        <w:gridCol w:w="111"/>
        <w:gridCol w:w="111"/>
        <w:gridCol w:w="246"/>
        <w:gridCol w:w="880"/>
        <w:gridCol w:w="313"/>
        <w:gridCol w:w="111"/>
        <w:gridCol w:w="111"/>
        <w:gridCol w:w="111"/>
        <w:gridCol w:w="246"/>
        <w:gridCol w:w="880"/>
        <w:gridCol w:w="291"/>
        <w:gridCol w:w="111"/>
        <w:gridCol w:w="111"/>
        <w:gridCol w:w="111"/>
        <w:gridCol w:w="246"/>
        <w:gridCol w:w="880"/>
        <w:gridCol w:w="340"/>
      </w:tblGrid>
      <w:tr>
        <w:trPr/>
        <w:tc>
          <w:tcPr>
            <w:tcW w:w="125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RECONCILIATION OF U.S. GAAP to NON-GAAP FINANCIAL MEASURES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Adjusted EBITDA:</w:t>
            </w:r>
          </w:p>
        </w:tc>
        <w:tc>
          <w:tcPr>
            <w:tcW w:w="14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 (Loss)</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54,197 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6,067 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 (Loss) as a % of Revenue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3,163 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3,288 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6,449 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6,495 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expense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4,356 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14,086 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10,985 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26,847 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21,943 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 (2)</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(3,884)</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(3,170)</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(7,362)</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(6,146)</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(3)</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22,147 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24,738 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2,230 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2,611 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43,957 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35,776 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86,757 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60,491 </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as a % of Revenue</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Net Income (Loss)</w:t>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 (Loss)</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54,197 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6,067 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3,163 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3,288 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6,449 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6,495 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14,086 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10,985 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26,847 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21,943 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(3)</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22,147 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24,738 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adjustments (4)</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44,330 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34,952 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86,444 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59,428 </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Earnings per Share</w:t>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 GAAP</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0.66 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0.33 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(3)</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adjustments (4)</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Rounding and impact of dilutive shares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 non-GAAP</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0.54 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0.44 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0.74 </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used in computing diluted earnings per share</w:t>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GAAP</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82,059,442 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78,391,502 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81,753,292 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79,905,121 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equity awards (5)</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1,057,711 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non-GAAP</w:t>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82,059,442 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79,449,213 </w:t>
            </w:r>
          </w:p>
        </w:tc>
        <w:tc>
          <w:tcPr>
            <w:tcW w:w="3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81,753,292 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79,905,121 </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2"/>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603"/>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1.Includes transaction-related expenses as well as post-combination compensation expenses. For the three months ended June 30, 2026, adjustments consist primarily of transaction-related expenses associated with contingent consideration related to the NanoString transaction ($0.3 million). For the three months ended June 30, 2025, adjustments consist primarily of transaction-related expenses associated with contingent consideration related to NanoString ($1.0 million) partially offset by contingent consideration associated with the acquisition of C2i Genomics ($0.1 million). For the six months ended June 30, 2026, adjustments consist primarily of transaction-related expenses associated with contingent consideration related to the NanoString transaction ($0.7 million). For the six months ended June 30, 2025, adjustments consist primarily of transaction-related expenses associated with the acquisition of C2i Genomics ($1.4 million) partially offset by NanoString contingent consideration ($1.0 million).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2.Includes interest income and income related to research tax credits.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 xml:space="preserve">3.For the three months ended June 30, 2026, adjustments consist primarily of expenses related to the assessment of licensing and strategic investments ($1.3 million), expenses related to legal proceedings ($1.0 million), and expenses related to the liquidation proceedings of Veracyte SAS ($0.3 million). For the three months ended June 30, 2025, adjustments primarily include expenses related to Veracyte SAS impairment loss ($20.5 million) and Veracyte SAS investment review ($4.2 million), partially offset by the exclusion of unrealized gains associated with foreign exchange impacts on stock-based compensation and intercompany loans ($2.5 million). For the six months ended June 30, 2026, adjustments primarily include expenses related to the assessment of licensing and strategic investments ($3.0 million), expenses related to legal proceedings ($1.7 million), expenses related to the liquidation proceedings of Veracyte SAS ($0.3 million), and losses related to asset disposition ($0.4 million), partially offset by adjustments related to the restructuring and liquidation proceedings of Veracyte SAS ($4.2 million). For the six months ended June 30, 2025, adjustments include additional expenses related to Veracyte SAS investment review ($3.8 million) partially offset by adjustments related to restructuring costs ($0.1 million) and additional exclusion of unrealized gains associated with foreign exchange impacts on stock-based compensation and intercompany loans ($1.1 million). </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4.Incremental non-GAAP tax expense reflects the tax impact of the non-GAAP adjustments listed.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5.In those periods in which GAAP net (loss) income is negative and non-GAAP net (loss) income is positive, non-GAAP diluted weighted average shares outstanding includes potentially dilutive common shares from equity awards as determined using the treasury stock method.</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Kelly Gura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investors@veracyte.com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Molly Cornbleet</w:t>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media@veracyte.com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+1-650-351-8780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4930</Words>
  <Characters>28705</Characters>
  <CharactersWithSpaces>33049</CharactersWithSpaces>
  <Paragraphs>1077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