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4, 2023</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2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Arial" w:cs="Arial" w:eastAsia="Arial" w:hAnsi="Arial"/>
                <w:sz w:val="18"/>
                <w:szCs w:val="18"/>
                <w:color w:val="auto"/>
                <w:w w:val="93"/>
              </w:rPr>
              <w:t>No.)</w:t>
            </w:r>
          </w:p>
        </w:tc>
      </w:tr>
      <w:tr>
        <w:trPr>
          <w:trHeight w:val="392"/>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94080</w:t>
            </w:r>
          </w:p>
        </w:tc>
      </w:tr>
      <w:tr>
        <w:trPr>
          <w:trHeight w:val="257"/>
        </w:trPr>
        <w:tc>
          <w:tcPr>
            <w:tcW w:w="674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48" w:lineRule="exact"/>
        <w:rPr>
          <w:sz w:val="24"/>
          <w:szCs w:val="24"/>
          <w:color w:val="auto"/>
        </w:rPr>
      </w:pPr>
    </w:p>
    <w:p>
      <w:pPr>
        <w:ind w:left="20" w:right="2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2023, Veracyte, Inc. issued a press release announcing its financial results for the quarter ended March 31, 2023. The full text of the press release is furnished as Exhibit 99.1 to this report.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0000FF"/>
              </w:rPr>
              <w:t>Press release issued by Veracyte, Inc. dated May 4, 2023.</w:t>
            </w:r>
          </w:p>
        </w:tc>
      </w:tr>
      <w:tr>
        <w:trPr>
          <w:trHeight w:val="20"/>
        </w:trPr>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r>
      <w:tr>
        <w:trPr>
          <w:trHeight w:val="277"/>
        </w:trPr>
        <w:tc>
          <w:tcPr>
            <w:tcW w:w="142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1100" w:type="dxa"/>
            <w:vAlign w:val="bottom"/>
          </w:tcPr>
          <w:p>
            <w:pPr>
              <w:ind w:left="180"/>
              <w:spacing w:after="0"/>
              <w:rPr>
                <w:sz w:val="20"/>
                <w:szCs w:val="20"/>
                <w:color w:val="auto"/>
              </w:rPr>
            </w:pPr>
            <w:r>
              <w:rPr>
                <w:rFonts w:ascii="Arial" w:cs="Arial" w:eastAsia="Arial" w:hAnsi="Arial"/>
                <w:sz w:val="18"/>
                <w:szCs w:val="18"/>
                <w:color w:val="auto"/>
                <w:w w:val="90"/>
              </w:rPr>
              <w:t>May 4, 2023</w:t>
            </w:r>
          </w:p>
        </w:tc>
      </w:tr>
    </w:tbl>
    <w:p>
      <w:pPr>
        <w:spacing w:after="0" w:line="28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Rebecca Chambers</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160655</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First Quarter 2023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Total Revenue to $82.4 million, an Increase of 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SOUTH SAN FRANCISCO, Calif., May 4, 2023 --- Veracyte, Inc. (Nasdaq: VCYT) today announced financial results for the first quarter ended March 31, 2023.</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had an excellent first quarter, as many areas of our business greatly exceeded our expectations. Not only did we deliver strong Afirma and Decipher growth, we also demonstrated continued financial discipline and outstanding execution, which resulted in a meaningfully higher cash balance than we had projected,” said Marc Stapley, Veracyte’s chief executive officer. “In addition, we further enhanced our Afirma test, as well as augmented the clinical evidence in support of adoption and reimbursement of our products, ultimately helping to advance our vision of transforming cancer care for patients all over the world.”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11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first quarter total revenue by 22% to $82.4 million, compared to the first quarter of 2022.</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total test volume to 28,788, an increase of 24% compared to the first quarter of 2022.</w:t>
      </w:r>
    </w:p>
    <w:p>
      <w:pPr>
        <w:spacing w:after="0" w:line="36" w:lineRule="exact"/>
        <w:rPr>
          <w:rFonts w:ascii="Arial" w:cs="Arial" w:eastAsia="Arial" w:hAnsi="Arial"/>
          <w:sz w:val="18"/>
          <w:szCs w:val="18"/>
          <w:color w:val="auto"/>
        </w:rPr>
      </w:pPr>
    </w:p>
    <w:p>
      <w:pPr>
        <w:ind w:left="660" w:right="58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Enhanced our Afirma offering with the addition of TERT promoter mutation testing to help further guide treatment decisions for patients with suspected or diagnosed thyroid cancer.</w:t>
      </w:r>
    </w:p>
    <w:p>
      <w:pPr>
        <w:spacing w:after="0" w:line="27" w:lineRule="exact"/>
        <w:rPr>
          <w:rFonts w:ascii="Arial" w:cs="Arial" w:eastAsia="Arial" w:hAnsi="Arial"/>
          <w:sz w:val="22"/>
          <w:szCs w:val="22"/>
          <w:color w:val="auto"/>
        </w:rPr>
      </w:pPr>
    </w:p>
    <w:p>
      <w:pPr>
        <w:ind w:left="660" w:right="26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Secured four new payer contracts for Afirma GSC, making the test an in-network benefit for over four million additional health plan enrollees.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Presented 17 abstracts for our diagnostic tests and biopharmaceutical offerings at major medical and research conferences.</w:t>
      </w:r>
    </w:p>
    <w:p>
      <w:pPr>
        <w:spacing w:after="0" w:line="26" w:lineRule="exact"/>
        <w:rPr>
          <w:rFonts w:ascii="Arial" w:cs="Arial" w:eastAsia="Arial" w:hAnsi="Arial"/>
          <w:sz w:val="22"/>
          <w:szCs w:val="22"/>
          <w:color w:val="auto"/>
        </w:rPr>
      </w:pPr>
    </w:p>
    <w:p>
      <w:pPr>
        <w:ind w:left="660" w:right="18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Published multiple papers that demonstrate the clinical utility of our Decipher Prostate Genomic Classifier and advance the science around prostate cancer.</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Published our inaugural Environmental, Social and Governance report.</w:t>
      </w:r>
    </w:p>
    <w:p>
      <w:pPr>
        <w:spacing w:after="0" w:line="40" w:lineRule="exact"/>
        <w:rPr>
          <w:rFonts w:ascii="Arial" w:cs="Arial" w:eastAsia="Arial" w:hAnsi="Arial"/>
          <w:sz w:val="22"/>
          <w:szCs w:val="22"/>
          <w:color w:val="auto"/>
        </w:rPr>
      </w:pPr>
    </w:p>
    <w:p>
      <w:pPr>
        <w:ind w:left="660" w:right="140" w:hanging="328"/>
        <w:spacing w:after="0" w:line="24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Ended the first quarter with cash, cash equivalents and short-term investments of $177.9 million, roughly flat to $178.9 million at the end of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Results</w:t>
      </w:r>
    </w:p>
    <w:p>
      <w:pPr>
        <w:spacing w:after="0" w:line="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Total revenue for the first quarter of 2023 was $ 82.4 million, an increase of 22% compared to $ 67.8 million in the first quarter of 2022. Testing revenue was $72.4 million, an increase of 29% compared to $56.0 million in the first quarter of 2022 driven primarily by the strong performance of our Decipher Prostate and Afirma tests. Product revenue was $3.9 million, an increase of 31% compared to $3.0 million in the first quarter of 2022. Biopharmaceutical and other revenue was $6.1 million, a decrease of 30% compared to $8.8 million in the first quarter of 2022.</w:t>
      </w:r>
    </w:p>
    <w:p>
      <w:pPr>
        <w:spacing w:after="0" w:line="270"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Total gross margin for the first quarter of 2023, including the amortization of acquired intangible assets, was 62%, compared to 58% in the first quarter of 2022. Non-GAAP gross margin, excluding the amortization of acquired intangible assets and other acquisition related expenses was 68%, compared to 65% in the first quarter of 2022.</w:t>
      </w:r>
    </w:p>
    <w:p>
      <w:pPr>
        <w:spacing w:after="0" w:line="28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Operating expenses, excluding cost of revenue, were $61.9 million, an increase of 14% compared to the first quarter of 2022. Non-GAAP operating expenses, excluding cost of revenue, amortization of acquired intangible assets, other acquisition related expenses and other restructuring costs, were $58.1 million compared to $49.1 million in the first quarter of 2022.</w:t>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Net loss for the first quarter of 2023 was $8.1 million, an improvement of 44% compared to the first quarter of 2022. Basic and diluted net loss per common share was $0.11, an improvement of 45% compared to the first quarter of 2022. Net cash used by operating activities in the first three months of 2023 was $2.2 million, an improvement of $6.7 million compared to the same period in 2022.</w:t>
      </w:r>
    </w:p>
    <w:p>
      <w:pPr>
        <w:spacing w:after="0" w:line="23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Financial Outlook</w:t>
      </w:r>
    </w:p>
    <w:p>
      <w:pPr>
        <w:spacing w:after="0" w:line="4"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222222"/>
        </w:rPr>
        <w:t>The company is raising full-year 2023 total revenue guidance to $330 million to $340 million, representing year-over-year growth of 11% to 15%, and an improvement compared to prior guidance of $325 million to $335 million. Further, the updated outlook reflects testing revenue year-over-year growth of mid-to-high teens.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8"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Veracyte will host a conference call and webcast today at 4:30 p.m. Eastern Time to discuss the company's financial results and provide a general business update. The conference call will be webcast live from the company’s website and will be available via the following link:</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0000FF"/>
        </w:rPr>
        <w:t>https://edge.media-server.com/mmc/p/8zw3rvgu</w:t>
      </w:r>
      <w:r>
        <w:rPr>
          <w:rFonts w:ascii="Arial" w:cs="Arial" w:eastAsia="Arial" w:hAnsi="Arial"/>
          <w:sz w:val="17"/>
          <w:szCs w:val="17"/>
          <w:color w:val="000000"/>
        </w:rPr>
        <w:t>. The webcast should be accessed 10 minutes prior to the conference call start time. A</w:t>
      </w:r>
      <w:r>
        <w:rPr>
          <w:rFonts w:ascii="Arial" w:cs="Arial" w:eastAsia="Arial" w:hAnsi="Arial"/>
          <w:sz w:val="17"/>
          <w:szCs w:val="17"/>
          <w:color w:val="0000FF"/>
        </w:rPr>
        <w:t xml:space="preserve"> </w:t>
      </w:r>
      <w:r>
        <w:rPr>
          <w:rFonts w:ascii="Arial" w:cs="Arial" w:eastAsia="Arial" w:hAnsi="Arial"/>
          <w:sz w:val="17"/>
          <w:szCs w:val="17"/>
          <w:color w:val="000000"/>
        </w:rPr>
        <w:t>replay of the webcast will be available for one year following the conclusion of the live broadcast and will be accessible on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color w:val="0000FF"/>
        </w:rPr>
        <w:t>https://investor.veracyte.com/events-presentations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dial-in can be accessed by registering at the following link: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https://register.vevent.com/register/BI87218b059133453fb9c7e07391fd40e3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222222"/>
        </w:rPr>
        <w:t>Veracyte (Nasdaq: VCYT) is a global diagnostics company whose vision is to transform cancer care for patients all over the world. We empower clinicians with the high-value insights they need to guide and assure patients at pivotal moments in the race to diagnose and treat cancer. Our high-performing tests enable clinicians to make more confident diagnostic, prognostic and treatment decisions for some of the most challenging diseases such as thyroid, prostate, breast, bladder and lung cancers, as well as interstitial lung diseases. We help patients avoid unnecessary procedures and speed time to diagnosis and appropriate treatment. In addition to making our tests available in the U.S. through our central laboratories, we also aim to deliver our tests to patients worldwide through a distributed model to laboratories that can perform them locally. For more information, please visit www.veracyte.com and follow the company on Twitter (@veracyte). </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expected total revenue</w:t>
      </w:r>
    </w:p>
    <w:p>
      <w:pPr>
        <w:ind w:right="100"/>
        <w:spacing w:after="0" w:line="226" w:lineRule="auto"/>
        <w:rPr>
          <w:sz w:val="20"/>
          <w:szCs w:val="20"/>
          <w:color w:val="auto"/>
        </w:rPr>
      </w:pPr>
      <w:r>
        <w:rPr>
          <w:rFonts w:ascii="Arial" w:cs="Arial" w:eastAsia="Arial" w:hAnsi="Arial"/>
          <w:sz w:val="18"/>
          <w:szCs w:val="18"/>
          <w:color w:val="auto"/>
        </w:rPr>
        <w:t>and other financial and operating results for 2023 and our plans, objectives, expectations (financial and otherwise) or intentions with respect to our tests and products, including our biopharma atlas, for use in diagnosing and treating diseases, Medicare coverage, and our</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to demonstrate the validity and utility of our genomic tests and biopharma offerings; to continue to integrate and expand the HalioDx and Decipher businesses and execute on our business plans; to continue to scale our global operations and enhance our internal control environment; the impact of the war in Ukraine on European economies and energy supply, as well as our facilities in France; the impact of the COVID-19 pandemic and its variants on our business and general economic conditions; the impact of foreign currency fluctuations, increasing interest rates, inflation, and turmoil in the global banking and finance system; and the performance and utility of our tests in the clinical environment. Additional factors that may impact these forward-looking statements can be found under the caption “Risk Factors” in our Annual Report on Form 10-K filed on March 1, 2023, and our Quarterly Report on Form 10-Q for the three</w:t>
      </w:r>
    </w:p>
    <w:p>
      <w:pPr>
        <w:spacing w:after="0" w:line="8"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months ended March 31, 2023 to be filed with the Securities and Exchange Commission. Copies of these documents, when available, may be found in the Investors section of our website at www.investor.veracyte.com. These forward-looking statements speak only as of the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hereof and, except as</w:t>
      </w:r>
    </w:p>
    <w:p>
      <w:pPr>
        <w:sectPr>
          <w:pgSz w:w="11900" w:h="16838" w:orient="portrait"/>
          <w:cols w:equalWidth="0" w:num="1">
            <w:col w:w="11220"/>
          </w:cols>
          <w:pgMar w:left="320" w:top="895" w:right="359" w:bottom="1440" w:gutter="0" w:footer="0" w:header="0"/>
        </w:sectPr>
      </w:pPr>
    </w:p>
    <w:bookmarkStart w:id="5" w:name="page6"/>
    <w:bookmarkEnd w:id="5"/>
    <w:p>
      <w:pPr>
        <w:ind w:right="40"/>
        <w:spacing w:after="0" w:line="246" w:lineRule="auto"/>
        <w:rPr>
          <w:sz w:val="20"/>
          <w:szCs w:val="20"/>
          <w:color w:val="auto"/>
        </w:rPr>
      </w:pPr>
      <w:r>
        <w:rPr>
          <w:rFonts w:ascii="Arial" w:cs="Arial" w:eastAsia="Arial" w:hAnsi="Arial"/>
          <w:sz w:val="18"/>
          <w:szCs w:val="18"/>
          <w:color w:val="auto"/>
        </w:rPr>
        <w:t>required by law, we specifically disclaim any obligation to update these forward-looking statements or reasons why actual results might differ, whether as a result of new information, future events or otherwise.</w:t>
      </w:r>
    </w:p>
    <w:p>
      <w:pPr>
        <w:spacing w:after="0" w:line="23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Veracyte, the Veracyte logo, Decipher, Afirma, Percepta, Envisia, Prosigna, Lymphmark, TMExplore, Brightplex, Immunosign, “Know by Design” and “More about You” are registered trademarks of Veracyte, Inc. and its subsidiaries in the U.S. and selected countries.</w:t>
      </w:r>
    </w:p>
    <w:p>
      <w:pPr>
        <w:ind w:right="100"/>
        <w:spacing w:after="0" w:line="246" w:lineRule="auto"/>
        <w:rPr>
          <w:sz w:val="20"/>
          <w:szCs w:val="20"/>
          <w:color w:val="auto"/>
        </w:rPr>
      </w:pPr>
      <w:r>
        <w:rPr>
          <w:rFonts w:ascii="Arial" w:cs="Arial" w:eastAsia="Arial" w:hAnsi="Arial"/>
          <w:sz w:val="18"/>
          <w:szCs w:val="18"/>
          <w:color w:val="auto"/>
        </w:rPr>
        <w:t>Immunoscore IC® is a trademark of Veracyte SAS registered in France. Immunoscore is a registered trademark of Inserm used by Veracyte under license. nCounter is the registered trademark of NanoString Technologies used by Veracyte under license.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61" w:lineRule="exact"/>
        <w:rPr>
          <w:sz w:val="20"/>
          <w:szCs w:val="20"/>
          <w:color w:val="auto"/>
        </w:rPr>
      </w:pPr>
    </w:p>
    <w:p>
      <w:pPr>
        <w:ind w:right="200"/>
        <w:spacing w:after="0" w:line="195"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expenses, and non-GAAP loss from operations. These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3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use non-GAAP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measures we present may be different from those used by other companies.</w:t>
      </w:r>
    </w:p>
    <w:p>
      <w:pPr>
        <w:spacing w:after="0" w:line="22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We exclude amortization of acquired intangible assets, acquisition-related expenses relating to our acquisitions of Decipher Biosciences and HalioDx and certain costs related to restructuring from certain of our non-GAAP measures. Management has excluded the effects of these items in non-GAAP measures to help investors gain a better understanding of the core operating results and future prospects of the</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company, consistent with how management measures and forecasts the company's performance, especially when comparing such results to previous periods or forecasts. The company encourages investors to carefully consider its results under GAAP, as well as its supplemental</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to more fully understand its business.</w:t>
      </w:r>
    </w:p>
    <w:p>
      <w:pPr>
        <w:spacing w:after="0" w:line="23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Reconciliations between our GAAP results and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are presented in the tables of this release.</w:t>
      </w:r>
    </w:p>
    <w:p>
      <w:pPr>
        <w:sectPr>
          <w:pgSz w:w="11900" w:h="16838" w:orient="portrait"/>
          <w:cols w:equalWidth="0" w:num="1">
            <w:col w:w="11220"/>
          </w:cols>
          <w:pgMar w:left="320" w:top="895" w:right="359" w:bottom="1440" w:gutter="0" w:footer="0" w:header="0"/>
        </w:sectPr>
      </w:pPr>
    </w:p>
    <w:bookmarkStart w:id="6" w:name="page7"/>
    <w:bookmarkEnd w:id="6"/>
    <w:p>
      <w:pPr>
        <w:spacing w:after="0" w:line="90"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79" w:lineRule="exact"/>
        <w:rPr>
          <w:sz w:val="20"/>
          <w:szCs w:val="20"/>
          <w:color w:val="auto"/>
        </w:rPr>
      </w:pPr>
    </w:p>
    <w:tbl>
      <w:tblPr>
        <w:tblLayout w:type="fixed"/>
        <w:tblInd w:w="1592" w:type="dxa"/>
        <w:tblCellMar>
          <w:top w:w="0" w:type="dxa"/>
          <w:left w:w="0" w:type="dxa"/>
          <w:bottom w:w="0" w:type="dxa"/>
          <w:right w:w="0" w:type="dxa"/>
        </w:tblCellMar>
      </w:tblPr>
      <w:tr>
        <w:trPr>
          <w:trHeight w:val="224"/>
        </w:trPr>
        <w:tc>
          <w:tcPr>
            <w:tcW w:w="5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72,396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55,980</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8,824</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67,783</w:t>
            </w:r>
          </w:p>
        </w:tc>
        <w:tc>
          <w:tcPr>
            <w:tcW w:w="0" w:type="dxa"/>
            <w:vAlign w:val="bottom"/>
          </w:tcPr>
          <w:p>
            <w:pPr>
              <w:spacing w:after="0"/>
              <w:rPr>
                <w:sz w:val="1"/>
                <w:szCs w:val="1"/>
                <w:color w:val="auto"/>
              </w:rPr>
            </w:pPr>
          </w:p>
        </w:tc>
      </w:tr>
      <w:tr>
        <w:trPr>
          <w:trHeight w:val="466"/>
        </w:trPr>
        <w:tc>
          <w:tcPr>
            <w:tcW w:w="5240" w:type="dxa"/>
            <w:vAlign w:val="bottom"/>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17,523</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9,166</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23,754</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(15,248)</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(14,464)</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line="195" w:lineRule="exact"/>
              <w:rPr>
                <w:sz w:val="20"/>
                <w:szCs w:val="20"/>
                <w:color w:val="auto"/>
              </w:rPr>
            </w:pPr>
            <w:r>
              <w:rPr>
                <w:rFonts w:ascii="Arial" w:cs="Arial" w:eastAsia="Arial" w:hAnsi="Arial"/>
                <w:sz w:val="18"/>
                <w:szCs w:val="18"/>
                <w:color w:val="auto"/>
              </w:rPr>
              <w:t>Shares used to compute net loss per common share, basic and</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72,175,457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71,229,672</w:t>
            </w:r>
          </w:p>
        </w:tc>
        <w:tc>
          <w:tcPr>
            <w:tcW w:w="0" w:type="dxa"/>
            <w:vAlign w:val="bottom"/>
          </w:tcPr>
          <w:p>
            <w:pPr>
              <w:spacing w:after="0"/>
              <w:rPr>
                <w:sz w:val="1"/>
                <w:szCs w:val="1"/>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 w:firstLine="8"/>
        <w:spacing w:after="0" w:line="261" w:lineRule="auto"/>
        <w:tabs>
          <w:tab w:leader="none" w:pos="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pacing w:after="0" w:line="265" w:lineRule="exact"/>
        <w:rPr>
          <w:sz w:val="20"/>
          <w:szCs w:val="20"/>
          <w:color w:val="auto"/>
        </w:rPr>
      </w:pPr>
    </w:p>
    <w:tbl>
      <w:tblPr>
        <w:tblLayout w:type="fixed"/>
        <w:tblInd w:w="1632" w:type="dxa"/>
        <w:tblCellMar>
          <w:top w:w="0" w:type="dxa"/>
          <w:left w:w="0" w:type="dxa"/>
          <w:bottom w:w="0" w:type="dxa"/>
          <w:right w:w="0" w:type="dxa"/>
        </w:tblCellMar>
      </w:tblPr>
      <w:tr>
        <w:trPr>
          <w:trHeight w:val="224"/>
        </w:trPr>
        <w:tc>
          <w:tcPr>
            <w:tcW w:w="5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236"/>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r>
      <w:tr>
        <w:trPr>
          <w:trHeight w:val="223"/>
        </w:trPr>
        <w:tc>
          <w:tcPr>
            <w:tcW w:w="528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52"/>
          </w:cols>
          <w:pgMar w:left="328" w:top="1440" w:right="6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 OF COMPREHENSIVE LOSS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93" w:lineRule="exact"/>
        <w:rPr>
          <w:sz w:val="20"/>
          <w:szCs w:val="20"/>
          <w:color w:val="auto"/>
        </w:rPr>
      </w:pPr>
    </w:p>
    <w:tbl>
      <w:tblPr>
        <w:tblLayout w:type="fixed"/>
        <w:tblInd w:w="380" w:type="dxa"/>
        <w:tblCellMar>
          <w:top w:w="0" w:type="dxa"/>
          <w:left w:w="0" w:type="dxa"/>
          <w:bottom w:w="0" w:type="dxa"/>
          <w:right w:w="0" w:type="dxa"/>
        </w:tblCellMar>
      </w:tblPr>
      <w:tr>
        <w:trPr>
          <w:trHeight w:val="224"/>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Three Months Ended March 31,</w:t>
            </w:r>
          </w:p>
        </w:tc>
      </w:tr>
      <w:tr>
        <w:trPr>
          <w:trHeight w:val="229"/>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550"/>
              <w:spacing w:after="0"/>
              <w:rPr>
                <w:sz w:val="20"/>
                <w:szCs w:val="20"/>
                <w:color w:val="auto"/>
              </w:rPr>
            </w:pPr>
            <w:r>
              <w:rPr>
                <w:rFonts w:ascii="Arial" w:cs="Arial" w:eastAsia="Arial" w:hAnsi="Arial"/>
                <w:sz w:val="18"/>
                <w:szCs w:val="18"/>
                <w:color w:val="auto"/>
                <w:w w:val="98"/>
              </w:rPr>
              <w:t>(8,091)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(14,461)</w:t>
            </w:r>
          </w:p>
        </w:tc>
      </w:tr>
      <w:tr>
        <w:trPr>
          <w:trHeight w:val="229"/>
        </w:trPr>
        <w:tc>
          <w:tcPr>
            <w:tcW w:w="5320" w:type="dxa"/>
            <w:vAlign w:val="bottom"/>
          </w:tcPr>
          <w:p>
            <w:pPr>
              <w:ind w:left="10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160" w:type="dxa"/>
            <w:vAlign w:val="bottom"/>
          </w:tcPr>
          <w:p>
            <w:pPr>
              <w:spacing w:after="0"/>
              <w:rPr>
                <w:sz w:val="19"/>
                <w:szCs w:val="19"/>
                <w:color w:val="auto"/>
              </w:rPr>
            </w:pPr>
          </w:p>
        </w:tc>
        <w:tc>
          <w:tcPr>
            <w:tcW w:w="1280" w:type="dxa"/>
            <w:vAlign w:val="bottom"/>
          </w:tcPr>
          <w:p>
            <w:pPr>
              <w:jc w:val="center"/>
              <w:ind w:left="570"/>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(5,598)</w:t>
            </w:r>
          </w:p>
        </w:tc>
      </w:tr>
      <w:tr>
        <w:trPr>
          <w:trHeight w:val="257"/>
        </w:trPr>
        <w:tc>
          <w:tcPr>
            <w:tcW w:w="5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8"/>
              </w:rPr>
              <w:t>(3,611)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(20,059)</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49"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March 31,</w:t>
            </w:r>
          </w:p>
        </w:tc>
        <w:tc>
          <w:tcPr>
            <w:tcW w:w="320" w:type="dxa"/>
            <w:vAlign w:val="bottom"/>
          </w:tcPr>
          <w:p>
            <w:pPr>
              <w:spacing w:after="0"/>
              <w:rPr>
                <w:sz w:val="18"/>
                <w:szCs w:val="18"/>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(Unaudited)</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177,890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154,247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24,605</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45,489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44,021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251,503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248,636</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13,160</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170,226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174,866</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699,718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695,891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1,157,119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1,156,422</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15,655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11,911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37,774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55,993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62,614</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81,222</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1,081,259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1,075,200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1,157,119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1,156,422</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1"/>
        <w:spacing w:after="0" w:line="22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2022 has been derived from the audited financial statements at that date included in the Company's Form 10-K filed with the Securities and Exchange Commission dated March 1, 2023.</w:t>
      </w:r>
    </w:p>
    <w:p>
      <w:pPr>
        <w:sectPr>
          <w:pgSz w:w="11900" w:h="16838" w:orient="portrait"/>
          <w:cols w:equalWidth="0" w:num="1">
            <w:col w:w="10940"/>
          </w:cols>
          <w:pgMar w:left="480" w:top="1043"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Interest on end-of-term debt obligation</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19"/>
        </w:trPr>
        <w:tc>
          <w:tcPr>
            <w:tcW w:w="79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9"/>
        </w:trPr>
        <w:tc>
          <w:tcPr>
            <w:tcW w:w="79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2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(9,335)</w:t>
            </w:r>
          </w:p>
        </w:tc>
        <w:tc>
          <w:tcPr>
            <w:tcW w:w="0" w:type="dxa"/>
            <w:vAlign w:val="bottom"/>
          </w:tcPr>
          <w:p>
            <w:pPr>
              <w:spacing w:after="0"/>
              <w:rPr>
                <w:sz w:val="1"/>
                <w:szCs w:val="1"/>
                <w:color w:val="auto"/>
              </w:rPr>
            </w:pPr>
          </w:p>
        </w:tc>
      </w:tr>
      <w:tr>
        <w:trPr>
          <w:trHeight w:val="239"/>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39"/>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164,364</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43" w:right="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37"/>
        </w:trPr>
        <w:tc>
          <w:tcPr>
            <w:tcW w:w="7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177,890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154,247</w:t>
            </w: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r>
      <w:tr>
        <w:trPr>
          <w:trHeight w:val="21"/>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04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Reconciliation of U.S. GAAP to Non-GAAP Financial Measures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thousands of dollars)</w:t>
      </w:r>
    </w:p>
    <w:p>
      <w:pPr>
        <w:spacing w:after="0" w:line="12" w:lineRule="exact"/>
        <w:rPr>
          <w:sz w:val="20"/>
          <w:szCs w:val="20"/>
          <w:color w:val="auto"/>
        </w:rPr>
      </w:pPr>
    </w:p>
    <w:p>
      <w:pPr>
        <w:jc w:val="right"/>
        <w:ind w:right="3500"/>
        <w:spacing w:after="0"/>
        <w:rPr>
          <w:sz w:val="20"/>
          <w:szCs w:val="20"/>
          <w:color w:val="auto"/>
        </w:rPr>
      </w:pPr>
      <w:r>
        <w:rPr>
          <w:rFonts w:ascii="Arial" w:cs="Arial" w:eastAsia="Arial" w:hAnsi="Arial"/>
          <w:sz w:val="16"/>
          <w:szCs w:val="16"/>
          <w:b w:val="1"/>
          <w:bCs w:val="1"/>
          <w:color w:val="auto"/>
        </w:rPr>
        <w:t>Identified Expenses</w:t>
      </w:r>
    </w:p>
    <w:p>
      <w:pPr>
        <w:sectPr>
          <w:pgSz w:w="11900" w:h="16838" w:orient="portrait"/>
          <w:cols w:equalWidth="0" w:num="1">
            <w:col w:w="11080"/>
          </w:cols>
          <w:pgMar w:left="420" w:top="1174" w:right="39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color w:val="auto"/>
        </w:rPr>
        <w:t xml:space="preserve">Three Months Ended March 31, 2023 </w:t>
      </w:r>
      <w:r>
        <w:rPr>
          <w:rFonts w:ascii="Arial" w:cs="Arial" w:eastAsia="Arial" w:hAnsi="Arial"/>
          <w:sz w:val="16"/>
          <w:szCs w:val="16"/>
          <w:color w:val="auto"/>
        </w:rPr>
        <w:t>Total revenue</w:t>
      </w:r>
    </w:p>
    <w:p>
      <w:pPr>
        <w:spacing w:after="0" w:line="1" w:lineRule="exact"/>
        <w:rPr>
          <w:sz w:val="20"/>
          <w:szCs w:val="20"/>
          <w:color w:val="auto"/>
        </w:rPr>
      </w:pPr>
    </w:p>
    <w:p>
      <w:pPr>
        <w:ind w:right="1260"/>
        <w:spacing w:after="0" w:line="281" w:lineRule="auto"/>
        <w:rPr>
          <w:sz w:val="20"/>
          <w:szCs w:val="20"/>
          <w:color w:val="auto"/>
        </w:rPr>
      </w:pPr>
      <w:r>
        <w:rPr>
          <w:rFonts w:ascii="Arial" w:cs="Arial" w:eastAsia="Arial" w:hAnsi="Arial"/>
          <w:sz w:val="16"/>
          <w:szCs w:val="16"/>
          <w:color w:val="auto"/>
        </w:rPr>
        <w:t>Cost of testing revenue Cost of product revenue</w:t>
      </w:r>
    </w:p>
    <w:p>
      <w:pPr>
        <w:spacing w:after="0" w:line="1" w:lineRule="exact"/>
        <w:rPr>
          <w:sz w:val="20"/>
          <w:szCs w:val="20"/>
          <w:color w:val="auto"/>
        </w:rPr>
      </w:pPr>
    </w:p>
    <w:p>
      <w:pPr>
        <w:ind w:right="380"/>
        <w:spacing w:after="0" w:line="232" w:lineRule="auto"/>
        <w:rPr>
          <w:sz w:val="20"/>
          <w:szCs w:val="20"/>
          <w:color w:val="auto"/>
        </w:rPr>
      </w:pPr>
      <w:r>
        <w:rPr>
          <w:rFonts w:ascii="Arial" w:cs="Arial" w:eastAsia="Arial" w:hAnsi="Arial"/>
          <w:sz w:val="16"/>
          <w:szCs w:val="16"/>
          <w:color w:val="auto"/>
        </w:rPr>
        <w:t>Cost of biopharmaceutical and other revenue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(2)</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Gross margin $</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Gross margin %</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w:t>
      </w:r>
    </w:p>
    <w:p>
      <w:pPr>
        <w:spacing w:after="0" w:line="32" w:lineRule="exact"/>
        <w:rPr>
          <w:sz w:val="20"/>
          <w:szCs w:val="20"/>
          <w:color w:val="auto"/>
        </w:rPr>
      </w:pPr>
    </w:p>
    <w:p>
      <w:pPr>
        <w:ind w:left="100"/>
        <w:spacing w:after="0" w:line="232" w:lineRule="auto"/>
        <w:rPr>
          <w:sz w:val="20"/>
          <w:szCs w:val="20"/>
          <w:color w:val="auto"/>
        </w:rPr>
      </w:pPr>
      <w:r>
        <w:rPr>
          <w:rFonts w:ascii="Arial" w:cs="Arial" w:eastAsia="Arial" w:hAnsi="Arial"/>
          <w:sz w:val="16"/>
          <w:szCs w:val="16"/>
          <w:color w:val="auto"/>
        </w:rPr>
        <w:t>Total operating expenses excluding cost of revenue (3)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w:t>
      </w:r>
    </w:p>
    <w:p>
      <w:pPr>
        <w:spacing w:after="0" w:line="269"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color w:val="auto"/>
        </w:rPr>
        <w:t xml:space="preserve">Three Months Ended March 31, 2022 </w:t>
      </w:r>
      <w:r>
        <w:rPr>
          <w:rFonts w:ascii="Arial" w:cs="Arial" w:eastAsia="Arial" w:hAnsi="Arial"/>
          <w:sz w:val="16"/>
          <w:szCs w:val="16"/>
          <w:color w:val="auto"/>
        </w:rPr>
        <w:t>Total revenue</w:t>
      </w:r>
    </w:p>
    <w:p>
      <w:pPr>
        <w:spacing w:after="0" w:line="1" w:lineRule="exact"/>
        <w:rPr>
          <w:sz w:val="20"/>
          <w:szCs w:val="20"/>
          <w:color w:val="auto"/>
        </w:rPr>
      </w:pPr>
    </w:p>
    <w:p>
      <w:pPr>
        <w:ind w:right="1260"/>
        <w:spacing w:after="0" w:line="281" w:lineRule="auto"/>
        <w:rPr>
          <w:sz w:val="20"/>
          <w:szCs w:val="20"/>
          <w:color w:val="auto"/>
        </w:rPr>
      </w:pPr>
      <w:r>
        <w:rPr>
          <w:rFonts w:ascii="Arial" w:cs="Arial" w:eastAsia="Arial" w:hAnsi="Arial"/>
          <w:sz w:val="16"/>
          <w:szCs w:val="16"/>
          <w:color w:val="auto"/>
        </w:rPr>
        <w:t>Cost of testing revenue Cost of product revenue</w:t>
      </w:r>
    </w:p>
    <w:p>
      <w:pPr>
        <w:spacing w:after="0" w:line="1" w:lineRule="exact"/>
        <w:rPr>
          <w:sz w:val="20"/>
          <w:szCs w:val="20"/>
          <w:color w:val="auto"/>
        </w:rPr>
      </w:pPr>
    </w:p>
    <w:p>
      <w:pPr>
        <w:ind w:right="380"/>
        <w:spacing w:after="0" w:line="232" w:lineRule="auto"/>
        <w:rPr>
          <w:sz w:val="20"/>
          <w:szCs w:val="20"/>
          <w:color w:val="auto"/>
        </w:rPr>
      </w:pPr>
      <w:r>
        <w:rPr>
          <w:rFonts w:ascii="Arial" w:cs="Arial" w:eastAsia="Arial" w:hAnsi="Arial"/>
          <w:sz w:val="16"/>
          <w:szCs w:val="16"/>
          <w:color w:val="auto"/>
        </w:rPr>
        <w:t>Cost of biopharmaceutical and other revenue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Gross margin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margin %</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w:t>
      </w:r>
    </w:p>
    <w:p>
      <w:pPr>
        <w:spacing w:after="0" w:line="32" w:lineRule="exact"/>
        <w:rPr>
          <w:sz w:val="20"/>
          <w:szCs w:val="20"/>
          <w:color w:val="auto"/>
        </w:rPr>
      </w:pPr>
    </w:p>
    <w:p>
      <w:pPr>
        <w:ind w:left="100"/>
        <w:spacing w:after="0" w:line="232" w:lineRule="auto"/>
        <w:rPr>
          <w:sz w:val="20"/>
          <w:szCs w:val="20"/>
          <w:color w:val="auto"/>
        </w:rPr>
      </w:pPr>
      <w:r>
        <w:rPr>
          <w:rFonts w:ascii="Arial" w:cs="Arial" w:eastAsia="Arial" w:hAnsi="Arial"/>
          <w:sz w:val="16"/>
          <w:szCs w:val="16"/>
          <w:color w:val="auto"/>
        </w:rPr>
        <w:t>Total operating expenses excluding cost of revenue (3)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59"/>
              <w:spacing w:after="0" w:line="161" w:lineRule="exact"/>
              <w:rPr>
                <w:sz w:val="20"/>
                <w:szCs w:val="20"/>
                <w:color w:val="auto"/>
              </w:rPr>
            </w:pPr>
            <w:r>
              <w:rPr>
                <w:rFonts w:ascii="Arial" w:cs="Arial" w:eastAsia="Arial" w:hAnsi="Arial"/>
                <w:sz w:val="16"/>
                <w:szCs w:val="16"/>
                <w:b w:val="1"/>
                <w:bCs w:val="1"/>
                <w:color w:val="auto"/>
              </w:rPr>
              <w:t>Acquisition</w:t>
            </w: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59"/>
              <w:spacing w:after="0" w:line="161" w:lineRule="exact"/>
              <w:rPr>
                <w:sz w:val="20"/>
                <w:szCs w:val="20"/>
                <w:color w:val="auto"/>
              </w:rPr>
            </w:pPr>
            <w:r>
              <w:rPr>
                <w:rFonts w:ascii="Arial" w:cs="Arial" w:eastAsia="Arial" w:hAnsi="Arial"/>
                <w:sz w:val="16"/>
                <w:szCs w:val="16"/>
                <w:b w:val="1"/>
                <w:bCs w:val="1"/>
                <w:color w:val="auto"/>
              </w:rPr>
              <w:t>Intangible Assets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GAAP</w:t>
            </w:r>
          </w:p>
        </w:tc>
        <w:tc>
          <w:tcPr>
            <w:tcW w:w="15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Related Expenses</w:t>
            </w:r>
          </w:p>
        </w:tc>
        <w:tc>
          <w:tcPr>
            <w:tcW w:w="180" w:type="dxa"/>
            <w:vAlign w:val="bottom"/>
          </w:tcPr>
          <w:p>
            <w:pPr>
              <w:spacing w:after="0"/>
              <w:rPr>
                <w:sz w:val="14"/>
                <w:szCs w:val="14"/>
                <w:color w:val="auto"/>
              </w:rPr>
            </w:pPr>
          </w:p>
        </w:tc>
        <w:tc>
          <w:tcPr>
            <w:tcW w:w="14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8"/>
              </w:rPr>
              <w:t>Other (4)</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Non-GAAP Measure</w:t>
            </w:r>
          </w:p>
        </w:tc>
        <w:tc>
          <w:tcPr>
            <w:tcW w:w="0" w:type="dxa"/>
            <w:vAlign w:val="bottom"/>
          </w:tcPr>
          <w:p>
            <w:pPr>
              <w:spacing w:after="0"/>
              <w:rPr>
                <w:sz w:val="1"/>
                <w:szCs w:val="1"/>
                <w:color w:val="auto"/>
              </w:rPr>
            </w:pPr>
          </w:p>
        </w:tc>
      </w:tr>
      <w:tr>
        <w:trPr>
          <w:trHeight w:val="215"/>
        </w:trPr>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Expense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82,422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82,422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19,648</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19,565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2,162</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4,419</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4,376</w:t>
            </w:r>
          </w:p>
        </w:tc>
        <w:tc>
          <w:tcPr>
            <w:tcW w:w="0" w:type="dxa"/>
            <w:vAlign w:val="bottom"/>
          </w:tcPr>
          <w:p>
            <w:pPr>
              <w:spacing w:after="0"/>
              <w:rPr>
                <w:sz w:val="1"/>
                <w:szCs w:val="1"/>
                <w:color w:val="auto"/>
              </w:rPr>
            </w:pPr>
          </w:p>
        </w:tc>
      </w:tr>
      <w:tr>
        <w:trPr>
          <w:trHeight w:val="219"/>
        </w:trPr>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4,804</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4,804</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51,389</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4,804</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56,319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62 %</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473"/>
        </w:trPr>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12,769</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12,745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26,130</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890</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25,240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22,463</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1,036</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1,344</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20,083</w:t>
            </w:r>
          </w:p>
        </w:tc>
        <w:tc>
          <w:tcPr>
            <w:tcW w:w="0" w:type="dxa"/>
            <w:vAlign w:val="bottom"/>
          </w:tcPr>
          <w:p>
            <w:pPr>
              <w:spacing w:after="0"/>
              <w:rPr>
                <w:sz w:val="1"/>
                <w:szCs w:val="1"/>
                <w:color w:val="auto"/>
              </w:rPr>
            </w:pPr>
          </w:p>
        </w:tc>
      </w:tr>
      <w:tr>
        <w:trPr>
          <w:trHeight w:val="219"/>
        </w:trPr>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525</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8"/>
        </w:trPr>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61,887</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1,950</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58,068</w:t>
            </w:r>
          </w:p>
        </w:tc>
        <w:tc>
          <w:tcPr>
            <w:tcW w:w="0" w:type="dxa"/>
            <w:vAlign w:val="bottom"/>
          </w:tcPr>
          <w:p>
            <w:pPr>
              <w:spacing w:after="0"/>
              <w:rPr>
                <w:sz w:val="1"/>
                <w:szCs w:val="1"/>
                <w:color w:val="auto"/>
              </w:rPr>
            </w:pPr>
          </w:p>
        </w:tc>
      </w:tr>
      <w:tr>
        <w:trPr>
          <w:trHeight w:val="209"/>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(10,498)</w:t>
            </w: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4"/>
        </w:trPr>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67,783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67,783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17,523</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17,470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1,575</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4,615</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4,482</w:t>
            </w:r>
          </w:p>
        </w:tc>
        <w:tc>
          <w:tcPr>
            <w:tcW w:w="0" w:type="dxa"/>
            <w:vAlign w:val="bottom"/>
          </w:tcPr>
          <w:p>
            <w:pPr>
              <w:spacing w:after="0"/>
              <w:rPr>
                <w:sz w:val="1"/>
                <w:szCs w:val="1"/>
                <w:color w:val="auto"/>
              </w:rPr>
            </w:pPr>
          </w:p>
        </w:tc>
      </w:tr>
      <w:tr>
        <w:trPr>
          <w:trHeight w:val="219"/>
        </w:trPr>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4,953</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39,117</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4,953</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44,256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58 %</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473"/>
        </w:trPr>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9,166</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8,524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23,754</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1,216</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22,538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20,912</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2,890</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18,022</w:t>
            </w:r>
          </w:p>
        </w:tc>
        <w:tc>
          <w:tcPr>
            <w:tcW w:w="0" w:type="dxa"/>
            <w:vAlign w:val="bottom"/>
          </w:tcPr>
          <w:p>
            <w:pPr>
              <w:spacing w:after="0"/>
              <w:rPr>
                <w:sz w:val="1"/>
                <w:szCs w:val="1"/>
                <w:color w:val="auto"/>
              </w:rPr>
            </w:pPr>
          </w:p>
        </w:tc>
      </w:tr>
      <w:tr>
        <w:trPr>
          <w:trHeight w:val="219"/>
        </w:trPr>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533</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8"/>
        </w:trPr>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54,365</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4,748</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49,084</w:t>
            </w:r>
          </w:p>
        </w:tc>
        <w:tc>
          <w:tcPr>
            <w:tcW w:w="0" w:type="dxa"/>
            <w:vAlign w:val="bottom"/>
          </w:tcPr>
          <w:p>
            <w:pPr>
              <w:spacing w:after="0"/>
              <w:rPr>
                <w:sz w:val="1"/>
                <w:szCs w:val="1"/>
                <w:color w:val="auto"/>
              </w:rPr>
            </w:pPr>
          </w:p>
        </w:tc>
      </w:tr>
      <w:tr>
        <w:trPr>
          <w:trHeight w:val="209"/>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(15,248)</w:t>
            </w: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(4,828)</w:t>
            </w:r>
          </w:p>
        </w:tc>
        <w:tc>
          <w:tcPr>
            <w:tcW w:w="0" w:type="dxa"/>
            <w:vAlign w:val="bottom"/>
          </w:tcPr>
          <w:p>
            <w:pPr>
              <w:spacing w:after="0"/>
              <w:rPr>
                <w:sz w:val="1"/>
                <w:szCs w:val="1"/>
                <w:color w:val="auto"/>
              </w:rPr>
            </w:pPr>
          </w:p>
        </w:tc>
      </w:tr>
      <w:tr>
        <w:trPr>
          <w:trHeight w:val="24"/>
        </w:trPr>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980" w:space="200"/>
            <w:col w:w="7900"/>
          </w:cols>
          <w:pgMar w:left="420" w:top="1174" w:right="399" w:bottom="1440" w:gutter="0" w:footer="0" w:header="0"/>
          <w:type w:val="continuous"/>
        </w:sectPr>
      </w:pPr>
    </w:p>
    <w:p>
      <w:pPr>
        <w:spacing w:after="0" w:line="4" w:lineRule="exact"/>
        <w:rPr>
          <w:sz w:val="20"/>
          <w:szCs w:val="20"/>
          <w:color w:val="auto"/>
        </w:rPr>
      </w:pPr>
    </w:p>
    <w:p>
      <w:pPr>
        <w:ind w:left="240" w:right="200" w:hanging="240"/>
        <w:spacing w:after="0" w:line="232"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transaction related expenses as well as post-combination compensation expenses. For each of the three months ended March 31, 2022 and March 31, 2023, adjustments consist primarily of post-combination compensation expenses associated with the acquisition of HalioDx.</w:t>
      </w:r>
    </w:p>
    <w:p>
      <w:pPr>
        <w:spacing w:after="0" w:line="22" w:lineRule="exact"/>
        <w:rPr>
          <w:rFonts w:ascii="Arial" w:cs="Arial" w:eastAsia="Arial" w:hAnsi="Arial"/>
          <w:sz w:val="16"/>
          <w:szCs w:val="16"/>
          <w:color w:val="auto"/>
        </w:rPr>
      </w:pPr>
    </w:p>
    <w:p>
      <w:pPr>
        <w:ind w:left="240" w:right="260" w:hanging="240"/>
        <w:spacing w:after="0" w:line="232"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only amortization of intangible assets identified as developed technology assets through purchase accounting transactions, which otherwise would have been allocated to cost of revenue.</w:t>
      </w:r>
    </w:p>
    <w:p>
      <w:pPr>
        <w:spacing w:after="0" w:line="22" w:lineRule="exact"/>
        <w:rPr>
          <w:rFonts w:ascii="Arial" w:cs="Arial" w:eastAsia="Arial" w:hAnsi="Arial"/>
          <w:sz w:val="16"/>
          <w:szCs w:val="16"/>
          <w:color w:val="auto"/>
        </w:rPr>
      </w:pPr>
    </w:p>
    <w:p>
      <w:pPr>
        <w:ind w:left="240" w:right="120" w:hanging="240"/>
        <w:spacing w:after="0" w:line="221"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only amortization of intangible assets, which otherwise would have been allocated to research and development, selling and marketing or general and administrative expense and excludes the cost of revenue ($26.2 million and $23.7 million) and the amortization of intangible assets which would have been allocated to the cost of revenue ($4.8 million and $5.0 million) for the three months ended March 31, 2023 and for the three months ended March 31, 2022 respectively.</w:t>
      </w:r>
    </w:p>
    <w:p>
      <w:pPr>
        <w:spacing w:after="0" w:line="24" w:lineRule="exact"/>
        <w:rPr>
          <w:rFonts w:ascii="Arial" w:cs="Arial" w:eastAsia="Arial" w:hAnsi="Arial"/>
          <w:sz w:val="16"/>
          <w:szCs w:val="16"/>
          <w:color w:val="auto"/>
        </w:rPr>
      </w:pPr>
    </w:p>
    <w:p>
      <w:pPr>
        <w:ind w:left="180" w:hanging="180"/>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$1.3 million expense related to restructuring costs.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480" w:hanging="206"/>
        <w:spacing w:after="0"/>
        <w:tabs>
          <w:tab w:leader="none" w:pos="5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ectPr>
          <w:pgSz w:w="11900" w:h="16838" w:orient="portrait"/>
          <w:cols w:equalWidth="0" w:num="1">
            <w:col w:w="11080"/>
          </w:cols>
          <w:pgMar w:left="420" w:top="1174" w:right="3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Global Corporate Communications</w:t>
      </w: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sectPr>
      <w:pgSz w:w="11900" w:h="16838" w:orient="portrait"/>
      <w:cols w:equalWidth="0" w:num="1">
        <w:col w:w="10139"/>
      </w:cols>
      <w:pgMar w:left="320" w:top="13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2023-05-04T15:26:48Z</dcterms:created>
  <dcterms:modified xsi:type="dcterms:W3CDTF">2023-05-04T15:26:48Z</dcterms:modified>
</cp:coreProperties>
</file>