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29, 2024</w:t>
      </w:r>
    </w:p>
    <w:p>
      <w:pPr>
        <w:spacing w:after="0" w:line="28"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VERACYTE,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240665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84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20-5455398</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6000 Shoreline Court, Suite 300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South San Francisco, CA 94080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(650) 243-6300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Marc Stapley</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Chief Executive Officer and Director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Veracyte, Inc.</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6000 Shoreline Court, Suite 300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South San Francisco, CA 94080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(650) 243-6300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tbl>
      <w:tblPr>
        <w:tblLayout w:type="fixed"/>
        <w:tblInd w:w="1680" w:type="dxa"/>
        <w:tblCellMar>
          <w:top w:w="0" w:type="dxa"/>
          <w:left w:w="0" w:type="dxa"/>
          <w:bottom w:w="0" w:type="dxa"/>
          <w:right w:w="0" w:type="dxa"/>
        </w:tblCellMar>
      </w:tblPr>
      <w:tr>
        <w:trPr>
          <w:trHeight w:val="214"/>
        </w:trPr>
        <w:tc>
          <w:tcPr>
            <w:tcW w:w="2840" w:type="dxa"/>
            <w:vAlign w:val="bottom"/>
          </w:tcPr>
          <w:p>
            <w:pPr>
              <w:spacing w:after="0"/>
              <w:rPr>
                <w:sz w:val="18"/>
                <w:szCs w:val="18"/>
                <w:color w:val="auto"/>
              </w:rPr>
            </w:pPr>
          </w:p>
        </w:tc>
        <w:tc>
          <w:tcPr>
            <w:tcW w:w="49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436"/>
        </w:trPr>
        <w:tc>
          <w:tcPr>
            <w:tcW w:w="284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Douglas N. Cogen, Esq.</w:t>
            </w:r>
          </w:p>
        </w:tc>
        <w:tc>
          <w:tcPr>
            <w:tcW w:w="49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Annie McGuire, Esq.</w:t>
            </w:r>
          </w:p>
        </w:tc>
      </w:tr>
      <w:tr>
        <w:trPr>
          <w:trHeight w:val="203"/>
        </w:trPr>
        <w:tc>
          <w:tcPr>
            <w:tcW w:w="284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Ran D. Ben-Tzur, Esq.</w:t>
            </w:r>
          </w:p>
        </w:tc>
        <w:tc>
          <w:tcPr>
            <w:tcW w:w="49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Veracyte, Inc.</w:t>
            </w:r>
          </w:p>
        </w:tc>
      </w:tr>
      <w:tr>
        <w:trPr>
          <w:trHeight w:val="203"/>
        </w:trPr>
        <w:tc>
          <w:tcPr>
            <w:tcW w:w="284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Chelsea Anderson, Esq.</w:t>
            </w:r>
          </w:p>
        </w:tc>
        <w:tc>
          <w:tcPr>
            <w:tcW w:w="49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6000 Shoreline Court, Suite 300</w:t>
            </w:r>
          </w:p>
        </w:tc>
      </w:tr>
      <w:tr>
        <w:trPr>
          <w:trHeight w:val="203"/>
        </w:trPr>
        <w:tc>
          <w:tcPr>
            <w:tcW w:w="284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Fenwick &amp; West LLP</w:t>
            </w:r>
          </w:p>
        </w:tc>
        <w:tc>
          <w:tcPr>
            <w:tcW w:w="49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South San Francisco, CA 94080</w:t>
            </w:r>
          </w:p>
        </w:tc>
      </w:tr>
      <w:tr>
        <w:trPr>
          <w:trHeight w:val="203"/>
        </w:trPr>
        <w:tc>
          <w:tcPr>
            <w:tcW w:w="284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555 California Street</w:t>
            </w:r>
          </w:p>
        </w:tc>
        <w:tc>
          <w:tcPr>
            <w:tcW w:w="49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w w:val="99"/>
              </w:rPr>
              <w:t>(650) 243-6300</w:t>
            </w:r>
          </w:p>
        </w:tc>
      </w:tr>
      <w:tr>
        <w:trPr>
          <w:trHeight w:val="203"/>
        </w:trPr>
        <w:tc>
          <w:tcPr>
            <w:tcW w:w="284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San Francisco, California 94041</w:t>
            </w:r>
          </w:p>
        </w:tc>
        <w:tc>
          <w:tcPr>
            <w:tcW w:w="4920" w:type="dxa"/>
            <w:vAlign w:val="bottom"/>
          </w:tcPr>
          <w:p>
            <w:pPr>
              <w:spacing w:after="0"/>
              <w:rPr>
                <w:sz w:val="17"/>
                <w:szCs w:val="17"/>
                <w:color w:val="auto"/>
              </w:rPr>
            </w:pPr>
          </w:p>
        </w:tc>
      </w:tr>
      <w:tr>
        <w:trPr>
          <w:trHeight w:val="212"/>
        </w:trPr>
        <w:tc>
          <w:tcPr>
            <w:tcW w:w="284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w w:val="99"/>
              </w:rPr>
              <w:t>(415) 875-2300</w:t>
            </w:r>
          </w:p>
        </w:tc>
        <w:tc>
          <w:tcPr>
            <w:tcW w:w="4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234950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spacing w:after="0" w:line="20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7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earliest effective registration statement for the same offering:  </w:t>
      </w:r>
      <w:r>
        <w:rPr>
          <w:rFonts w:ascii="MS PGothic" w:cs="MS PGothic" w:eastAsia="MS PGothic" w:hAnsi="MS PGothic"/>
          <w:sz w:val="16"/>
          <w:szCs w:val="16"/>
          <w:color w:val="auto"/>
        </w:rPr>
        <w:t>☐</w:t>
      </w:r>
    </w:p>
    <w:p>
      <w:pPr>
        <w:spacing w:after="0" w:line="183"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earliest effective registration statement for the same offering:  </w:t>
      </w:r>
      <w:r>
        <w:rPr>
          <w:rFonts w:ascii="MS PGothic" w:cs="MS PGothic" w:eastAsia="MS PGothic" w:hAnsi="MS PGothic"/>
          <w:sz w:val="16"/>
          <w:szCs w:val="16"/>
          <w:color w:val="auto"/>
        </w:rPr>
        <w:t>☐</w:t>
      </w:r>
    </w:p>
    <w:p>
      <w:pPr>
        <w:spacing w:after="0" w:line="183"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Securities and Exchange Commission pursuant to Rule 462(e) under the -Securities Act, check the following box.  </w:t>
      </w:r>
      <w:r>
        <w:rPr>
          <w:rFonts w:ascii="MS PGothic" w:cs="MS PGothic" w:eastAsia="MS PGothic" w:hAnsi="MS PGothic"/>
          <w:sz w:val="16"/>
          <w:szCs w:val="16"/>
          <w:color w:val="auto"/>
        </w:rPr>
        <w:t>☒</w:t>
      </w:r>
    </w:p>
    <w:p>
      <w:pPr>
        <w:spacing w:after="0" w:line="183"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ectPr>
          <w:pgSz w:w="11900" w:h="16838" w:orient="portrait"/>
          <w:cols w:equalWidth="0" w:num="1">
            <w:col w:w="10980"/>
          </w:cols>
          <w:pgMar w:left="440" w:top="232" w:right="4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0"/>
          <w:szCs w:val="20"/>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9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173990</wp:posOffset>
            </wp:positionV>
            <wp:extent cx="1765935" cy="1268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593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 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w:t>
      </w:r>
    </w:p>
    <w:p>
      <w:pPr>
        <w:spacing w:after="0" w:line="18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xml:space="preserve"> ”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23.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4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29, 2024</w:t>
      </w:r>
    </w:p>
    <w:p>
      <w:pPr>
        <w:sectPr>
          <w:pgSz w:w="11900" w:h="16838" w:orient="portrait"/>
          <w:cols w:equalWidth="0" w:num="1">
            <w:col w:w="11000"/>
          </w:cols>
          <w:pgMar w:left="440" w:top="266"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0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5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TO BE REGISTERED</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2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44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54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0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440" w:type="dxa"/>
            <w:vAlign w:val="bottom"/>
            <w:tcBorders>
              <w:top w:val="single" w:sz="8" w:color="0000EE"/>
            </w:tcBorders>
            <w:gridSpan w:val="9"/>
          </w:tcPr>
          <w:p>
            <w:pPr>
              <w:spacing w:after="0"/>
              <w:rPr>
                <w:sz w:val="17"/>
                <w:szCs w:val="17"/>
                <w:color w:val="auto"/>
              </w:rPr>
            </w:pPr>
          </w:p>
        </w:tc>
        <w:tc>
          <w:tcPr>
            <w:tcW w:w="51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1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3800" w:type="dxa"/>
            <w:vAlign w:val="bottom"/>
            <w:gridSpan w:val="1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INFORMATION BY REFERENCE</w:t>
            </w:r>
          </w:p>
        </w:tc>
        <w:tc>
          <w:tcPr>
            <w:tcW w:w="42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bl>
    <w:p>
      <w:pPr>
        <w:jc w:val="right"/>
        <w:spacing w:after="0" w:line="196" w:lineRule="exact"/>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39740"/>
                    </a:xfrm>
                    <a:prstGeom prst="rect">
                      <a:avLst/>
                    </a:prstGeom>
                    <a:noFill/>
                  </pic:spPr>
                </pic:pic>
              </a:graphicData>
            </a:graphic>
          </wp:anchor>
        </w:drawing>
        <w:t>ABOUT THIS PROSPECTUS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Neither we, nor the selling securityholders or any agent, underwriter or dealer have authorized anyone to give you any information or to make any representation other than the information and representations contained in or incorporated by reference into this prospectus or any applicable prospectus supplement.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and the accompanying prospectus supplement to “Veracyte,” the “company,” “we,” “us” and “our” refer to Veracyte, Inc.</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TMExplore, Brightplex, Immunosign, C2i Genomics, C2intelligence, C2inform and the Veracyte logo are registered or pending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40"/>
          </w:cols>
          <w:pgMar w:left="620" w:top="455" w:right="6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12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128260"/>
                    </a:xfrm>
                    <a:prstGeom prst="rect">
                      <a:avLst/>
                    </a:prstGeom>
                    <a:noFill/>
                  </pic:spPr>
                </pic:pic>
              </a:graphicData>
            </a:graphic>
          </wp:anchor>
        </w:drawing>
        <w:t>PROSPECTUS SUMMARY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bladder cancer (Decipher Bladder); and interstitial lung diseases (Envisia). Our Percepta Nasal Swab test is being run in our Clinical Laboratory Improvement Amendments of 1988, or CLIA, certified lab in support of clinical studies and our test for lymphoma is in development as a companion diagnostic.</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or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Decipher Prostate and Percepta Nasal Swab tests as in vitro diagnostic, or IVD, tests. We believe our broad menu of advanced diagnostic tests, combined with our ability to deliver them globally, differentiates us in the diagnostics industry.</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February 2024, we acquired C2i Genomics, Inc., a minimal residual disease detection company, which will expand our role across the patient cancer journey, moving from providing early decision support to following the patient through treatment, where we will be able to help monitor the success of a therapeutic or surgical intervention, and determine the best course of action for each patient.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20"/>
          </w:cols>
          <w:pgMar w:left="620" w:top="455" w:right="6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 Item 1A, “Risk Factors,” in our Annual Report on Form 10-K for the fiscal year ended December 31, 2023, which is incorporated herein by reference, and may be amended, supplemented or superseded from time to time by other reports we file with the SEC in the future and which are incorporated herein by reference. See “Where You Can Find More Information” and “Incorporation of Information by Reference.”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prospectus and any prospectus supplement, including the documents incorporated by reference herein and therein, contain forward-looking statements, which are subject to safe harbor protection under of the Private Securities Litigation Reform Act of 1995. All statements contained in or incorporated by reference in this prospectus and any prospectus supplement other than statements of historical fact, including statements regarding our future financial condition and operating results, business strategy and plans, and objectives for future operations, are forward-looking statements. The words “believe,” “may,” “will,” “estimate,” “continue,” “anticipate,” “intend,” “expect,” “seek,” “plan,” and similar expressions are intended to identify forward-looking statements. We have based these forward-looking statements largely on our current expectations, beliefs, and projections about future events, conditions, and trends that we believe may affect our financial condition, operating results, business strategy, short-term and long-term business operations and objectives, and financial needs. These forward-looking statements are subject to a number of risks, uncertainties, assumptions, and changes in circumstances that are difficult to predict and many of which are outside of our control, including those arising from the impact of recent macroeconomic events and inflation, as well as those described in the “Risk Factors” section incorporated by reference herein, which we encourage you to read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light of these risks, uncertainties, assumptions, and potential changes in circumstances, the future events, conditions, and trends discussed in this prospectus and any prospectus supplement may not occur and actual results could differ materially and adversely from those anticipated or implied by the forward-looking statements. Accordingly, you should not rely upon any forward-looking statements. Although we believe that the expectations reflected in the forward-looking statements are reasonable, we cannot guarantee future results, levels of activities, performance, or achievements. We are under no duty to update any of these forward-looking statements after the date of this report or to conform these statements to actual results or revised expectations, except as required by applicable law. If we do update any forward-looking statements, no inference should be drawn that we will make additional updates with respect to those or other forward-looking statements. You are advised to review any additional disclosures we make in the documents we subsequently file with the SEC that are incorporated by reference in this prospectus and any prospectus supplement. See “Where You Can Find Additional Information” and “Incorporation of Information by Reference.”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 w:name="page9"/>
    <w:bookmarkEnd w:id="8"/>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 We cannot predict whether the net proceeds invested will yield a favorable return. Our management will have broad discretion in the application of the net proceeds we receive from the sale of the securities offered hereby, and investors will be relying on the judgment of our management regarding the application of the net proceeds.</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not receive any of the proceeds from any sale of our common stock by selling securityholders.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440" w:top="266" w:right="7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SECURITIES TO BE REGISTERED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COMMON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shares of our common stock, par value $0.001 per share. The following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 and “Incorporation of Information by Reference.”</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125,000,000 shares of authorized common stock. As of December 31, 2023, there were 73,264,738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restated certificate of incorporation and amended and restated bylaws include provisions that:</w:t>
      </w:r>
    </w:p>
    <w:p>
      <w:pPr>
        <w:spacing w:after="0" w:line="133" w:lineRule="exact"/>
        <w:rPr>
          <w:sz w:val="20"/>
          <w:szCs w:val="20"/>
          <w:color w:val="auto"/>
        </w:rPr>
      </w:pPr>
    </w:p>
    <w:p>
      <w:pPr>
        <w:ind w:left="960" w:right="4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 shares of undesignated preferred stock;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960" w:right="22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Class I, Class II and Class III, with each class serving staggered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w:t>
      </w:r>
    </w:p>
    <w:p>
      <w:pPr>
        <w:spacing w:after="0" w:line="85"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serving in a class of directors for a term expiring at the third annual meeting of stockholders following the election of such class may be removed only for cause;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1" w:name="page12"/>
    <w:bookmarkEnd w:id="11"/>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that vacancies on our board of directors may, except as otherwise required by law, be filled only by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2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 We are subject to the provisions of Section 203 of the General Corporation Law of the State of Delaware regulating corporate takeovers.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of the corporation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the business combination is approved by the board of directors of the corporation and authorized at an annual or special meeting of the stockholders, and not by written consent, by the affirmative vote of at least 66-2/3%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Broadridge Corporate Issuer Solutions, Inc.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“VCYT.”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19"/>
          </w:cols>
          <w:pgMar w:left="440" w:top="266"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PREFERRED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shares of our preferred stock, par value $0.001 per share. The following is only a summary and is qualified in its entirety by reference to the description of our preferred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 and “Incorporation of Information by Reference.”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each series and the number of shares that will constitute the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the series and the terms and conditions of the voting rights;</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and the terms and conditions on which, the shares of the series may be redeemed, if the shares are redeemable;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sinking or purchase fund for the purchase or redemption of shares of the series, if such a fund is provided;</w:t>
      </w:r>
    </w:p>
    <w:p>
      <w:pPr>
        <w:spacing w:after="0" w:line="13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preferential amount payable upon shares of the series in the event of the liquidation, dissolution or winding up of, or upon the distribution of any of our assets;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DEBT SECURITIES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the Indenture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is payable;</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dates from which interest, if any, on the debt securities of that series will accrue, and the dates when interest is payable and the maturity;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the extensions;</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1"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5" w:name="page16"/>
    <w:bookmarkEnd w:id="15"/>
    <w:p>
      <w:pPr>
        <w:ind w:left="960" w:right="2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our other debt;</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those debt securities will be issuable, if other than denominations of $1,000 or any integral multiple of that number;</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of that series are to be issued in whole or in part in the form of one or more global securities and the depositary for those global securities;</w:t>
      </w:r>
    </w:p>
    <w:p>
      <w:pPr>
        <w:spacing w:after="0" w:line="67"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and covenants relating to the debt securities that are in addition to, modify or delete those described in this prospectus;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provisions, if any, including conversion or exchange prices or rates and adjustments thereto;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security for any secured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debt securities issued at a discount from their stated principal amount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any debt securities.</w:t>
      </w:r>
    </w:p>
    <w:p>
      <w:pPr>
        <w:spacing w:after="0" w:line="22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incurrence by us of indebtedness. We will describe in the applicable prospectus supplement any material covenants in respect of a series of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67"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our ability or the ability of any holder to convert or exchange the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73" w:lineRule="exact"/>
        <w:rPr>
          <w:sz w:val="20"/>
          <w:szCs w:val="20"/>
          <w:color w:val="auto"/>
        </w:rPr>
      </w:pPr>
    </w:p>
    <w:p>
      <w:pPr>
        <w:jc w:val="both"/>
        <w:ind w:right="680"/>
        <w:spacing w:after="0" w:line="312" w:lineRule="auto"/>
        <w:rPr>
          <w:sz w:val="20"/>
          <w:szCs w:val="20"/>
          <w:color w:val="auto"/>
        </w:rPr>
      </w:pPr>
      <w:r>
        <w:rPr>
          <w:rFonts w:ascii="Times New Roman" w:cs="Times New Roman" w:eastAsia="Times New Roman" w:hAnsi="Times New Roman"/>
          <w:sz w:val="17"/>
          <w:szCs w:val="17"/>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will be “events of default” under the indenture with respect to any series of debt securities:</w:t>
      </w:r>
    </w:p>
    <w:p>
      <w:pPr>
        <w:spacing w:after="0" w:line="67"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for 30 days after the date payment is due and payable;</w:t>
      </w:r>
    </w:p>
    <w:p>
      <w:pPr>
        <w:spacing w:after="0" w:line="130"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7" w:name="page18"/>
    <w:bookmarkEnd w:id="17"/>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to make sinking fund payments when due and continuance of such default for a period of 30 days;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other covenants for 60 days after notice that performance was required;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 bankruptcy, insolvency or reorganization relating to us; or</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applicable officer’s certificate, resolution of our board of directors or the supplemental indenture under which we issue a series of debt securities.</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67"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default and continuance of such default;</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the affected series have requested that the trustee institute the action;</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for the reasonable expenses and liabilities that may be incurred by bringing the 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request and offer of indemnity; and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the affected series.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 discharge or decrease our obligations under the indenture as stated below.</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8" w:name="page19"/>
    <w:bookmarkEnd w:id="18"/>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whether at maturity, upon redemption or otherwise, the principal of, and any premium and interest on, the debt securities and any mandatory sinking fund payments.</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70" w:lineRule="exact"/>
        <w:rPr>
          <w:sz w:val="20"/>
          <w:szCs w:val="20"/>
          <w:color w:val="auto"/>
        </w:rPr>
      </w:pPr>
    </w:p>
    <w:p>
      <w:pPr>
        <w:ind w:left="960" w:hanging="424"/>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1"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and the trustee may enter into supplemental indentures without the consent of the holders of debt securities to, among other things:</w:t>
      </w:r>
    </w:p>
    <w:p>
      <w:pPr>
        <w:spacing w:after="0" w:line="67"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entity of our obligations;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for the benefit of the holders of debt securities, or to surrender any rights or power conferred upon 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or secure any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forms or terms of debt securities of any series;</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or defect in the indenture;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9" w:name="page20"/>
    <w:bookmarkEnd w:id="19"/>
    <w:p>
      <w:pPr>
        <w:ind w:left="960" w:right="100" w:hanging="424"/>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81" w:lineRule="exact"/>
        <w:rPr>
          <w:rFonts w:ascii="Times New Roman" w:cs="Times New Roman" w:eastAsia="Times New Roman" w:hAnsi="Times New Roman"/>
          <w:sz w:val="18"/>
          <w:szCs w:val="18"/>
          <w:color w:val="auto"/>
        </w:rPr>
      </w:pPr>
    </w:p>
    <w:p>
      <w:pPr>
        <w:jc w:val="both"/>
        <w:ind w:left="960" w:right="100" w:hanging="424"/>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70" w:lineRule="exact"/>
        <w:rPr>
          <w:sz w:val="20"/>
          <w:szCs w:val="20"/>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debt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premium,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debt security issued with an original issue discount that is payable upon acceleration;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and any premium or interest, is payable;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adversely affect the right of a holder to convert or exchange a debt security; or</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1"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premium and any interest on, or principal of, any such debt security held by a nonconsenting holder; or</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of the indenture that cannot be modified or amended without the consent of the holder of each outstanding debt security of each series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 and Book Entry System</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registered global security may not be transferred except as a whole:</w:t>
      </w:r>
    </w:p>
    <w:p>
      <w:pPr>
        <w:spacing w:after="0" w:line="67" w:lineRule="exact"/>
        <w:rPr>
          <w:sz w:val="20"/>
          <w:szCs w:val="20"/>
          <w:color w:val="auto"/>
        </w:rPr>
      </w:pPr>
    </w:p>
    <w:p>
      <w:pPr>
        <w:ind w:left="5420" w:right="5280" w:hanging="4884"/>
        <w:spacing w:after="0" w:line="367" w:lineRule="auto"/>
        <w:tabs>
          <w:tab w:leader="none" w:pos="9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depositary for the registered global security to its nominee; 16</w:t>
      </w:r>
    </w:p>
    <w:p>
      <w:pPr>
        <w:sectPr>
          <w:pgSz w:w="11900" w:h="16838" w:orient="portrait"/>
          <w:cols w:equalWidth="0" w:num="1">
            <w:col w:w="10980"/>
          </w:cols>
          <w:pgMar w:left="440" w:top="270" w:right="479" w:bottom="1440" w:gutter="0" w:footer="0" w:header="0"/>
        </w:sectPr>
      </w:pPr>
    </w:p>
    <w:bookmarkStart w:id="20" w:name="page21"/>
    <w:bookmarkEnd w:id="20"/>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 nominee of the depositary to the depositary or another nominee of the depositary;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its nominee to a successor of the depositary or a nominee of the successor.</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1" w:lineRule="exact"/>
        <w:rPr>
          <w:sz w:val="20"/>
          <w:szCs w:val="20"/>
          <w:color w:val="auto"/>
        </w:rPr>
      </w:pPr>
    </w:p>
    <w:p>
      <w:pPr>
        <w:ind w:left="960" w:right="18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67"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registered global security, the depositary for the registered global security will credit, on its book- entry registration and transfer system, the participants’ accounts with the respective principal amounts of the debt securities represented by the registered global security beneficially owned by the participants;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dealers, underwriters, or agents participating in the distribution of the debt securities will designate the accounts to be credited; and</w:t>
      </w:r>
    </w:p>
    <w:p>
      <w:pPr>
        <w:spacing w:after="0" w:line="130" w:lineRule="exact"/>
        <w:rPr>
          <w:rFonts w:ascii="Times New Roman" w:cs="Times New Roman" w:eastAsia="Times New Roman" w:hAnsi="Times New Roman"/>
          <w:sz w:val="18"/>
          <w:szCs w:val="18"/>
          <w:color w:val="auto"/>
        </w:rPr>
      </w:pPr>
    </w:p>
    <w:p>
      <w:pPr>
        <w:jc w:val="both"/>
        <w:ind w:left="960" w:right="500" w:hanging="42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81"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represented by a registered global security registered in their names;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the debt securities in the definitive form;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securities under the relevant indenture.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WARRANTS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particular issue of warrants will describe the terms of the warrants, including, as applicable, the following:</w:t>
      </w:r>
    </w:p>
    <w:p>
      <w:pPr>
        <w:spacing w:after="0" w:line="67" w:lineRule="exact"/>
        <w:rPr>
          <w:sz w:val="20"/>
          <w:szCs w:val="20"/>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terms and number of shares of common stock, preferred stock or debt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offered securities, if any, with which the warrants are issued and the number of the warrants issued with each offered security;</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common stock, preferred stock or debt securities will be separately transferable;</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share of common stock, preferred stock or debt securities purchasable upon exercise of the warrants may be purchased;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that right shall expire;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SUBSCRIPTION RIGHTS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45"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subscription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subscription rights distribution;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subscription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subscription rights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subscription rights will be separately transferable;</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subscription right to exercise the subscription rights will commence and the date on which the subscription right will expire;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terms, procedures and limitations relating to the distribution, exchange and exercise of the subscription rights.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UNITS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6" w:right="47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SECURITYHOLDERS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6" w:right="49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OF DISTRIBUTION</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81"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or the selling securityholders from the sale;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compensation to underwriters, dealers or agents;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 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or selling securityholders will provide in the applicable prospectus supplement information regarding any underwriting discounts or other compensation that we or selling securityholders pay to underwriters or agents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66" w:right="47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Fenwick &amp; West LLP, San Francisco, California will issue an opinion about certain legal matters with respect to the securities. Counsel representing any underwriters, dealers or agents will be named in the applicable prospectus supplement.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66" w:right="499" w:bottom="1440" w:gutter="0" w:footer="0" w:header="0"/>
        </w:sectPr>
      </w:pPr>
    </w:p>
    <w:bookmarkStart w:id="29" w:name="page30"/>
    <w:bookmarkEnd w:id="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66" w:right="5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YOU CAN FIND MORE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access, free of charge, our annual reports on Form 10-K, quarterly reports on Form 10-Q, current reports on Form 8-K and any amendments to those reports filed or furnished pursuant to Section 13(a) or 15(d) of the Exchange Act as soon as reasonably practicable after such each such report is electronically filed with, or furnished to, the SEC.</w:t>
      </w:r>
    </w:p>
    <w:p>
      <w:pPr>
        <w:spacing w:after="0" w:line="183"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Information about us is also available on our website at www.veracyte.com. However, the information on our website is not a part of this prospectus and is not incorporated by reference into this prospectus. We have included our website address in this prospectus solely as an inactive textual reference.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INFORMATION BY REFERENCE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3"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50">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 filed with the SEC on February 29, 2024;</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1">
        <w:r>
          <w:rPr>
            <w:rFonts w:ascii="Times New Roman" w:cs="Times New Roman" w:eastAsia="Times New Roman" w:hAnsi="Times New Roman"/>
            <w:sz w:val="18"/>
            <w:szCs w:val="18"/>
            <w:u w:val="single" w:color="auto"/>
            <w:color w:val="0000EE"/>
          </w:rPr>
          <w:t>February 6, 2024</w:t>
        </w:r>
      </w:hyperlink>
      <w:r>
        <w:rPr>
          <w:rFonts w:ascii="Times New Roman" w:cs="Times New Roman" w:eastAsia="Times New Roman" w:hAnsi="Times New Roman"/>
          <w:sz w:val="18"/>
          <w:szCs w:val="18"/>
          <w:color w:val="auto"/>
        </w:rPr>
        <w:t xml:space="preserve">, and </w:t>
      </w:r>
      <w:hyperlink r:id="rId52">
        <w:r>
          <w:rPr>
            <w:rFonts w:ascii="Times New Roman" w:cs="Times New Roman" w:eastAsia="Times New Roman" w:hAnsi="Times New Roman"/>
            <w:sz w:val="18"/>
            <w:szCs w:val="18"/>
            <w:u w:val="single" w:color="auto"/>
            <w:color w:val="0000EE"/>
          </w:rPr>
          <w:t>February 13, 2024</w:t>
        </w:r>
      </w:hyperlink>
      <w:r>
        <w:rPr>
          <w:rFonts w:ascii="Times New Roman" w:cs="Times New Roman" w:eastAsia="Times New Roman" w:hAnsi="Times New Roman"/>
          <w:sz w:val="18"/>
          <w:szCs w:val="18"/>
          <w:color w:val="auto"/>
        </w:rPr>
        <w:t>, (except that any portions thereof which are furnished and not filed shall not be deemed incorporated); and</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October 28, 2013 under </w:t>
      </w:r>
      <w:hyperlink r:id="rId54">
        <w:r>
          <w:rPr>
            <w:rFonts w:ascii="Times New Roman" w:cs="Times New Roman" w:eastAsia="Times New Roman" w:hAnsi="Times New Roman"/>
            <w:sz w:val="18"/>
            <w:szCs w:val="18"/>
            <w:color w:val="auto"/>
          </w:rPr>
          <w:t xml:space="preserve">Section 12 of the Exchange Act, including any amendment or report filed for the purposes of updating such description, including </w:t>
        </w:r>
        <w:r>
          <w:rPr>
            <w:rFonts w:ascii="Times New Roman" w:cs="Times New Roman" w:eastAsia="Times New Roman" w:hAnsi="Times New Roman"/>
            <w:sz w:val="18"/>
            <w:szCs w:val="18"/>
            <w:u w:val="single" w:color="auto"/>
            <w:color w:val="0000EE"/>
          </w:rPr>
          <w:t>Exhibit</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Annual Report on Form 10-K for the year ended</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December 31, 2023</w:t>
        </w:r>
      </w:hyperlink>
      <w:hyperlink r:id="rId54">
        <w:r>
          <w:rPr>
            <w:rFonts w:ascii="Times New Roman" w:cs="Times New Roman" w:eastAsia="Times New Roman" w:hAnsi="Times New Roman"/>
            <w:sz w:val="18"/>
            <w:szCs w:val="18"/>
            <w:color w:val="000000"/>
          </w:rPr>
          <w:t>, filed with the SEC on February 29, 2024.</w:t>
        </w:r>
      </w:hyperlink>
    </w:p>
    <w:p>
      <w:pPr>
        <w:spacing w:after="0" w:line="176" w:lineRule="exact"/>
        <w:rPr>
          <w:rFonts w:ascii="Times New Roman" w:cs="Times New Roman" w:eastAsia="Times New Roman" w:hAnsi="Times New Roman"/>
          <w:sz w:val="18"/>
          <w:szCs w:val="18"/>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76" w:lineRule="exact"/>
        <w:rPr>
          <w:rFonts w:ascii="Times New Roman" w:cs="Times New Roman" w:eastAsia="Times New Roman" w:hAnsi="Times New Roman"/>
          <w:sz w:val="18"/>
          <w:szCs w:val="18"/>
          <w:color w:val="0000EE"/>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 See the section of this prospectus entitled “Where You Can Find More Information” for information concerning how to obtain copies of materials that we file with the SEC.</w:t>
      </w:r>
    </w:p>
    <w:p>
      <w:pPr>
        <w:spacing w:after="0" w:line="116"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2" w:name="page33"/>
    <w:bookmarkEnd w:id="32"/>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The following is a statement of estimated expenses in connection with the issuance and distribution of the securities being registered, other than underwriting discounts and commissions.</w:t>
      </w:r>
    </w:p>
    <w:p>
      <w:pPr>
        <w:spacing w:after="0" w:line="207"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3"/>
              </w:rPr>
              <w:t>   *</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and Trustee Fees</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580" w:hanging="424"/>
        <w:spacing w:after="0" w:line="261"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of the Securities Act of 1933, as amended, or Securities Act, we are deferring payment of the registration fee for the securities offered.</w:t>
      </w:r>
    </w:p>
    <w:p>
      <w:pPr>
        <w:ind w:left="424" w:right="520" w:hanging="424"/>
        <w:spacing w:after="0" w:line="255"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any applicable prospectus supplement.</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0"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certificate of incorporation contains provisions that eliminate the personal liability of its directors for monetary damages for any breach of fiduciary duties as a director, except liability for the following:</w:t>
      </w:r>
    </w:p>
    <w:p>
      <w:pPr>
        <w:spacing w:after="0" w:line="67" w:lineRule="exact"/>
        <w:rPr>
          <w:sz w:val="20"/>
          <w:szCs w:val="20"/>
          <w:color w:val="auto"/>
        </w:rPr>
      </w:pPr>
    </w:p>
    <w:p>
      <w:pPr>
        <w:ind w:left="964" w:hanging="424"/>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amended and restated bylaws provide that:</w:t>
      </w:r>
    </w:p>
    <w:p>
      <w:pPr>
        <w:spacing w:after="0" w:line="131" w:lineRule="exact"/>
        <w:rPr>
          <w:sz w:val="20"/>
          <w:szCs w:val="20"/>
          <w:color w:val="auto"/>
        </w:rPr>
      </w:pPr>
    </w:p>
    <w:p>
      <w:pPr>
        <w:ind w:left="964" w:right="620" w:hanging="424"/>
        <w:spacing w:after="0" w:line="282" w:lineRule="auto"/>
        <w:tabs>
          <w:tab w:leader="none" w:pos="9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Delaware General Corporation Law, subject to very limited exceptions;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904"/>
          </w:cols>
          <w:pgMar w:left="436" w:top="266" w:right="559" w:bottom="1440" w:gutter="0" w:footer="0" w:header="0"/>
        </w:sectPr>
      </w:pPr>
    </w:p>
    <w:bookmarkStart w:id="33" w:name="page34"/>
    <w:bookmarkEnd w:id="33"/>
    <w:p>
      <w:pPr>
        <w:ind w:left="964" w:right="160" w:hanging="424"/>
        <w:spacing w:after="0" w:line="282"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Registrant is required to advance expenses, as incurred, to its directors and executive officers in connection with a legal proceeding to the fullest extent permitted by the Delaware General Corporation Law, subject to very limited exceptions; and</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amended and restated bylaws are not exclusive.</w:t>
      </w:r>
    </w:p>
    <w:p>
      <w:pPr>
        <w:spacing w:after="0" w:line="225"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amended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amended and restated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00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10000" w:type="dxa"/>
            <w:vAlign w:val="bottom"/>
            <w:gridSpan w:val="6"/>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Restated Certificate of Incorporation (incorporated by reference to Exhibit 3.2 of the Registrant’s Current Report on Form 8-K filed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June 9, 2023 (No. 001-36156)).</w:t>
              </w:r>
            </w:hyperlink>
          </w:p>
        </w:tc>
        <w:tc>
          <w:tcPr>
            <w:tcW w:w="7200" w:type="dxa"/>
            <w:vAlign w:val="bottom"/>
            <w:tcBorders>
              <w:top w:val="single" w:sz="8" w:color="0000EE"/>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10000" w:type="dxa"/>
            <w:vAlign w:val="bottom"/>
            <w:gridSpan w:val="6"/>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Bylaws (incorporated by reference to Exhibit 3.3 of the Registrant’s Current Report on Form 8-K filed June 9,</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2023 (No. 001-36156)).</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17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Form of Indenture.</w:t>
            </w:r>
          </w:p>
        </w:tc>
        <w:tc>
          <w:tcPr>
            <w:tcW w:w="8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84" w:hanging="84"/>
        <w:spacing w:after="0"/>
        <w:tabs>
          <w:tab w:leader="none" w:pos="8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7"/>
          <w:szCs w:val="17"/>
          <w:color w:val="auto"/>
        </w:rPr>
        <w:t>Form of Debt Security.</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7"/>
          <w:szCs w:val="17"/>
          <w:color w:val="auto"/>
        </w:rPr>
        <w:t>Form of Warrant Agreement and Warrant Certificate.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8"/>
          <w:szCs w:val="18"/>
          <w:color w:val="auto"/>
        </w:rPr>
        <w:t>Form of Specimen Preferred Stock Certificate.</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7"/>
          <w:szCs w:val="17"/>
          <w:color w:val="auto"/>
        </w:rPr>
        <w:t>Form of Subscription Rights Agreement and Subscription Rights Certificate.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w:t>
      </w:r>
      <w:r>
        <w:rPr>
          <w:rFonts w:ascii="Times New Roman" w:cs="Times New Roman" w:eastAsia="Times New Roman" w:hAnsi="Times New Roman"/>
          <w:sz w:val="18"/>
          <w:szCs w:val="18"/>
          <w:color w:val="auto"/>
        </w:rPr>
        <w:t>Form of Unit Agreement and Unit Certificate.</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98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Specimen Common Stock Certificate (incorporated by reference to Exhibit 4.1 to the Registrant’s Registration Statement on Form S-1/A</w:t>
              </w:r>
            </w:hyperlink>
          </w:p>
        </w:tc>
      </w:tr>
      <w:tr>
        <w:trPr>
          <w:trHeight w:val="196"/>
        </w:trPr>
        <w:tc>
          <w:tcPr>
            <w:tcW w:w="1020" w:type="dxa"/>
            <w:vAlign w:val="bottom"/>
          </w:tcPr>
          <w:p>
            <w:pPr>
              <w:spacing w:after="0"/>
              <w:rPr>
                <w:sz w:val="17"/>
                <w:szCs w:val="17"/>
                <w:color w:val="auto"/>
              </w:rPr>
            </w:pPr>
          </w:p>
        </w:tc>
        <w:tc>
          <w:tcPr>
            <w:tcW w:w="9840" w:type="dxa"/>
            <w:vAlign w:val="bottom"/>
            <w:gridSpan w:val="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filed October 15, 2013 (File No. 333-191282)).</w:t>
              </w:r>
            </w:hyperlink>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3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Opinion of Fenwick &amp; West LLP.</w:t>
            </w:r>
          </w:p>
        </w:tc>
        <w:tc>
          <w:tcPr>
            <w:tcW w:w="6440" w:type="dxa"/>
            <w:vAlign w:val="bottom"/>
            <w:gridSpan w:val="3"/>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Fenwick &amp; West LLP (included in Exhibit 5.1).</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hereto).</w:t>
            </w:r>
          </w:p>
        </w:tc>
        <w:tc>
          <w:tcPr>
            <w:tcW w:w="54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r>
      <w:tr>
        <w:trPr>
          <w:trHeight w:val="3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under the Trust Indenture Act of 1939.</w:t>
            </w:r>
          </w:p>
        </w:tc>
      </w:t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right="100" w:hanging="424"/>
        <w:spacing w:after="0" w:line="250"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pursuant to a report to be filed pursuant to Section 13 or 15(d) of the Securities Exchange Act of 1934, if applicable, and incorporated herein by reference.</w:t>
      </w:r>
    </w:p>
    <w:p>
      <w:pPr>
        <w:spacing w:after="0" w:line="1" w:lineRule="exact"/>
        <w:rPr>
          <w:sz w:val="20"/>
          <w:szCs w:val="20"/>
          <w:color w:val="auto"/>
        </w:rPr>
      </w:pPr>
    </w:p>
    <w:p>
      <w:pPr>
        <w:ind w:left="5364" w:right="1220" w:hanging="5364"/>
        <w:spacing w:after="0" w:line="433" w:lineRule="auto"/>
        <w:tabs>
          <w:tab w:leader="none" w:pos="4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and Rule 5b-3 thereunder. II-2</w:t>
      </w:r>
    </w:p>
    <w:p>
      <w:pPr>
        <w:sectPr>
          <w:pgSz w:w="11900" w:h="16838" w:orient="portrait"/>
          <w:cols w:equalWidth="0" w:num="1">
            <w:col w:w="11024"/>
          </w:cols>
          <w:pgMar w:left="436" w:top="270" w:right="43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17. Undertakings.</w:t>
      </w:r>
    </w:p>
    <w:p>
      <w:pPr>
        <w:spacing w:after="0" w:line="121" w:lineRule="exact"/>
        <w:rPr>
          <w:sz w:val="20"/>
          <w:szCs w:val="20"/>
          <w:color w:val="auto"/>
        </w:rPr>
      </w:pPr>
    </w:p>
    <w:p>
      <w:pPr>
        <w:ind w:left="244" w:hanging="244"/>
        <w:spacing w:after="0"/>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117" w:lineRule="exact"/>
        <w:rPr>
          <w:sz w:val="20"/>
          <w:szCs w:val="20"/>
          <w:color w:val="auto"/>
        </w:rPr>
      </w:pPr>
    </w:p>
    <w:p>
      <w:pPr>
        <w:ind w:left="444" w:right="20" w:hanging="4"/>
        <w:spacing w:after="0" w:line="255" w:lineRule="auto"/>
        <w:tabs>
          <w:tab w:leader="none" w:pos="7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444" w:right="540" w:hanging="4"/>
        <w:spacing w:after="0" w:line="282" w:lineRule="auto"/>
        <w:tabs>
          <w:tab w:leader="none" w:pos="7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 (ii), and (iii) do not apply if the information required to be included in a post-effective amendment by</w:t>
      </w:r>
    </w:p>
    <w:p>
      <w:pPr>
        <w:spacing w:after="0" w:line="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those paragraphs is contained in reports filed with or furnished to the Securities and Exchange Commission by the Registrant pursuant to</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13 or Section 15(d) of the Securities Exchange Act of 1934 that are incorporated by reference in the registration statement, or is contained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 form of prospectus filed pursuant to Rule 424(b) that is part of the registration statement.</w:t>
      </w:r>
    </w:p>
    <w:p>
      <w:pPr>
        <w:spacing w:after="0" w:line="207" w:lineRule="exact"/>
        <w:rPr>
          <w:sz w:val="20"/>
          <w:szCs w:val="20"/>
          <w:color w:val="auto"/>
        </w:rPr>
      </w:pPr>
    </w:p>
    <w:p>
      <w:pPr>
        <w:ind w:left="4" w:right="60" w:firstLine="436"/>
        <w:spacing w:after="0" w:line="261"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06" w:lineRule="exact"/>
        <w:rPr>
          <w:rFonts w:ascii="Times New Roman" w:cs="Times New Roman" w:eastAsia="Times New Roman" w:hAnsi="Times New Roman"/>
          <w:sz w:val="18"/>
          <w:szCs w:val="18"/>
          <w:color w:val="auto"/>
        </w:rPr>
      </w:pPr>
    </w:p>
    <w:p>
      <w:pPr>
        <w:ind w:left="4" w:right="620" w:firstLine="436"/>
        <w:spacing w:after="0" w:line="282"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sz w:val="20"/>
          <w:szCs w:val="20"/>
          <w:color w:val="auto"/>
        </w:rPr>
      </w:pPr>
    </w:p>
    <w:p>
      <w:pPr>
        <w:ind w:left="444" w:right="280" w:hanging="4"/>
        <w:spacing w:after="0" w:line="282" w:lineRule="auto"/>
        <w:tabs>
          <w:tab w:leader="none" w:pos="6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444" w:hanging="4"/>
        <w:spacing w:after="0" w:line="253" w:lineRule="auto"/>
        <w:tabs>
          <w:tab w:leader="none" w:pos="7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84"/>
          </w:cols>
          <w:pgMar w:left="436" w:top="266" w:right="479" w:bottom="1440" w:gutter="0" w:footer="0" w:header="0"/>
        </w:sectPr>
      </w:pPr>
    </w:p>
    <w:bookmarkStart w:id="35" w:name="page36"/>
    <w:bookmarkEnd w:id="35"/>
    <w:p>
      <w:pPr>
        <w:ind w:left="4" w:firstLine="436"/>
        <w:spacing w:after="0" w:line="258" w:lineRule="auto"/>
        <w:tabs>
          <w:tab w:leader="none" w:pos="6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sz w:val="20"/>
          <w:szCs w:val="20"/>
          <w:color w:val="auto"/>
        </w:rPr>
      </w:pPr>
    </w:p>
    <w:p>
      <w:pPr>
        <w:ind w:left="664" w:hanging="224"/>
        <w:spacing w:after="0"/>
        <w:tabs>
          <w:tab w:leader="none" w:pos="6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444" w:right="640" w:hanging="4"/>
        <w:spacing w:after="0" w:line="282" w:lineRule="auto"/>
        <w:tabs>
          <w:tab w:leader="none" w:pos="7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44" w:right="20" w:hanging="4"/>
        <w:spacing w:after="0" w:line="282" w:lineRule="auto"/>
        <w:tabs>
          <w:tab w:leader="none" w:pos="75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4" w:right="200" w:hanging="4"/>
        <w:spacing w:after="0" w:line="258"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4" w:right="160" w:hanging="4"/>
        <w:spacing w:after="0" w:line="266"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applicable, the Registrant hereby further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04"/>
          </w:cols>
          <w:pgMar w:left="436" w:top="270" w:right="459" w:bottom="1440" w:gutter="0" w:footer="0" w:header="0"/>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29th day of February,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9" w:lineRule="exact"/>
        <w:rPr>
          <w:sz w:val="20"/>
          <w:szCs w:val="20"/>
          <w:color w:val="auto"/>
        </w:rPr>
      </w:pPr>
    </w:p>
    <w:p>
      <w:pPr>
        <w:ind w:left="6620"/>
        <w:spacing w:after="0"/>
        <w:tabs>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color w:val="auto"/>
        </w:rPr>
        <w:t>Marc Stapley</w:t>
      </w:r>
    </w:p>
    <w:p>
      <w:pPr>
        <w:spacing w:after="0" w:line="9"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Marc Stapley and Rebecca Chambers,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 in fact and agents or their substitute or substitutes may lawfully do or cause to be done by virtue hereof.</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4"/>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MARC STAPLEY</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 Stapley</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Officer)</w:t>
            </w:r>
          </w:p>
        </w:tc>
        <w:tc>
          <w:tcPr>
            <w:tcW w:w="174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REBECCA CHAMBERS</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Rebecca Chambers</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74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WYGANT</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Jonathan Wygant</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S. EPSTEIN, M.D., M.S.</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Chairperson and Director</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S. Epstein, M.D., M.S</w:t>
            </w:r>
          </w:p>
        </w:tc>
        <w:tc>
          <w:tcPr>
            <w:tcW w:w="39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 BISHOP</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L. Bishop</w:t>
            </w:r>
          </w:p>
        </w:tc>
        <w:tc>
          <w:tcPr>
            <w:tcW w:w="39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ELIAV BARR, M.D.</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Eliav Barr, M.D.</w:t>
            </w:r>
          </w:p>
        </w:tc>
        <w:tc>
          <w:tcPr>
            <w:tcW w:w="39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6"/>
        </w:trPr>
        <w:tc>
          <w:tcPr>
            <w:tcW w:w="4960" w:type="dxa"/>
            <w:vAlign w:val="bottom"/>
          </w:tcPr>
          <w:p>
            <w:pPr>
              <w:spacing w:after="0"/>
              <w:rPr>
                <w:sz w:val="24"/>
                <w:szCs w:val="24"/>
                <w:color w:val="auto"/>
              </w:rPr>
            </w:pPr>
          </w:p>
        </w:tc>
        <w:tc>
          <w:tcPr>
            <w:tcW w:w="3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II-5</w:t>
            </w:r>
          </w:p>
        </w:tc>
        <w:tc>
          <w:tcPr>
            <w:tcW w:w="1740" w:type="dxa"/>
            <w:vAlign w:val="bottom"/>
          </w:tcPr>
          <w:p>
            <w:pPr>
              <w:spacing w:after="0"/>
              <w:rPr>
                <w:sz w:val="24"/>
                <w:szCs w:val="24"/>
                <w:color w:val="auto"/>
              </w:rPr>
            </w:pPr>
          </w:p>
        </w:tc>
      </w:tr>
    </w:tbl>
    <w:p>
      <w:pPr>
        <w:sectPr>
          <w:pgSz w:w="11900" w:h="16838" w:orient="portrait"/>
          <w:cols w:equalWidth="0" w:num="1">
            <w:col w:w="10920"/>
          </w:cols>
          <w:pgMar w:left="440" w:top="266" w:right="5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2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KARIN EASTHAM</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Karin Eastham</w:t>
            </w:r>
          </w:p>
        </w:tc>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JENS HOLSTEIN</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Jens Holstein</w:t>
            </w:r>
          </w:p>
        </w:tc>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MUNA BHANJI</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Muna Bhanji</w:t>
            </w:r>
          </w:p>
        </w:tc>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EVAN JONES</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Evan Jones</w:t>
            </w:r>
          </w:p>
        </w:tc>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56"/>
        </w:trPr>
        <w:tc>
          <w:tcPr>
            <w:tcW w:w="4960" w:type="dxa"/>
            <w:vAlign w:val="bottom"/>
          </w:tcPr>
          <w:p>
            <w:pPr>
              <w:spacing w:after="0"/>
              <w:rPr>
                <w:sz w:val="24"/>
                <w:szCs w:val="24"/>
                <w:color w:val="auto"/>
              </w:rPr>
            </w:pPr>
          </w:p>
        </w:tc>
        <w:tc>
          <w:tcPr>
            <w:tcW w:w="3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II-6</w:t>
            </w:r>
          </w:p>
        </w:tc>
        <w:tc>
          <w:tcPr>
            <w:tcW w:w="2320" w:type="dxa"/>
            <w:vAlign w:val="bottom"/>
          </w:tcPr>
          <w:p>
            <w:pPr>
              <w:spacing w:after="0"/>
              <w:rPr>
                <w:sz w:val="24"/>
                <w:szCs w:val="24"/>
                <w:color w:val="auto"/>
              </w:rPr>
            </w:pPr>
          </w:p>
        </w:tc>
      </w:tr>
    </w:tbl>
    <w:p>
      <w:pPr>
        <w:sectPr>
          <w:pgSz w:w="11900" w:h="16838" w:orient="portrait"/>
          <w:cols w:equalWidth="0" w:num="1">
            <w:col w:w="10480"/>
          </w:cols>
          <w:pgMar w:left="440" w:top="263" w:right="9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i w:val="1"/>
          <w:iCs w:val="1"/>
          <w:color w:val="auto"/>
        </w:rPr>
        <w:t>Dated as of , 20</w:t>
      </w:r>
    </w:p>
    <w:p>
      <w:pPr>
        <w:sectPr>
          <w:pgSz w:w="11900" w:h="16838" w:orient="portrait"/>
          <w:cols w:equalWidth="0" w:num="1">
            <w:col w:w="10020"/>
          </w:cols>
          <w:pgMar w:left="1440" w:top="117"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8620" w:type="dxa"/>
            <w:vAlign w:val="bottom"/>
            <w:gridSpan w:val="3"/>
          </w:tcPr>
          <w:p>
            <w:pPr>
              <w:jc w:val="center"/>
              <w:ind w:right="2311"/>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8620" w:type="dxa"/>
            <w:vAlign w:val="bottom"/>
            <w:gridSpan w:val="3"/>
          </w:tcPr>
          <w:p>
            <w:pPr>
              <w:jc w:val="center"/>
              <w:ind w:right="2311"/>
              <w:spacing w:after="0"/>
              <w:rPr>
                <w:sz w:val="20"/>
                <w:szCs w:val="20"/>
                <w:color w:val="auto"/>
              </w:rPr>
            </w:pPr>
            <w:r>
              <w:rPr>
                <w:rFonts w:ascii="Times New Roman" w:cs="Times New Roman" w:eastAsia="Times New Roman" w:hAnsi="Times New Roman"/>
                <w:sz w:val="18"/>
                <w:szCs w:val="18"/>
                <w:b w:val="1"/>
                <w:bCs w:val="1"/>
                <w:color w:val="auto"/>
                <w:w w:val="99"/>
              </w:rPr>
              <w:t>Reconciliation and tie between Trust Indenture Act of 1939 and</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p>
        </w:tc>
        <w:tc>
          <w:tcPr>
            <w:tcW w:w="8620" w:type="dxa"/>
            <w:vAlign w:val="bottom"/>
            <w:gridSpan w:val="3"/>
          </w:tcPr>
          <w:p>
            <w:pPr>
              <w:jc w:val="center"/>
              <w:ind w:right="2331"/>
              <w:spacing w:after="0"/>
              <w:rPr>
                <w:sz w:val="20"/>
                <w:szCs w:val="20"/>
                <w:color w:val="auto"/>
              </w:rPr>
            </w:pPr>
            <w:r>
              <w:rPr>
                <w:rFonts w:ascii="Times New Roman" w:cs="Times New Roman" w:eastAsia="Times New Roman" w:hAnsi="Times New Roman"/>
                <w:sz w:val="18"/>
                <w:szCs w:val="18"/>
                <w:b w:val="1"/>
                <w:bCs w:val="1"/>
                <w:color w:val="auto"/>
                <w:w w:val="99"/>
              </w:rPr>
              <w:t>Indenture, dated as of , 20</w:t>
            </w:r>
          </w:p>
        </w:tc>
        <w:tc>
          <w:tcPr>
            <w:tcW w:w="0" w:type="dxa"/>
            <w:vAlign w:val="bottom"/>
          </w:tcPr>
          <w:p>
            <w:pPr>
              <w:spacing w:after="0"/>
              <w:rPr>
                <w:sz w:val="1"/>
                <w:szCs w:val="1"/>
                <w:color w:val="auto"/>
              </w:rPr>
            </w:pPr>
          </w:p>
        </w:tc>
      </w:tr>
      <w:tr>
        <w:trPr>
          <w:trHeight w:val="367"/>
        </w:trPr>
        <w:tc>
          <w:tcPr>
            <w:tcW w:w="2400" w:type="dxa"/>
            <w:vAlign w:val="bottom"/>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Indenture</w:t>
            </w: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vMerge w:val="continue"/>
          </w:tcPr>
          <w:p>
            <w:pPr>
              <w:spacing w:after="0"/>
              <w:rPr>
                <w:sz w:val="16"/>
                <w:szCs w:val="16"/>
                <w:color w:val="auto"/>
              </w:rPr>
            </w:pPr>
          </w:p>
        </w:tc>
        <w:tc>
          <w:tcPr>
            <w:tcW w:w="5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Sections</w:t>
            </w:r>
          </w:p>
        </w:tc>
        <w:tc>
          <w:tcPr>
            <w:tcW w:w="0" w:type="dxa"/>
            <w:vAlign w:val="bottom"/>
          </w:tcPr>
          <w:p>
            <w:pPr>
              <w:spacing w:after="0"/>
              <w:rPr>
                <w:sz w:val="1"/>
                <w:szCs w:val="1"/>
                <w:color w:val="auto"/>
              </w:rPr>
            </w:pPr>
          </w:p>
        </w:tc>
      </w:tr>
      <w:tr>
        <w:trPr>
          <w:trHeight w:val="191"/>
        </w:trPr>
        <w:tc>
          <w:tcPr>
            <w:tcW w:w="2400" w:type="dxa"/>
            <w:vAlign w:val="bottom"/>
          </w:tcPr>
          <w:p>
            <w:pPr>
              <w:jc w:val="right"/>
              <w:ind w:right="1310"/>
              <w:spacing w:after="0" w:line="191" w:lineRule="exact"/>
              <w:rPr>
                <w:sz w:val="20"/>
                <w:szCs w:val="20"/>
                <w:color w:val="auto"/>
              </w:rPr>
            </w:pPr>
            <w:r>
              <w:rPr>
                <w:rFonts w:ascii="Times New Roman" w:cs="Times New Roman" w:eastAsia="Times New Roman" w:hAnsi="Times New Roman"/>
                <w:sz w:val="18"/>
                <w:szCs w:val="18"/>
                <w:color w:val="auto"/>
              </w:rPr>
              <w:t>§ 310(a)(1)</w:t>
            </w:r>
          </w:p>
        </w:tc>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(a)(2)</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(a)(3)</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(a)(4)</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(a)(5)</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311(a)</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613(a)</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613(b)</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(b)(2)</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703(a)(2)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703(b)</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312(a)</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702(a)</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702(b)</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702(c)</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313(a)</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703(a)</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703(b)</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703(a), 703(b)</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703(c)</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314(a)</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704, 1004</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(c)(1)</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(c)(2)</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(c)(3)</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(e)</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315(a)</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601(a)</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703(a)(7)</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601(b)</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601(c)</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(d)(l)</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601(a)(1)</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(d)(2)</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601(c)(2)</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(d)(3)</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601(c)(3)</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(e)</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316(a)</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(a)(1)(A)</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(a)(1)(B)</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(a)(2)</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104(e)</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317(a)(l)</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(a)(2)</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4"/>
        </w:trPr>
        <w:tc>
          <w:tcPr>
            <w:tcW w:w="24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318(a)</w:t>
            </w:r>
          </w:p>
        </w:tc>
        <w:tc>
          <w:tcPr>
            <w:tcW w:w="8620" w:type="dxa"/>
            <w:vAlign w:val="bottom"/>
            <w:gridSpan w:val="3"/>
          </w:tcPr>
          <w:p>
            <w:pPr>
              <w:ind w:left="57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66"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066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ONE</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0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DEFINITIONS AND OTHER PROVISIONS OF GENERAL APPLICATION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Compliance Certificates and Opinions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Form of Documents Delivered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Acts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Notices, Etc. to Trustee and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Notice to Holders;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i w:val="1"/>
                <w:iCs w:val="1"/>
                <w:color w:val="auto"/>
              </w:rPr>
              <w:t>Conflict With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i w:val="1"/>
                <w:iCs w:val="1"/>
                <w:color w:val="auto"/>
              </w:rPr>
              <w:t>Effect of Headings and Table of Contents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i w:val="1"/>
                <w:iCs w:val="1"/>
                <w:color w:val="auto"/>
              </w:rPr>
              <w:t>Successors and Assigns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i w:val="1"/>
                <w:iCs w:val="1"/>
                <w:color w:val="auto"/>
              </w:rPr>
              <w:t>Separability Clause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i w:val="1"/>
                <w:iCs w:val="1"/>
                <w:color w:val="auto"/>
              </w:rPr>
              <w:t>Benefits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Governing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i w:val="1"/>
                <w:iCs w:val="1"/>
                <w:color w:val="auto"/>
              </w:rPr>
              <w:t>Legal Holidays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i w:val="1"/>
                <w:iCs w:val="1"/>
                <w:color w:val="auto"/>
              </w:rPr>
              <w:t>Rules by Trustee and Agents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i w:val="1"/>
                <w:iCs w:val="1"/>
                <w:color w:val="auto"/>
              </w:rPr>
              <w:t>No Recourse Against Others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6"/>
        </w:trPr>
        <w:tc>
          <w:tcPr>
            <w:tcW w:w="10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TWO</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SECURITY FORMS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Forms Generally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Trustee’s Certificate of Authentication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6"/>
        </w:trPr>
        <w:tc>
          <w:tcPr>
            <w:tcW w:w="10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THREE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THE SECURITIES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Amount Unlimited; Issuable in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Denominations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Execution, Authentication, Delivery and Dating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Temporary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Registration, Registration of Transfer and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Mutilated, Destroyed, Lost and Stolen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Payment of Interest; Interest Rights Preserved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Persons Deemed Owners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Cancellation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Computation of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Global Securities; Exchanges; Registration and Registration of Transfer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Extension of Interest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10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FOUR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SATISFACTION AND DISCHARGE; DEFEASANCE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Termination of Company’s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Defeasance and Discharge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Defeasance of Certain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Conditions to Defeasance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Application of Trust Money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Reinstatement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41" w:name="page42"/>
    <w:bookmarkEnd w:id="41"/>
    <w:p>
      <w:pPr>
        <w:jc w:val="center"/>
        <w:ind w:righ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FIVE</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REMEDIES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Events of Default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Acceleration of Maturity; Rescission and Annulment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Collection of Indebtedness and Suits for Enforcement by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Trustee May File Proofs of Claim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Trustee May Enforce Claims Without Possession of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Application of Money Collected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Limitation on Suits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Unconditional Right of Holders to Receive Principal, Premium and Interest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Restoration of Rights and Remedies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Rights and Remedies Cumulative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Delay or Omission Not Waiver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Control by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Waiver of Past Defaults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Undertaking for Costs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i w:val="1"/>
                <w:iCs w:val="1"/>
                <w:color w:val="auto"/>
              </w:rPr>
              <w:t>Waiver of Stay or Extension Laws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93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ARTICLE SIX</w:t>
            </w:r>
          </w:p>
        </w:tc>
        <w:tc>
          <w:tcPr>
            <w:tcW w:w="1620" w:type="dxa"/>
            <w:vAlign w:val="bottom"/>
          </w:tcPr>
          <w:p>
            <w:pPr>
              <w:spacing w:after="0"/>
              <w:rPr>
                <w:sz w:val="24"/>
                <w:szCs w:val="24"/>
                <w:color w:val="auto"/>
              </w:rPr>
            </w:pPr>
          </w:p>
        </w:tc>
      </w:tr>
      <w:tr>
        <w:trPr>
          <w:trHeight w:val="234"/>
        </w:trPr>
        <w:tc>
          <w:tcPr>
            <w:tcW w:w="93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THE TRUSTEE</w:t>
            </w:r>
          </w:p>
        </w:tc>
        <w:tc>
          <w:tcPr>
            <w:tcW w:w="1620" w:type="dxa"/>
            <w:vAlign w:val="bottom"/>
          </w:tcPr>
          <w:p>
            <w:pPr>
              <w:spacing w:after="0"/>
              <w:rPr>
                <w:sz w:val="20"/>
                <w:szCs w:val="20"/>
                <w:color w:val="auto"/>
              </w:rPr>
            </w:pPr>
          </w:p>
        </w:tc>
      </w:tr>
      <w:tr>
        <w:trPr>
          <w:trHeight w:val="30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Certain Duties and Responsibilities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Notice of Defaults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Certain Rights of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Not Responsible for Recitals or Issuance of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May Hold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Money Held in Trust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Compensation and Reimbursement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Disqualification; Conflicting Interests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Corporate Trustee Required; Eligibility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and Removal; Appointment of Successor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Acceptance of Appointment by Successor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Merger, Conversion, Consolidation or Succession to Business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Preferential Collection of Claims Against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Appointment of Authenticating Agent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6"/>
        </w:trPr>
        <w:tc>
          <w:tcPr>
            <w:tcW w:w="93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ARTICLE SEVEN</w:t>
            </w:r>
          </w:p>
        </w:tc>
        <w:tc>
          <w:tcPr>
            <w:tcW w:w="1620" w:type="dxa"/>
            <w:vAlign w:val="bottom"/>
          </w:tcPr>
          <w:p>
            <w:pPr>
              <w:spacing w:after="0"/>
              <w:rPr>
                <w:sz w:val="24"/>
                <w:szCs w:val="24"/>
                <w:color w:val="auto"/>
              </w:rPr>
            </w:pPr>
          </w:p>
        </w:tc>
      </w:tr>
      <w:tr>
        <w:trPr>
          <w:trHeight w:val="234"/>
        </w:trPr>
        <w:tc>
          <w:tcPr>
            <w:tcW w:w="93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HOLDERS’ LISTS AND REPORTS BY TRUSTEE AND COMPANY</w:t>
            </w:r>
          </w:p>
        </w:tc>
        <w:tc>
          <w:tcPr>
            <w:tcW w:w="1620" w:type="dxa"/>
            <w:vAlign w:val="bottom"/>
          </w:tcPr>
          <w:p>
            <w:pPr>
              <w:spacing w:after="0"/>
              <w:rPr>
                <w:sz w:val="20"/>
                <w:szCs w:val="20"/>
                <w:color w:val="auto"/>
              </w:rPr>
            </w:pPr>
          </w:p>
        </w:tc>
      </w:tr>
      <w:tr>
        <w:trPr>
          <w:trHeight w:val="30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Company to Furnish Trustee Names and Addresses of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Preservation of Information; Communications to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Reports by Trustee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Reports by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93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ARTICLE EIGHT</w:t>
            </w:r>
          </w:p>
        </w:tc>
        <w:tc>
          <w:tcPr>
            <w:tcW w:w="1620" w:type="dxa"/>
            <w:vAlign w:val="bottom"/>
          </w:tcPr>
          <w:p>
            <w:pPr>
              <w:spacing w:after="0"/>
              <w:rPr>
                <w:sz w:val="24"/>
                <w:szCs w:val="24"/>
                <w:color w:val="auto"/>
              </w:rPr>
            </w:pPr>
          </w:p>
        </w:tc>
      </w:tr>
      <w:tr>
        <w:trPr>
          <w:trHeight w:val="234"/>
        </w:trPr>
        <w:tc>
          <w:tcPr>
            <w:tcW w:w="93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CONSOLIDATION, MERGER, CONVEYANCE OR TRANSFER</w:t>
            </w:r>
          </w:p>
        </w:tc>
        <w:tc>
          <w:tcPr>
            <w:tcW w:w="1620" w:type="dxa"/>
            <w:vAlign w:val="bottom"/>
          </w:tcPr>
          <w:p>
            <w:pPr>
              <w:spacing w:after="0"/>
              <w:rPr>
                <w:sz w:val="20"/>
                <w:szCs w:val="20"/>
                <w:color w:val="auto"/>
              </w:rPr>
            </w:pPr>
          </w:p>
        </w:tc>
      </w:tr>
      <w:tr>
        <w:trPr>
          <w:trHeight w:val="30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Company May Consolidate, Etc. Only on Certain Terms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Successor Substituted for the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93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ARTICLE NINE</w:t>
            </w:r>
          </w:p>
        </w:tc>
        <w:tc>
          <w:tcPr>
            <w:tcW w:w="1620" w:type="dxa"/>
            <w:vAlign w:val="bottom"/>
          </w:tcPr>
          <w:p>
            <w:pPr>
              <w:spacing w:after="0"/>
              <w:rPr>
                <w:sz w:val="24"/>
                <w:szCs w:val="24"/>
                <w:color w:val="auto"/>
              </w:rPr>
            </w:pPr>
          </w:p>
        </w:tc>
      </w:tr>
      <w:tr>
        <w:trPr>
          <w:trHeight w:val="234"/>
        </w:trPr>
        <w:tc>
          <w:tcPr>
            <w:tcW w:w="93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1620" w:type="dxa"/>
            <w:vAlign w:val="bottom"/>
          </w:tcPr>
          <w:p>
            <w:pPr>
              <w:spacing w:after="0"/>
              <w:rPr>
                <w:sz w:val="20"/>
                <w:szCs w:val="20"/>
                <w:color w:val="auto"/>
              </w:rPr>
            </w:pPr>
          </w:p>
        </w:tc>
      </w:tr>
      <w:tr>
        <w:trPr>
          <w:trHeight w:val="32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Supplemental Indentures Without Consent of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5"/>
        </w:trPr>
        <w:tc>
          <w:tcPr>
            <w:tcW w:w="934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iii</w:t>
            </w:r>
          </w:p>
        </w:tc>
        <w:tc>
          <w:tcPr>
            <w:tcW w:w="16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Supplemental Indentures With Consent of Holders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Execution of Supplemental Indentures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Effect of Supplemental Indentures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Conformity With Trust Indenture Act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Reference in Securities to Supplemental Indentures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Revocation and Effect of Consents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Modification Without Supplemental Indenture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9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ARTICLE TEN</w:t>
            </w:r>
          </w:p>
        </w:tc>
        <w:tc>
          <w:tcPr>
            <w:tcW w:w="1780" w:type="dxa"/>
            <w:vAlign w:val="bottom"/>
          </w:tcPr>
          <w:p>
            <w:pPr>
              <w:spacing w:after="0"/>
              <w:rPr>
                <w:sz w:val="24"/>
                <w:szCs w:val="24"/>
                <w:color w:val="auto"/>
              </w:rPr>
            </w:pPr>
          </w:p>
        </w:tc>
      </w:tr>
      <w:tr>
        <w:trPr>
          <w:trHeight w:val="234"/>
        </w:trPr>
        <w:tc>
          <w:tcPr>
            <w:tcW w:w="9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COVENANTS</w:t>
            </w:r>
          </w:p>
        </w:tc>
        <w:tc>
          <w:tcPr>
            <w:tcW w:w="1780" w:type="dxa"/>
            <w:vAlign w:val="bottom"/>
          </w:tcPr>
          <w:p>
            <w:pPr>
              <w:spacing w:after="0"/>
              <w:rPr>
                <w:sz w:val="20"/>
                <w:szCs w:val="20"/>
                <w:color w:val="auto"/>
              </w:rPr>
            </w:pPr>
          </w:p>
        </w:tc>
      </w:tr>
      <w:tr>
        <w:trPr>
          <w:trHeight w:val="30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Payment of Principal, Premium and Interest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Maintenance of Office or Agency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Money for Securities Payments to Be Held in Trust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 as to Compliance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Corporate Existence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Waiver of Certain Covenants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9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ARTICLE ELEVEN</w:t>
            </w:r>
          </w:p>
        </w:tc>
        <w:tc>
          <w:tcPr>
            <w:tcW w:w="1780" w:type="dxa"/>
            <w:vAlign w:val="bottom"/>
          </w:tcPr>
          <w:p>
            <w:pPr>
              <w:spacing w:after="0"/>
              <w:rPr>
                <w:sz w:val="24"/>
                <w:szCs w:val="24"/>
                <w:color w:val="auto"/>
              </w:rPr>
            </w:pPr>
          </w:p>
        </w:tc>
      </w:tr>
      <w:tr>
        <w:trPr>
          <w:trHeight w:val="234"/>
        </w:trPr>
        <w:tc>
          <w:tcPr>
            <w:tcW w:w="91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1780" w:type="dxa"/>
            <w:vAlign w:val="bottom"/>
          </w:tcPr>
          <w:p>
            <w:pPr>
              <w:spacing w:after="0"/>
              <w:rPr>
                <w:sz w:val="20"/>
                <w:szCs w:val="20"/>
                <w:color w:val="auto"/>
              </w:rPr>
            </w:pPr>
          </w:p>
        </w:tc>
      </w:tr>
      <w:tr>
        <w:trPr>
          <w:trHeight w:val="30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Applicability of Article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Election to Redeem; Notice to Trustee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Selection by Trustee of Securities to Be Redeemed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Notice of Redemption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Securities Payable on Redemption Date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Securities Redeemed in Part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9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ARTICLE TWELVE</w:t>
            </w:r>
          </w:p>
        </w:tc>
        <w:tc>
          <w:tcPr>
            <w:tcW w:w="1780" w:type="dxa"/>
            <w:vAlign w:val="bottom"/>
          </w:tcPr>
          <w:p>
            <w:pPr>
              <w:spacing w:after="0"/>
              <w:rPr>
                <w:sz w:val="24"/>
                <w:szCs w:val="24"/>
                <w:color w:val="auto"/>
              </w:rPr>
            </w:pPr>
          </w:p>
        </w:tc>
      </w:tr>
      <w:tr>
        <w:trPr>
          <w:trHeight w:val="234"/>
        </w:trPr>
        <w:tc>
          <w:tcPr>
            <w:tcW w:w="9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REPAYMENT OF SECURITIES AT OPTION OF HOLDERS</w:t>
            </w:r>
          </w:p>
        </w:tc>
        <w:tc>
          <w:tcPr>
            <w:tcW w:w="1780" w:type="dxa"/>
            <w:vAlign w:val="bottom"/>
          </w:tcPr>
          <w:p>
            <w:pPr>
              <w:spacing w:after="0"/>
              <w:rPr>
                <w:sz w:val="20"/>
                <w:szCs w:val="20"/>
                <w:color w:val="auto"/>
              </w:rPr>
            </w:pPr>
          </w:p>
        </w:tc>
      </w:tr>
      <w:tr>
        <w:trPr>
          <w:trHeight w:val="30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Applicability Of Article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 of Repayment Date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Securities Payable on Repayment Date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Securities Repaid in Part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8" w:right="499" w:bottom="1440" w:gutter="0" w:footer="0" w:header="0"/>
        </w:sectPr>
      </w:pPr>
    </w:p>
    <w:bookmarkStart w:id="43" w:name="page44"/>
    <w:bookmarkEnd w:id="4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 20 , between VERACYTE, INC., a corporation duly organized and existing under the laws of Delaware (herein called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having its principal office at , and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unsecured debentures, notes or other evidences of indebtedness (each herein called a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in an unlimited aggregate principal amount to be issued in one or more series as in this Indenture provided.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w:t>
      </w:r>
    </w:p>
    <w:p>
      <w:pPr>
        <w:spacing w:after="0" w:line="207" w:lineRule="exact"/>
        <w:rPr>
          <w:sz w:val="20"/>
          <w:szCs w:val="20"/>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that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generally accepted accounting principles, and, except as otherwise herein expressly provided, the term “</w:t>
      </w:r>
      <w:r>
        <w:rPr>
          <w:rFonts w:ascii="Times New Roman" w:cs="Times New Roman" w:eastAsia="Times New Roman" w:hAnsi="Times New Roman"/>
          <w:sz w:val="18"/>
          <w:szCs w:val="18"/>
          <w:b w:val="1"/>
          <w:bCs w:val="1"/>
          <w:i w:val="1"/>
          <w:iCs w:val="1"/>
          <w:color w:val="auto"/>
        </w:rPr>
        <w:t>generally accepted accounting principles</w:t>
      </w:r>
      <w:r>
        <w:rPr>
          <w:rFonts w:ascii="Times New Roman" w:cs="Times New Roman" w:eastAsia="Times New Roman" w:hAnsi="Times New Roman"/>
          <w:sz w:val="18"/>
          <w:szCs w:val="18"/>
          <w:color w:val="auto"/>
        </w:rPr>
        <w:t>” with respect to any computation required or permitted hereunder shall mean such accounting principles as are generally accepted in the United States at the date of such computation or, at the election of the Company from time to time, at the date of the execution and delivery of this Indenture;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 and</w:t>
      </w:r>
    </w:p>
    <w:p>
      <w:pPr>
        <w:spacing w:after="0" w:line="225"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Certain terms, used principally in Article Six, are defined in that Article.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jc w:val="both"/>
        <w:ind w:right="2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any Person authorized by the Trustee to act on behalf of the Trustee to authenticate Securities.</w:t>
      </w:r>
    </w:p>
    <w:p>
      <w:pPr>
        <w:sectPr>
          <w:pgSz w:w="11900" w:h="16838" w:orient="portrait"/>
          <w:cols w:equalWidth="0" w:num="1">
            <w:col w:w="10960"/>
          </w:cols>
          <w:pgMar w:left="440" w:top="270" w:right="499" w:bottom="1440" w:gutter="0" w:footer="0" w:header="0"/>
        </w:sectPr>
      </w:pPr>
    </w:p>
    <w:bookmarkStart w:id="44" w:name="page45"/>
    <w:bookmarkEnd w:id="44"/>
    <w:p>
      <w:pPr>
        <w:ind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Authorized Newspaper</w:t>
      </w:r>
      <w:r>
        <w:rPr>
          <w:rFonts w:ascii="Times New Roman" w:cs="Times New Roman" w:eastAsia="Times New Roman" w:hAnsi="Times New Roman"/>
          <w:sz w:val="18"/>
          <w:szCs w:val="18"/>
          <w:color w:val="auto"/>
        </w:rPr>
        <w:t>” means a newspaper in an official language of the country of publication or in the English language, customarily published on each Business Day, whether or not published on Saturdays, Sundays or holidays, and of general circulation in the place in connection with which the term is used. Whenever successive publications are required to be made in Authorized Newspapers, the successive publications may be made in the same or in different newspapers in the same city meeting the foregoing requirements and in each case on any Business Day. If it shall be impossible or impractical to make any publication of any notice required by this Indenture in the manner herein provided, any publication or other notice in lieu thereof that is made or given by the Trustee shall constitute a sufficient publication of such notice.</w:t>
      </w:r>
    </w:p>
    <w:p>
      <w:pPr>
        <w:spacing w:after="0" w:line="182" w:lineRule="exact"/>
        <w:rPr>
          <w:sz w:val="20"/>
          <w:szCs w:val="20"/>
          <w:color w:val="auto"/>
        </w:rPr>
      </w:pPr>
    </w:p>
    <w:p>
      <w:pPr>
        <w:ind w:right="3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Officer</w:t>
      </w:r>
      <w:r>
        <w:rPr>
          <w:rFonts w:ascii="Times New Roman" w:cs="Times New Roman" w:eastAsia="Times New Roman" w:hAnsi="Times New Roman"/>
          <w:sz w:val="18"/>
          <w:szCs w:val="18"/>
          <w:color w:val="auto"/>
        </w:rPr>
        <w:t>” means the Chief Executive Officer, the President, any Vice President (whether or not designated by a number or numbers or word or words added before or after the title “Vice President”), the Chief Financial Officer, the Treasurer, the Secretary, any Assistant Treasurer or any Assistant Secretary of the Company.</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either the board of directors of the Company or any duly authorized committee of that board.</w:t>
      </w:r>
    </w:p>
    <w:p>
      <w:pPr>
        <w:spacing w:after="0" w:line="225" w:lineRule="exact"/>
        <w:rPr>
          <w:sz w:val="20"/>
          <w:szCs w:val="20"/>
          <w:color w:val="auto"/>
        </w:rPr>
      </w:pPr>
    </w:p>
    <w:p>
      <w:pPr>
        <w:ind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when used with reference to the Company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1"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when used with respect to any Place of Payment or any other particular location specified in the Securities or this Indenture, means each Monday, Tuesday, Wednesday, Thursday and Friday that is not a day on which banking institutions in that Place of Payment, such other location or the city in which the Corporate Trust Office of the Trustee is located, are authorized or obligated by law to close, except as may be otherwise specified as contemplated by Section 301(b).</w:t>
      </w:r>
    </w:p>
    <w:p>
      <w:pPr>
        <w:spacing w:after="0" w:line="176" w:lineRule="exact"/>
        <w:rPr>
          <w:sz w:val="20"/>
          <w:szCs w:val="20"/>
          <w:color w:val="auto"/>
        </w:rPr>
      </w:pPr>
    </w:p>
    <w:p>
      <w:pPr>
        <w:jc w:val="both"/>
        <w:ind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the Person named as the “Company” in the first paragraph of this instrument until a successor Person has become such pursuant to the applicable provisions of this Indenture, and thereafter “Company” shall mean such successor Person.</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 Order</w:t>
      </w:r>
      <w:r>
        <w:rPr>
          <w:rFonts w:ascii="Times New Roman" w:cs="Times New Roman" w:eastAsia="Times New Roman" w:hAnsi="Times New Roman"/>
          <w:sz w:val="18"/>
          <w:szCs w:val="18"/>
          <w:color w:val="auto"/>
        </w:rPr>
        <w:t>” means a written request or order signed in the name of the Company by an Authorized Officer and delivered to the Trustee.</w:t>
      </w:r>
    </w:p>
    <w:p>
      <w:pPr>
        <w:spacing w:after="0" w:line="155"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and which at the date hereof is located at •.</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means a corporation, association, joint stock company, limited liability company or business trust.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Depositary</w:t>
      </w:r>
      <w:r>
        <w:rPr>
          <w:rFonts w:ascii="Times New Roman" w:cs="Times New Roman" w:eastAsia="Times New Roman" w:hAnsi="Times New Roman"/>
          <w:sz w:val="17"/>
          <w:szCs w:val="17"/>
          <w:color w:val="auto"/>
        </w:rPr>
        <w:t>” means, with respect to the Securities of any series issuable or issued in the form of a Global Security, the Person designated as Depositary by the Company in Section 301(b)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5" w:name="page46"/>
    <w:bookmarkEnd w:id="45"/>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a dollar or other equivalent unit in such coin or currency of the United States of America that is legal tender for the payment of public and private debts at the time of payment.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Obligations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denominated in Dollars, U.S. Government Obligations; or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denominated in a currency other than Dollars or in a composite currency, such other obligations or instruments as shall be specified with respect to such Securities, as contemplated by Section 301(b).</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if any, issued to evidence all or a part of a series of Securities in accordance with Section 301.</w:t>
      </w:r>
    </w:p>
    <w:p>
      <w:pPr>
        <w:spacing w:after="0" w:line="225"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Obligations</w:t>
      </w:r>
      <w:r>
        <w:rPr>
          <w:rFonts w:ascii="Times New Roman" w:cs="Times New Roman" w:eastAsia="Times New Roman" w:hAnsi="Times New Roman"/>
          <w:sz w:val="18"/>
          <w:szCs w:val="18"/>
          <w:color w:val="auto"/>
        </w:rPr>
        <w:t>” means, with respect to any Person, the obligations of such Person under (i) interest rate swap agreements, interest rate cap agreements and interest rate collar agreements and (ii) other agreements or arrangements designed to protect such Person against fluctuations in interest rates.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with respect to a Security, a Person in whose name such Security is registered in the Security Register.</w:t>
      </w:r>
    </w:p>
    <w:p>
      <w:pPr>
        <w:spacing w:after="0" w:line="225"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and as it may from time to time be supplemented or amended by one or more indentures supplemental hereto entered into pursuant to the applicable provisions hereof and shall include the form and terms of particular series of Securities established as contemplated by Section 301.</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when used with respect to an Original Issue Discount Security that by its terms bears interest only after Maturity, means interest payable after Maturity.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Payment Date</w:t>
      </w:r>
      <w:r>
        <w:rPr>
          <w:rFonts w:ascii="Times New Roman" w:cs="Times New Roman" w:eastAsia="Times New Roman" w:hAnsi="Times New Roman"/>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upon call for redemption, exercise of repayment option or otherwise.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 Authorized Officer and delivered to the Trustee.</w:t>
      </w:r>
    </w:p>
    <w:p>
      <w:pPr>
        <w:spacing w:after="0" w:line="22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 written opinion of counsel, who may be an employee of, or counsel for, the Company or an Affiliate of the Company, and who shall be reasonably acceptable to the Trustee.</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Issue Discount Security</w:t>
      </w:r>
      <w:r>
        <w:rPr>
          <w:rFonts w:ascii="Times New Roman" w:cs="Times New Roman" w:eastAsia="Times New Roman" w:hAnsi="Times New Roman"/>
          <w:sz w:val="18"/>
          <w:szCs w:val="18"/>
          <w:color w:val="auto"/>
        </w:rPr>
        <w:t>” means any Security that provides for an amount less than the principal amount thereof to be due and payable upon a declaration of acceleration of the Maturity thereof pursuant to Section 502.</w:t>
      </w:r>
    </w:p>
    <w:p>
      <w:pPr>
        <w:spacing w:after="0" w:line="155" w:lineRule="exact"/>
        <w:rPr>
          <w:sz w:val="20"/>
          <w:szCs w:val="20"/>
          <w:color w:val="auto"/>
        </w:rPr>
      </w:pPr>
    </w:p>
    <w:p>
      <w:pPr>
        <w:ind w:right="5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xml:space="preserve">”, when used with respect to Securities of any series, means, as of the date of determination, all Securities theretofore authenticated and delivered under this Indenture,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5460" w:right="3400" w:hanging="4601"/>
        <w:spacing w:after="0" w:line="454" w:lineRule="auto"/>
        <w:tabs>
          <w:tab w:leader="none" w:pos="11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 3</w:t>
      </w:r>
    </w:p>
    <w:p>
      <w:pPr>
        <w:sectPr>
          <w:pgSz w:w="11900" w:h="16838" w:orient="portrait"/>
          <w:cols w:equalWidth="0" w:num="1">
            <w:col w:w="11000"/>
          </w:cols>
          <w:pgMar w:left="440" w:top="266" w:right="459" w:bottom="1440" w:gutter="0" w:footer="0" w:header="0"/>
        </w:sectPr>
      </w:pPr>
    </w:p>
    <w:bookmarkStart w:id="46" w:name="page47"/>
    <w:bookmarkEnd w:id="46"/>
    <w:p>
      <w:pPr>
        <w:ind w:left="440" w:right="120" w:firstLine="419"/>
        <w:spacing w:after="0" w:line="256"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or portions thereof for whose payment or redemption money or Eligible Obligations (or any combination of money and Eligible Obligations) in the necessary amount has been theretofore deposited with the Trustee or any Paying Agent (other than the Company or any other obligor on such Security) in trust or set aside and segregated in trust by the Company or any other obligor on such Security (if the Company or any other obligor on such Security acts as its own Paying Agent) for the Holders of such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Securities, or portions thereof, are to be redeemed prior to the Stated Maturity thereof, notice of such redemption has been duly given pursuant to this Indenture or provision therefor satisfactory to the Trustee has been made;</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the Company has effected defeasance as provided in Section 402;</w:t>
      </w:r>
    </w:p>
    <w:p>
      <w:pPr>
        <w:spacing w:after="0" w:line="117" w:lineRule="exact"/>
        <w:rPr>
          <w:rFonts w:ascii="Times New Roman" w:cs="Times New Roman" w:eastAsia="Times New Roman" w:hAnsi="Times New Roman"/>
          <w:sz w:val="18"/>
          <w:szCs w:val="18"/>
          <w:color w:val="auto"/>
        </w:rPr>
      </w:pPr>
    </w:p>
    <w:p>
      <w:pPr>
        <w:ind w:left="440" w:firstLine="419"/>
        <w:spacing w:after="0" w:line="289" w:lineRule="auto"/>
        <w:tabs>
          <w:tab w:leader="none" w:pos="111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that have been paid pursuant to Section 306 or in exchange for or in lieu of which other Securities have been authenticated and delivered pursuant to this Indenture, other than any such Securities in respect of which there have been presented to the Trustee proof satisfactory to it and the Company that such Securities are held by a bona fide purchaser in whose hands such Securities are valid obligations of the Company;</w:t>
      </w:r>
    </w:p>
    <w:p>
      <w:pPr>
        <w:spacing w:after="0" w:line="15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made or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request, demand, authorization, direction, notice, consent, waiver or other action hereunder,</w:t>
      </w:r>
    </w:p>
    <w:p>
      <w:pPr>
        <w:spacing w:after="0" w:line="52" w:lineRule="exact"/>
        <w:rPr>
          <w:sz w:val="20"/>
          <w:szCs w:val="20"/>
          <w:color w:val="auto"/>
        </w:rPr>
      </w:pPr>
    </w:p>
    <w:p>
      <w:pPr>
        <w:ind w:left="440" w:right="60" w:firstLine="419"/>
        <w:spacing w:after="0" w:line="254" w:lineRule="auto"/>
        <w:tabs>
          <w:tab w:leader="none" w:pos="10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by the Company or any other obligor upon the Securities or any Affiliate of the Company or of such other obligor (unless the Company, such Affiliate or such obligor owns (x) all Securities Outstanding under this Indenture or (y) except for the purposes of actions to be taken by Holders of more than one series or Tranche voting as a class, all Outstanding Securities of each such series and each such Tranche, as the case may be, determined without regard to this clause) shall be disregarded and deemed not to be Outstanding, except that, in determining whether the Trustee shall be protected in relying upon any such request, demand, authorization, direction, notice, consent or waiver, only Securities that the Trustee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8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the Holders of the requisite principal amount of Securities of any series or Tranche have concurred in any direction, waiver or consent, the principal amount of Original Issue Discount Securities that shall be deemed to be outstanding shall be the amount of the principal thereof that would be due and payable as of the date of such determination upon acceleration of the maturity thereof pursuant to Section 502;</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Security the principal of that is payable from time to time without presentment or surrender, the principal amount of such Security that shall be deemed to be Outstanding at any time for all purposes of this Indenture shall be the original principal amount thereof less the aggregate amount of principal thereof theretofore paid;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Securities having been denominated in a currency other than Dollars and remaining outstanding contemporaneously with Securities denominated in Dollars, the principal amount of any Security that is denominated in a currency other than Dollars or in a composite currency that shall be deemed to be Outstanding for such purposes shall be determined as contemplated by Section 301(b).</w:t>
      </w:r>
    </w:p>
    <w:p>
      <w:pPr>
        <w:spacing w:after="0" w:line="172"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means any Person, including the Company, authorized by the Company to pay the principal of (and premium, if any) or interest on any Securities on behalf of the Company.</w:t>
      </w:r>
    </w:p>
    <w:p>
      <w:pPr>
        <w:spacing w:after="0" w:line="155"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Offering</w:t>
      </w:r>
      <w:r>
        <w:rPr>
          <w:rFonts w:ascii="Times New Roman" w:cs="Times New Roman" w:eastAsia="Times New Roman" w:hAnsi="Times New Roman"/>
          <w:sz w:val="18"/>
          <w:szCs w:val="18"/>
          <w:color w:val="auto"/>
        </w:rPr>
        <w:t>” means an offering of Securities of a series from time to time any or all of the specific terms of which Securities, including without limitation the rate or rates of interest, if any, thereon, the Stated Maturity or Maturities thereof and the redemption provisions, if any, with respect thereto, are to be determined by the Company or its agents from time to time subsequent to the initial request for the authentication and delivery of such Securities by the Trustee, all as contemplated in Sections 301 and 303.</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7" w:name="page48"/>
    <w:bookmarkEnd w:id="47"/>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trust, unincorporated organization or government or any agency or political subdivision thereof.</w:t>
      </w:r>
    </w:p>
    <w:p>
      <w:pPr>
        <w:spacing w:after="0" w:line="15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 of Payment</w:t>
      </w:r>
      <w:r>
        <w:rPr>
          <w:rFonts w:ascii="Times New Roman" w:cs="Times New Roman" w:eastAsia="Times New Roman" w:hAnsi="Times New Roman"/>
          <w:sz w:val="18"/>
          <w:szCs w:val="18"/>
          <w:color w:val="auto"/>
        </w:rPr>
        <w:t>”, when used with respect to the Securities of any series, or any Tranche thereof, means the place or places where the principal of (and premium, if any) and interest, if any, on the Securities of that series or Tranche are payable as specified as contemplated by Section 301(b).</w:t>
      </w:r>
    </w:p>
    <w:p>
      <w:pPr>
        <w:spacing w:after="0" w:line="171"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6"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 exclusive of accrued and unpaid interest, if any.</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Regular Record Date</w:t>
      </w:r>
      <w:r>
        <w:rPr>
          <w:rFonts w:ascii="Times New Roman" w:cs="Times New Roman" w:eastAsia="Times New Roman" w:hAnsi="Times New Roman"/>
          <w:sz w:val="18"/>
          <w:szCs w:val="18"/>
          <w:color w:val="auto"/>
        </w:rPr>
        <w:t>” for the interest payable on any Interest Payment Date on the Securities of any series means the date specified for that purpose as contemplated by Section 301(b).</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Repayment Date</w:t>
      </w:r>
      <w:r>
        <w:rPr>
          <w:rFonts w:ascii="Times New Roman" w:cs="Times New Roman" w:eastAsia="Times New Roman" w:hAnsi="Times New Roman"/>
          <w:sz w:val="18"/>
          <w:szCs w:val="18"/>
          <w:color w:val="auto"/>
        </w:rPr>
        <w:t>”, when used with respect to any Security of any series to be repaid or repurchased, means the date, if any, fixed for such repayment or for such repurchase (whether at the option of the Holders or otherwise) pursuant to this Indenture.</w:t>
      </w:r>
    </w:p>
    <w:p>
      <w:pPr>
        <w:spacing w:after="0" w:line="15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Repayment Price</w:t>
      </w:r>
      <w:r>
        <w:rPr>
          <w:rFonts w:ascii="Times New Roman" w:cs="Times New Roman" w:eastAsia="Times New Roman" w:hAnsi="Times New Roman"/>
          <w:sz w:val="18"/>
          <w:szCs w:val="18"/>
          <w:color w:val="auto"/>
        </w:rPr>
        <w:t>”, when used with respect to any Security of any series to be repaid, means the price, if any, at which it is to be repaid pursuant to Section 301(b).</w:t>
      </w:r>
    </w:p>
    <w:p>
      <w:pPr>
        <w:spacing w:after="0" w:line="15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department or any other successor group of the Trustee, including any vice president, assistant vice president, assistant secretary or any other officer of the Trustee customarily performing functions similar to those performed by any of the above designated officers and also means, with respect to a particular corporate trust matter, any other officer of the Trustee to whom such matter is referred because of his or her knowledge of and familiarity with the particular subject.</w:t>
      </w:r>
    </w:p>
    <w:p>
      <w:pPr>
        <w:spacing w:after="0" w:line="161" w:lineRule="exact"/>
        <w:rPr>
          <w:sz w:val="20"/>
          <w:szCs w:val="20"/>
          <w:color w:val="auto"/>
        </w:rPr>
      </w:pPr>
    </w:p>
    <w:p>
      <w:pPr>
        <w:ind w:right="6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Security or Securities authenticated and delivered under this Indenture.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series of Securities</w:t>
      </w:r>
      <w:r>
        <w:rPr>
          <w:rFonts w:ascii="Times New Roman" w:cs="Times New Roman" w:eastAsia="Times New Roman" w:hAnsi="Times New Roman"/>
          <w:sz w:val="18"/>
          <w:szCs w:val="18"/>
          <w:color w:val="auto"/>
        </w:rPr>
        <w:t>” means a series of Securities issued under this Indenture as determined by Board Resolution or as otherwise determined under this Indenture.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Record Date</w:t>
      </w:r>
      <w:r>
        <w:rPr>
          <w:rFonts w:ascii="Times New Roman" w:cs="Times New Roman" w:eastAsia="Times New Roman" w:hAnsi="Times New Roman"/>
          <w:sz w:val="18"/>
          <w:szCs w:val="18"/>
          <w:color w:val="auto"/>
        </w:rPr>
        <w:t>” for the payment of any Defaulted Interest means a date fixed by the Company pursuant to Section 307.</w:t>
      </w:r>
    </w:p>
    <w:p>
      <w:pPr>
        <w:spacing w:after="0" w:line="225" w:lineRule="exact"/>
        <w:rPr>
          <w:sz w:val="20"/>
          <w:szCs w:val="20"/>
          <w:color w:val="auto"/>
        </w:rPr>
      </w:pPr>
    </w:p>
    <w:p>
      <w:pPr>
        <w:ind w:right="52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Stated Maturity</w:t>
      </w:r>
      <w:r>
        <w:rPr>
          <w:rFonts w:ascii="Times New Roman" w:cs="Times New Roman" w:eastAsia="Times New Roman" w:hAnsi="Times New Roman"/>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48" w:name="page49"/>
    <w:bookmarkEnd w:id="48"/>
    <w:p>
      <w:pPr>
        <w:ind w:right="18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any Person means (a) any corporation, association or other business entity of which more than 50% of the outstanding total voting power ordinarily entitled (without regard to the occurrence of any contingency) to vote in the election of directors, managers, trustees or other voting members of the governing body thereof is at the time owned or controlled, directly or indirectly, by the Company or by one or more other Subsidiaries, or by the Company and one or more other Subsidiaries or (b) any partnership the sole general partner or the managing general partner of which is the Company or a Subsidiary of the Company or the only general partners of which are the Company or of one or more Subsidiaries of the Company (or any combination thereof).</w:t>
      </w:r>
    </w:p>
    <w:p>
      <w:pPr>
        <w:spacing w:after="0" w:line="182"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Tranche</w:t>
      </w:r>
      <w:r>
        <w:rPr>
          <w:rFonts w:ascii="Times New Roman" w:cs="Times New Roman" w:eastAsia="Times New Roman" w:hAnsi="Times New Roman"/>
          <w:sz w:val="18"/>
          <w:szCs w:val="18"/>
          <w:color w:val="auto"/>
        </w:rPr>
        <w:t>” means a group of Securities which (a) are of the same series and (b) have identical terms to other Tranches of such series except as to principal amount, date of issuance or first interest payment date, each of which may vary among Tranches of any one series.</w:t>
      </w:r>
    </w:p>
    <w:p>
      <w:pPr>
        <w:spacing w:after="0" w:line="155"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been appointed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6"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in force at the date as of which this instrument was executed, except as provided in Section 905.</w:t>
      </w:r>
    </w:p>
    <w:p>
      <w:pPr>
        <w:spacing w:after="0" w:line="15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Obligations</w:t>
      </w:r>
      <w:r>
        <w:rPr>
          <w:rFonts w:ascii="Times New Roman" w:cs="Times New Roman" w:eastAsia="Times New Roman" w:hAnsi="Times New Roman"/>
          <w:sz w:val="18"/>
          <w:szCs w:val="18"/>
          <w:color w:val="auto"/>
        </w:rPr>
        <w:t>” means (x) any security that is (i) a direct obligation of the United States of America for the payment of which the full faith and credit of the United States of America are pledged or (ii) an obligation of a Person controlled or supervised by and acting as an agency or instrumentality of the United States of America the payment of which is unconditionally guaranteed as a full faith and credit obligation by the United States of America, and (y) any depositary receipt issued by a bank (as defined in Section 3(a)(2) of the Securities Act of 1933) as custodian with respect to any U.S. Government Obligation that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of or interest on the U.S. Government Obligation evidenced by such depositary receipt.</w:t>
      </w:r>
    </w:p>
    <w:p>
      <w:pPr>
        <w:spacing w:after="0" w:line="188" w:lineRule="exact"/>
        <w:rPr>
          <w:sz w:val="20"/>
          <w:szCs w:val="20"/>
          <w:color w:val="auto"/>
        </w:rPr>
      </w:pPr>
    </w:p>
    <w:p>
      <w:pPr>
        <w:ind w:right="5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Vice President</w:t>
      </w:r>
      <w:r>
        <w:rPr>
          <w:rFonts w:ascii="Times New Roman" w:cs="Times New Roman" w:eastAsia="Times New Roman" w:hAnsi="Times New Roman"/>
          <w:sz w:val="18"/>
          <w:szCs w:val="18"/>
          <w:color w:val="auto"/>
        </w:rPr>
        <w:t>”, when used with respect to the Company or the Trustee, means any vice president, whether or not designated by a number or a word or words added before or after the title “vice president”.</w:t>
      </w:r>
    </w:p>
    <w:p>
      <w:pPr>
        <w:spacing w:after="0" w:line="15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Compliance Certificates and Opinions</w:t>
      </w:r>
      <w:r>
        <w:rPr>
          <w:rFonts w:ascii="Times New Roman" w:cs="Times New Roman" w:eastAsia="Times New Roman" w:hAnsi="Times New Roman"/>
          <w:sz w:val="18"/>
          <w:szCs w:val="18"/>
          <w:color w:val="auto"/>
        </w:rPr>
        <w:t>. (A) Except as otherwise expressly provided in this Indenture, upon any application or request by the Company to the Trustee to take any action under any provision of this Indenture, the Company shall, if requested by the Trustee,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4" w:lineRule="exact"/>
        <w:rPr>
          <w:sz w:val="20"/>
          <w:szCs w:val="20"/>
          <w:color w:val="auto"/>
        </w:rPr>
      </w:pPr>
    </w:p>
    <w:p>
      <w:pPr>
        <w:ind w:right="700" w:firstLine="987"/>
        <w:spacing w:after="0" w:line="282" w:lineRule="auto"/>
        <w:tabs>
          <w:tab w:leader="none" w:pos="12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(except for certificates provided for in Section 1004) shall include: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each individual signing such certificate or opinion has read such covenant or condition and the definitions herein relating</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thereto;</w:t>
      </w:r>
    </w:p>
    <w:p>
      <w:pPr>
        <w:spacing w:after="0" w:line="98" w:lineRule="exact"/>
        <w:rPr>
          <w:rFonts w:ascii="Times New Roman" w:cs="Times New Roman" w:eastAsia="Times New Roman" w:hAnsi="Times New Roman"/>
          <w:sz w:val="17"/>
          <w:szCs w:val="17"/>
          <w:color w:val="auto"/>
        </w:rPr>
      </w:pPr>
    </w:p>
    <w:p>
      <w:pPr>
        <w:ind w:left="440" w:right="10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49" w:name="page50"/>
    <w:bookmarkEnd w:id="49"/>
    <w:p>
      <w:pPr>
        <w:ind w:left="440" w:right="18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statement that, in the opinion of each such individual, he has made such examination or investigation as is necessary to enable him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Form of Documents Delivered to Trustee</w:t>
      </w:r>
      <w:r>
        <w:rPr>
          <w:rFonts w:ascii="Times New Roman" w:cs="Times New Roman" w:eastAsia="Times New Roman" w:hAnsi="Times New Roman"/>
          <w:sz w:val="18"/>
          <w:szCs w:val="18"/>
          <w:color w:val="auto"/>
        </w:rPr>
        <w:t>. (A)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2" w:lineRule="exact"/>
        <w:rPr>
          <w:sz w:val="20"/>
          <w:szCs w:val="20"/>
          <w:color w:val="auto"/>
        </w:rPr>
      </w:pPr>
    </w:p>
    <w:p>
      <w:pPr>
        <w:ind w:firstLine="987"/>
        <w:spacing w:after="0" w:line="255"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may be based, insofar as it relates to legal matters, upon a certificate or an Opinion of Counsel, or representations by counsel. Any such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Any certificate, statement or opinion of an officer of the Company or of counsel may be based, insofar as it relates to accounting matters, upon a certificate, statement or opinion of, or representations by, an accountant or firm of accountants in the employ of the Company. Any certificate, statement or opinion of, or representations by, any independent firm of public accountants filed with the Trustee shall contain a statement that such firm is independent.</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Acts of Holders</w:t>
      </w:r>
      <w:r>
        <w:rPr>
          <w:rFonts w:ascii="Times New Roman" w:cs="Times New Roman" w:eastAsia="Times New Roman" w:hAnsi="Times New Roman"/>
          <w:sz w:val="18"/>
          <w:szCs w:val="18"/>
          <w:color w:val="auto"/>
        </w:rPr>
        <w:t>. (A) Any request, demand, authorization, direction, notice, consent, waiver or other action provided or permitted by this Indenture to be made,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87" w:lineRule="exact"/>
        <w:rPr>
          <w:sz w:val="20"/>
          <w:szCs w:val="20"/>
          <w:color w:val="auto"/>
        </w:rPr>
      </w:pPr>
    </w:p>
    <w:p>
      <w:pPr>
        <w:ind w:right="60" w:firstLine="987"/>
        <w:spacing w:after="0" w:line="258"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acceptable to the Trustee.</w:t>
      </w:r>
    </w:p>
    <w:p>
      <w:pPr>
        <w:spacing w:after="0" w:line="183"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(except as otherwise contemplated in clause (ii) of the proviso to the definition of “Outstanding”) and serial numbers of Securities held by any Person, and the date of holding the same, shall be proved by the Security Register.</w:t>
      </w:r>
    </w:p>
    <w:p>
      <w:pPr>
        <w:spacing w:after="0" w:line="161"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0" w:name="page51"/>
    <w:bookmarkEnd w:id="50"/>
    <w:p>
      <w:pPr>
        <w:ind w:right="80" w:firstLine="987"/>
        <w:spacing w:after="0" w:line="261"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set a record date for purposes of determining the identity of Holders of any Outstanding Securities of any series entitled to vote or consent to any action by vote or consent authorized or permitted by Section 512 or 513. Such record date shall be not less than 10 nor more than 60 days prior to the first solicitation of such consent or the date of the most recent list of Holders of such Securities furnished to the Trustee pursuant to Section 701 prior to such solicitation.</w:t>
      </w:r>
    </w:p>
    <w:p>
      <w:pPr>
        <w:spacing w:after="0" w:line="179" w:lineRule="exact"/>
        <w:rPr>
          <w:rFonts w:ascii="Times New Roman" w:cs="Times New Roman" w:eastAsia="Times New Roman" w:hAnsi="Times New Roman"/>
          <w:sz w:val="18"/>
          <w:szCs w:val="18"/>
          <w:color w:val="auto"/>
        </w:rPr>
      </w:pPr>
    </w:p>
    <w:p>
      <w:pPr>
        <w:ind w:right="20" w:firstLine="987"/>
        <w:spacing w:after="0" w:line="255" w:lineRule="auto"/>
        <w:tabs>
          <w:tab w:leader="none" w:pos="1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from Holders any request, demand, authorization, direction, notice, consent, election, waiver or other Act, the Company may, at its option, fix in advance a record date for the determination of Holders entitled to give such request, demand, authorization, direction, notice, consent, election, waiver or other Act, but the Company shall have no obligation to do so. If such a record date is fixed, such request, demand, authorization, direction, notice, consent, election, waiver or other Act may be given before or after such record date, but only the Holders of record at the close of business on the record date shall be deemed to be Holders for the purposes of determining whether Holders of the requisite proportion of the Outstanding Securities have authorized or agreed or consented to such request, demand, authorization, direction, notice, consent, election, waiver or other Act, and for that purpose the Outstanding Securities shall be computed as of the record date.</w:t>
      </w:r>
    </w:p>
    <w:p>
      <w:pPr>
        <w:spacing w:after="0" w:line="187" w:lineRule="exact"/>
        <w:rPr>
          <w:sz w:val="20"/>
          <w:szCs w:val="20"/>
          <w:color w:val="auto"/>
        </w:rPr>
      </w:pPr>
    </w:p>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Notices, Etc. to Trustee and Company</w:t>
      </w:r>
      <w:r>
        <w:rPr>
          <w:rFonts w:ascii="Times New Roman" w:cs="Times New Roman" w:eastAsia="Times New Roman" w:hAnsi="Times New Roman"/>
          <w:sz w:val="18"/>
          <w:szCs w:val="18"/>
          <w:color w:val="auto"/>
        </w:rPr>
        <w:t>. Except as otherwise provided herein, any request, demand, authorization, direction, notice, consent, election, waiver or Act of Holders or other document provided or permitted by this Indenture to be made upon, given or furnished to, or filed with,</w:t>
      </w:r>
    </w:p>
    <w:p>
      <w:pPr>
        <w:spacing w:after="0" w:line="175" w:lineRule="exact"/>
        <w:rPr>
          <w:sz w:val="20"/>
          <w:szCs w:val="20"/>
          <w:color w:val="auto"/>
        </w:rPr>
      </w:pPr>
    </w:p>
    <w:p>
      <w:pPr>
        <w:ind w:right="460" w:firstLine="987"/>
        <w:spacing w:after="0" w:line="282"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made, given, furnished or filed in writing to or with the Trustee at its Corporate Trust Office, Attention: •, or</w:t>
      </w:r>
    </w:p>
    <w:p>
      <w:pPr>
        <w:spacing w:after="0" w:line="161"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furnished in writing to the Trustee by the Company prior to such mailing.</w:t>
      </w:r>
    </w:p>
    <w:p>
      <w:pPr>
        <w:spacing w:after="0" w:line="174"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Notice to Holders; Waiver</w:t>
      </w:r>
      <w:r>
        <w:rPr>
          <w:rFonts w:ascii="Times New Roman" w:cs="Times New Roman" w:eastAsia="Times New Roman" w:hAnsi="Times New Roman"/>
          <w:sz w:val="18"/>
          <w:szCs w:val="18"/>
          <w:color w:val="auto"/>
        </w:rPr>
        <w:t>. (A) Except as otherwise expressly provided herein, where this Indenture provides for notice of any event or reports to Holders, such notice or report shall be sufficiently given if in writing and mailed, first-class postage prepaid or electronically in the case of Global Securities, to each Holder of Securities affected by such event, at the address of such Holder as it appears in the Security Register and to addresses filed with the Trustee or preserved on the Trustee’s list pursuant to Section 702(a) for other Holders (and to such other addressees as may be required in the case of such notice or report under Section 313(c) of the Trust Indenture Act), not later than the latest date, and not earlier than the earliest date, prescribed for the giving of such notice or report.</w:t>
      </w:r>
    </w:p>
    <w:p>
      <w:pPr>
        <w:spacing w:after="0" w:line="184" w:lineRule="exact"/>
        <w:rPr>
          <w:sz w:val="20"/>
          <w:szCs w:val="20"/>
          <w:color w:val="auto"/>
        </w:rPr>
      </w:pPr>
    </w:p>
    <w:p>
      <w:pPr>
        <w:ind w:right="140" w:firstLine="987"/>
        <w:spacing w:after="0" w:line="282"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notice to Holders is given by mail, neither the failure to mail such notice, nor any defect in any notice so mailed, to any particular Holder shall affect the sufficiency of such notice with respect to other Holders.</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if given to the Depositary for such Security (or its designee) pursuant to the applicable procedures of the Depositary.</w:t>
      </w:r>
    </w:p>
    <w:p>
      <w:pPr>
        <w:spacing w:after="0" w:line="17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i w:val="1"/>
          <w:iCs w:val="1"/>
          <w:color w:val="auto"/>
        </w:rPr>
        <w:t>Conflict With Trust Indenture Act</w:t>
      </w:r>
      <w:r>
        <w:rPr>
          <w:rFonts w:ascii="Times New Roman" w:cs="Times New Roman" w:eastAsia="Times New Roman" w:hAnsi="Times New Roman"/>
          <w:sz w:val="18"/>
          <w:szCs w:val="18"/>
          <w:color w:val="auto"/>
        </w:rPr>
        <w:t>. 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1" w:name="page52"/>
    <w:bookmarkEnd w:id="51"/>
    <w:p>
      <w:pPr>
        <w:ind w:right="5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Times New Roman" w:cs="Times New Roman" w:eastAsia="Times New Roman" w:hAnsi="Times New Roman"/>
          <w:sz w:val="18"/>
          <w:szCs w:val="18"/>
          <w:i w:val="1"/>
          <w:iCs w:val="1"/>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58"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58"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i w:val="1"/>
          <w:iCs w:val="1"/>
          <w:color w:val="auto"/>
        </w:rPr>
        <w:t>Separability Clause</w:t>
      </w:r>
      <w:r>
        <w:rPr>
          <w:rFonts w:ascii="Times New Roman" w:cs="Times New Roman" w:eastAsia="Times New Roman" w:hAnsi="Times New Roman"/>
          <w:sz w:val="18"/>
          <w:szCs w:val="18"/>
          <w:color w:val="auto"/>
        </w:rPr>
        <w:t>. In case any provision in this Indenture or in the Securities is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right="40"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i w:val="1"/>
          <w:iCs w:val="1"/>
          <w:color w:val="auto"/>
        </w:rPr>
        <w:t>Benefits of Indenture</w:t>
      </w:r>
      <w:r>
        <w:rPr>
          <w:rFonts w:ascii="Times New Roman" w:cs="Times New Roman" w:eastAsia="Times New Roman" w:hAnsi="Times New Roman"/>
          <w:sz w:val="17"/>
          <w:szCs w:val="17"/>
          <w:color w:val="auto"/>
        </w:rPr>
        <w:t>. Nothing in this Indenture or in the Securities, express or implied, shall give to any Person, other than the parties hereto (including any Paying Agent appointed pursuant to Section 1002 and Authenticating Agent appointed pursuant to Section 614 to the extent provided herein) and their successors hereunder and the Holders, any benefit or any legal or equitable right, remedy or claim under this Indenture.</w:t>
      </w:r>
    </w:p>
    <w:p>
      <w:pPr>
        <w:spacing w:after="0" w:line="155"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Indenture and the Securities shall be governed by and construed in accordance with the laws of the State of New York in the United States, but without giving effect to the conflicts of laws principles thereof.</w:t>
      </w:r>
    </w:p>
    <w:p>
      <w:pPr>
        <w:spacing w:after="0" w:line="15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xml:space="preserve">. In any case where any Interest Payment Date, Redemption Date, Repayment Date or Stated Maturity of any Security is not a Business Day at any Place of Payment or the city in which the Corporate Trust Office of the Trustee is located, then (notwithstanding any other provision of this Indenture or of the Securities, other than a provision in Securities of any series, or in the Board Resolution, Supplemental Indenture or Officer’s Certificate that establishes the terms of such Securities, that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Repayment Date, or at the Stated Maturity, and such extension of time shall in such case be (1) excluded in the computation of interest, if any, accruing on such Security at a fixed rate and (2) included in the computation of interest, if any, accruing on such Security at a floating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extension would cause payment of interest at a floating rate to be made in the next following calendar month, such payment shall be made on the next preceding Business Day.</w:t>
      </w:r>
    </w:p>
    <w:p>
      <w:pPr>
        <w:spacing w:after="0" w:line="185"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 The Trustee may make reasonable rules for action by or at a meeting of Holders of one or more series. The Paying Agent or Security Registrar may make reasonable rules and set reasonable requirements for its functions.</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past, present or future director, officer, stockholder or employee, as such, of the Company or any of its Affiliates or any successor corporation shall have any liability for any obligation, covenant or agreement of the Company under this Indenture or any indenture supplemental hereto, or in the Securities, or for any claim based on, in respect of or by reason of such obligations, covenants or agreements or their creation. Each Holder by accepting a Security waives and releases all such liability. The waiver and release are part of the consideration for the execution and delivery of this Indenture and the issue of the Securities.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05" w:lineRule="exact"/>
        <w:rPr>
          <w:sz w:val="20"/>
          <w:szCs w:val="20"/>
          <w:color w:val="auto"/>
        </w:rPr>
      </w:pPr>
    </w:p>
    <w:p>
      <w:pPr>
        <w:ind w:right="10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Forms Generally</w:t>
      </w:r>
      <w:r>
        <w:rPr>
          <w:rFonts w:ascii="Times New Roman" w:cs="Times New Roman" w:eastAsia="Times New Roman" w:hAnsi="Times New Roman"/>
          <w:sz w:val="18"/>
          <w:szCs w:val="18"/>
          <w:color w:val="auto"/>
        </w:rPr>
        <w:t>. (A) The Securities of each series shall be in substantially such form as shall be established by or pursuant to a Board Resolution, and set forth in an Officer’s Certificate, or established in one or more indentures supplemental hereto, in each case with such appropriate insertions, omissions,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8" w:right="439" w:bottom="1440" w:gutter="0" w:footer="0" w:header="0"/>
        </w:sectPr>
      </w:pPr>
    </w:p>
    <w:bookmarkStart w:id="52" w:name="page53"/>
    <w:bookmarkEnd w:id="5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substitutions and other variations as are required or permitted by this Indenture and may have such letters, numbers or other marks of identification and such legends or endorsements placed thereon as may be required to comply with law or with any rules or regulations pursuant thereto, or with any rules of any securities exchange or to conform with general usage, all as may, consistently herewith, be determined by the officers executing such Securities, as evidenced by their execution of the Securities. When the form of Securities of any series is established by action taken pursuant to a Board Resolution, a copy of an appropriate record of such action shall be delivered to the Trustee at or prior to the delivery of the Company Order contemplated by Section 303 for the authentication and delivery of such Securities.</w:t>
      </w:r>
    </w:p>
    <w:p>
      <w:pPr>
        <w:spacing w:after="0" w:line="187" w:lineRule="exact"/>
        <w:rPr>
          <w:sz w:val="20"/>
          <w:szCs w:val="20"/>
          <w:color w:val="auto"/>
        </w:rPr>
      </w:pPr>
    </w:p>
    <w:p>
      <w:pPr>
        <w:ind w:firstLine="987"/>
        <w:spacing w:after="0" w:line="28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Securities shall be produced in such manner or combination of manners, all as determined by the officers executing such Securities, as evidenced by their execution of such Securities.</w:t>
      </w:r>
    </w:p>
    <w:p>
      <w:pPr>
        <w:spacing w:after="0" w:line="160" w:lineRule="exact"/>
        <w:rPr>
          <w:sz w:val="20"/>
          <w:szCs w:val="20"/>
          <w:color w:val="auto"/>
        </w:rPr>
      </w:pPr>
    </w:p>
    <w:p>
      <w:pPr>
        <w:ind w:right="3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Trustee’s Certificate of Authentication</w:t>
      </w:r>
      <w:r>
        <w:rPr>
          <w:rFonts w:ascii="Times New Roman" w:cs="Times New Roman" w:eastAsia="Times New Roman" w:hAnsi="Times New Roman"/>
          <w:sz w:val="18"/>
          <w:szCs w:val="18"/>
          <w:color w:val="auto"/>
        </w:rPr>
        <w:t>. The Trustee’s certificate of authentication shall be in substantially the following form:</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5"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Amount Unlimited; Issuable in Series</w:t>
      </w:r>
      <w:r>
        <w:rPr>
          <w:rFonts w:ascii="Times New Roman" w:cs="Times New Roman" w:eastAsia="Times New Roman" w:hAnsi="Times New Roman"/>
          <w:sz w:val="18"/>
          <w:szCs w:val="18"/>
          <w:color w:val="auto"/>
        </w:rPr>
        <w:t>. (A) The aggregate principal amount of Securities that may be authenticated and delivered under this Indenture is unlimited.</w:t>
      </w:r>
    </w:p>
    <w:p>
      <w:pPr>
        <w:spacing w:after="0" w:line="160" w:lineRule="exact"/>
        <w:rPr>
          <w:sz w:val="20"/>
          <w:szCs w:val="20"/>
          <w:color w:val="auto"/>
        </w:rPr>
      </w:pPr>
    </w:p>
    <w:p>
      <w:pPr>
        <w:ind w:right="80" w:firstLine="987"/>
        <w:spacing w:after="0" w:line="282" w:lineRule="auto"/>
        <w:tabs>
          <w:tab w:leader="none" w:pos="12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such series (which shall distinguish the Securities of the series from all other Securities);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such series that may be authenticated and delivered under this Indenture (except for Securities authenticated and delivered upon registration of transfer of, or in exchange for, or in lieu of, other Securities of such series pursuant to Section 304, 305, 306, 906, 1107 or 1204 and except for any Securities that, pursuant to Section 303, are deemed never to have been authenticated and delivered hereunder);</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of the Securities of such series, or any Tranche thereof, is payable or any formula or other method or other means by which such date or dates shall be determined, by reference to an index or other fact or event ascertainable outside of this Indenture or otherwise (without regard to any provisions for redemption, prepayment, acceleration, purchase or extension);</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such series, or any Tranche thereof, shall bear interest, if any (including the rate or rates at which overdue principal shall bear interest, if different from the rate or rates at which such Securities shall bear interest prior to Maturity, and, if applicable, the rate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53" w:name="page54"/>
    <w:bookmarkEnd w:id="53"/>
    <w:p>
      <w:pPr>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rates at which overdue premium or interest shall bear interest, if any), or any formula or other method or other means by which such rate or rates shall be determined, by reference to an index or other fact or event ascertainable outside of this Indenture or otherwise; the date or dates from which such interest shall accrue; the Interest Payment Dates on which such interest shall be payable and the Regular Record Date, if any, for the interest payable on such Securities on any Interest Payment Date; the right of the Company, if any, to extend the interest payment periods and the duration of any such extension as contemplated by Section 312; and the basis of computation of interest, if other than as provided in Section 310;</w:t>
      </w:r>
    </w:p>
    <w:p>
      <w:pPr>
        <w:spacing w:after="0" w:line="60" w:lineRule="exact"/>
        <w:rPr>
          <w:sz w:val="20"/>
          <w:szCs w:val="20"/>
          <w:color w:val="auto"/>
        </w:rPr>
      </w:pPr>
    </w:p>
    <w:p>
      <w:pPr>
        <w:jc w:val="both"/>
        <w:ind w:right="60" w:firstLine="419"/>
        <w:spacing w:after="0" w:line="258"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if any, on Securities of such series, or any Tranche thereof, shall be payable, where the Securities of such series, or any Tranche thereof, may be surrendered for registration of transferor for exchange, and where notices and demands to or upon the Company in respect of the Securities of such series, or any Tranche thereof, and this Indenture may be served and notices to Holders pursuant to Section 106 will be published; the Security Registrar and any Paying Agent or Agents for such series or Tranche; and if such is the case, that the principal of such Securities shall be payable without presentment or surrender thereof;</w:t>
      </w:r>
    </w:p>
    <w:p>
      <w:pPr>
        <w:spacing w:after="0" w:line="75"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Securities of such series, or any Tranche thereof, may be redeemed, in whole or in part, at the option of the Company and, if other than by a Board Resolution, the manner in which any election by the Company to redeem such Securities shall be evidenced;</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such series, or any Tranche thereof, pursuant to any sinking fund or analogous provisions or at the option of the Holder thereof and the period or periods within which, the price or prices at which and the terms and conditions upon which Securities of such series, or any Tranche thereof,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right="780" w:firstLine="419"/>
        <w:spacing w:after="0" w:line="282"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Securities of such series will be subordinate in right and priority of payment to other debt of the Company;</w:t>
      </w:r>
    </w:p>
    <w:p>
      <w:pPr>
        <w:spacing w:after="0" w:line="53" w:lineRule="exact"/>
        <w:rPr>
          <w:rFonts w:ascii="Times New Roman" w:cs="Times New Roman" w:eastAsia="Times New Roman" w:hAnsi="Times New Roman"/>
          <w:sz w:val="18"/>
          <w:szCs w:val="18"/>
          <w:color w:val="auto"/>
        </w:rPr>
      </w:pPr>
    </w:p>
    <w:p>
      <w:pPr>
        <w:ind w:right="580" w:firstLine="419"/>
        <w:spacing w:after="0" w:line="282"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any Securities of such series shall be issuable, if other than denominations of $1,000 and any integral multiple thereof;</w:t>
      </w:r>
    </w:p>
    <w:p>
      <w:pPr>
        <w:spacing w:after="0" w:line="53" w:lineRule="exact"/>
        <w:rPr>
          <w:rFonts w:ascii="Times New Roman" w:cs="Times New Roman" w:eastAsia="Times New Roman" w:hAnsi="Times New Roman"/>
          <w:sz w:val="18"/>
          <w:szCs w:val="18"/>
          <w:color w:val="auto"/>
        </w:rPr>
      </w:pPr>
    </w:p>
    <w:p>
      <w:pPr>
        <w:ind w:right="320" w:firstLine="419"/>
        <w:spacing w:after="0" w:line="282" w:lineRule="auto"/>
        <w:tabs>
          <w:tab w:leader="none" w:pos="7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such series that shall be payable upon declaration of acceleration of the Maturity thereof pursuant to Section 502;</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7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or currencies, including composite currencies, in which the principal of or any premium or interest on the Securities of such series shall be payable and the manner of determining the equivalent of any such amount in Dollars is to be determined for any purpose, including for the purpose of determining the principal amount of such Securities deemed to be Outstanding at any time;</w:t>
      </w:r>
    </w:p>
    <w:p>
      <w:pPr>
        <w:spacing w:after="0" w:line="71" w:lineRule="exact"/>
        <w:rPr>
          <w:rFonts w:ascii="Times New Roman" w:cs="Times New Roman" w:eastAsia="Times New Roman" w:hAnsi="Times New Roman"/>
          <w:sz w:val="18"/>
          <w:szCs w:val="18"/>
          <w:color w:val="auto"/>
        </w:rPr>
      </w:pPr>
    </w:p>
    <w:p>
      <w:pPr>
        <w:ind w:right="20" w:firstLine="419"/>
        <w:spacing w:after="0" w:line="261" w:lineRule="auto"/>
        <w:tabs>
          <w:tab w:leader="none" w:pos="7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Securities of such series is to be payable, or is to be payable at the election of the Company or a Holder thereof, in securities or other property, the type and amount of such securities or other property, or the manner of determining such amount shall be determined, and the period or periods within which, and the terms and conditions upon which, any such election may be made;</w:t>
      </w:r>
    </w:p>
    <w:p>
      <w:pPr>
        <w:spacing w:after="0" w:line="71" w:lineRule="exact"/>
        <w:rPr>
          <w:rFonts w:ascii="Times New Roman" w:cs="Times New Roman" w:eastAsia="Times New Roman" w:hAnsi="Times New Roman"/>
          <w:sz w:val="18"/>
          <w:szCs w:val="18"/>
          <w:color w:val="auto"/>
        </w:rPr>
      </w:pPr>
    </w:p>
    <w:p>
      <w:pPr>
        <w:ind w:right="60" w:firstLine="419"/>
        <w:spacing w:after="0" w:line="266" w:lineRule="auto"/>
        <w:tabs>
          <w:tab w:leader="none" w:pos="7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Security of such series shall be payable, if other than the Person in whose name that Security is registered at the close of business on the Regular Record Date for such interest, and the extent to which, or the manner in which, any interest payable on a temporary or permanent Global Security on an interest payment date will be paid;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54" w:name="page55"/>
    <w:bookmarkEnd w:id="54"/>
    <w:p>
      <w:pPr>
        <w:ind w:left="440" w:right="340" w:firstLine="419"/>
        <w:spacing w:after="0" w:line="282" w:lineRule="auto"/>
        <w:tabs>
          <w:tab w:leader="none" w:pos="12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addition to or change in the Events of Default, with respect to the Securities of such series, and any addition to or change in the covenants of the Company for the benefit of the Holders of the Securities of such series in addition to those set forth in Article Ten;</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2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Securities of such series may be converted into or exchanged for securities or other property of the Company or any other Person;</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2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Company’s obligations under this Indenture may be terminated through the deposit of money or Eligible Instruments as provided in Article Four;</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to Section 113, or variation in the definition of Business Day, with respect to the Securities of such series;</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security, assurance or guaranty for the Securities of such series;</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non-applicability of Section 608 to the Securities of such series or any exceptions or modifications of Section 608 with respect to the Securities of such series;</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2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duties of another Person to assume the obligations of the Company with respect to the Securities of such series (whether as joint obligor, primary obligor, secondary obligor or substitute obligor) and any rights or duties to discharge and release any obligor with respect to the Securities of such series or this Indenture to the extent related to such series; and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2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and rights of such series (which terms, conditions and rights shall not be inconsistent with the provisions of this Indenture, except as permitted by Section 901(a)(4)).</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any one series (other than Securities offered in a Periodic Offering) shall be substantially identical except as to denomination and except as may otherwise be provided in or pursuant to such Board Resolution and set forth in such Officer’s Certificate or in any such indenture supplemental hereto and as reasonably acceptable to the Trustee. Securities of different series may differ in any respect.</w:t>
      </w:r>
    </w:p>
    <w:p>
      <w:pPr>
        <w:spacing w:after="0" w:line="175" w:lineRule="exact"/>
        <w:rPr>
          <w:rFonts w:ascii="Times New Roman" w:cs="Times New Roman" w:eastAsia="Times New Roman" w:hAnsi="Times New Roman"/>
          <w:sz w:val="18"/>
          <w:szCs w:val="18"/>
          <w:color w:val="auto"/>
        </w:rPr>
      </w:pPr>
    </w:p>
    <w:p>
      <w:pPr>
        <w:ind w:right="320" w:firstLine="987"/>
        <w:spacing w:after="0" w:line="274" w:lineRule="auto"/>
        <w:tabs>
          <w:tab w:leader="none" w:pos="124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terms and form or forms of any series of Securities are established by or pursuant to a Board Resolution, the Company shall deliver a copy of such Board Resolution to the Trustee at or prior to the issuance of such series with (1) the form or forms of Security that have been approved attached thereto, or (2) if such Board Resolution authorizes a specific officer or officers to approve the terms and form or forms of the Securities, a certificate of such officer or officers approving the terms and form or forms of Security with such form or forms of Securities attached thereto. Such Board Resolution or certificate may provide general terms or parameters for Securities of any series and may provide that the specific terms of particular Securities of a series may be determined in accordance with or pursuant to the Company Order referred to in Section 303.</w:t>
      </w:r>
    </w:p>
    <w:p>
      <w:pPr>
        <w:spacing w:after="0" w:line="172" w:lineRule="exact"/>
        <w:rPr>
          <w:rFonts w:ascii="Times New Roman" w:cs="Times New Roman" w:eastAsia="Times New Roman" w:hAnsi="Times New Roman"/>
          <w:sz w:val="17"/>
          <w:szCs w:val="17"/>
          <w:color w:val="auto"/>
        </w:rPr>
      </w:pPr>
    </w:p>
    <w:p>
      <w:pPr>
        <w:ind w:right="260" w:firstLine="987"/>
        <w:spacing w:after="0" w:line="258" w:lineRule="auto"/>
        <w:tabs>
          <w:tab w:leader="none" w:pos="12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of a series subject to a Periodic Offering, the indenture supplemental hereto or the Board Resolution that establishes such series, or the Officer’s Certificate pursuant to such supplemental indenture or Board Resolution, as the case may be, may provide general terms or parameters for Securities of such series and provide either that the specific terms of Securities of such series shall be specified in a Company Order or that such terms shall be determined by the Company or its agents in accordance with procedures specified in a Company Order as contemplated by Section 303(c).</w:t>
      </w:r>
    </w:p>
    <w:p>
      <w:pPr>
        <w:spacing w:after="0" w:line="183"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1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 respect to a series of Securities pursuant to paragraph (2) of Section 301(b), such series of Securities may be issued in one or more Tranches with various principal amounts without the consent of any Holders and additional Tranches of such series may be authenticated and delivered pursuant to Section 303.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5" w:name="page56"/>
    <w:bookmarkEnd w:id="55"/>
    <w:p>
      <w:pPr>
        <w:ind w:right="32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Denominations</w:t>
      </w:r>
      <w:r>
        <w:rPr>
          <w:rFonts w:ascii="Times New Roman" w:cs="Times New Roman" w:eastAsia="Times New Roman" w:hAnsi="Times New Roman"/>
          <w:sz w:val="18"/>
          <w:szCs w:val="18"/>
          <w:color w:val="auto"/>
        </w:rPr>
        <w:t>. The Securities of each series shall be issuable in registered form in such denominations as shall be specified as contemplated by Section 301(b). In the absence of any such provisions with respect to the Securities of any series, the Securities of such series shall be issuable in denominations of $1,000 and any integral multiple thereof.</w:t>
      </w:r>
    </w:p>
    <w:p>
      <w:pPr>
        <w:spacing w:after="0" w:line="173"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Execution, Authentication, Delivery and Dating</w:t>
      </w:r>
      <w:r>
        <w:rPr>
          <w:rFonts w:ascii="Times New Roman" w:cs="Times New Roman" w:eastAsia="Times New Roman" w:hAnsi="Times New Roman"/>
          <w:sz w:val="18"/>
          <w:szCs w:val="18"/>
          <w:color w:val="auto"/>
        </w:rPr>
        <w:t>. (A) The Securities shall be signed on behalf of the Company by an Authorized Officer and attested by its Secretary or any Assistant Secretary. The signature of any of these officers on the Securities may be manual or facsimile. Typographical and other minor errors or defects in any such signature shall not affect the validity or enforceability of any Security that has been duly authenticated and delivered by the Trustee.</w:t>
      </w:r>
    </w:p>
    <w:p>
      <w:pPr>
        <w:spacing w:after="0" w:line="182" w:lineRule="exact"/>
        <w:rPr>
          <w:sz w:val="20"/>
          <w:szCs w:val="20"/>
          <w:color w:val="auto"/>
        </w:rPr>
      </w:pPr>
    </w:p>
    <w:p>
      <w:pPr>
        <w:ind w:firstLine="987"/>
        <w:spacing w:after="0" w:line="266"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5"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(or any Tranche thereof) executed by the Company to the Trustee for authentication, together with a Company Order for the authentication and delivery of such Securities (or such Tranche), and the Trustee in accordance with the Company Order shall authenticate and deliver such Securities (or such Tranche);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Securities of a series subject to a Periodic Offering, (i) such Company Order may be delivered by the Company to the Trustee prior to the delivery to the Trustee of such Securities for authentication and delivery, (ii) the Trustee shall authenticate and deliver Securities of such series for original issue from time to time, in an aggregate principal amount not exceeding the aggregate principal amount established for such series, all pursuant to a Company Order or pursuant to such procedures acceptable to the Trustee as may be specified from time to time by a Company Order, (iii) the maturity date or dates, original issue date or dates, interest rate or rates and any other terms of Securities of such series shall be determined by Company Order or pursuant to such procedures and (iv) if provided for in such procedures, such Company Order may authorize authentication and delivery pursuant to oral or electronic instructions from the Company or its duly authorized agent or agents, which oral instructions shall be promptly confirmed in writing.</w:t>
      </w:r>
    </w:p>
    <w:p>
      <w:pPr>
        <w:spacing w:after="0" w:line="191"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form of Securities has been established in conformity with the provisions of this Indenture;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have been established in conformity with the provisions of this Indenture; and</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9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generally and to general principles of equity.</w:t>
      </w:r>
    </w:p>
    <w:p>
      <w:pPr>
        <w:spacing w:after="0" w:line="179"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301 and of the preceding paragraphs of Sections 303(c) and 303(d) in connection with a Periodic Offering, if all Securities of a series are not to be originally issued at one time, it shall not be necessary to deliver an Officer’s Certificate or execute a supplemental indenture otherwise required pursuant to Section 301(b) or the Company Order and Opinion of Counsel otherwise required pursuant to such preceding paragraphs at or prior to the time of authentication of each Security of such series if such documents are delivered at or prior to the authentication upon original issuance of the first Security of such series to be issued.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56" w:name="page57"/>
    <w:bookmarkEnd w:id="56"/>
    <w:p>
      <w:pPr>
        <w:jc w:val="both"/>
        <w:ind w:right="160" w:firstLine="987"/>
        <w:spacing w:after="0" w:line="266" w:lineRule="auto"/>
        <w:tabs>
          <w:tab w:leader="none" w:pos="12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form or terms have been so established, the Trustee shall not be required to authenticate such Securities if the issuance of such Securities pursuant to this Indenture will affect the Trustee’s own rights, duties or immunities under the Securities and this Indenture or otherwise in a manner that is not reasonably acceptable to the Trustee.</w:t>
      </w:r>
    </w:p>
    <w:p>
      <w:pPr>
        <w:spacing w:after="0" w:line="175"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and is entitled to the benefits of this Indenture.</w:t>
      </w:r>
    </w:p>
    <w:p>
      <w:pPr>
        <w:spacing w:after="0" w:line="178"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i w:val="1"/>
          <w:iCs w:val="1"/>
          <w:color w:val="auto"/>
        </w:rPr>
        <w:t>Temporary Securities</w:t>
      </w:r>
      <w:r>
        <w:rPr>
          <w:rFonts w:ascii="Times New Roman" w:cs="Times New Roman" w:eastAsia="Times New Roman" w:hAnsi="Times New Roman"/>
          <w:sz w:val="17"/>
          <w:szCs w:val="17"/>
          <w:color w:val="auto"/>
        </w:rPr>
        <w:t>. (A) Until definitive Securities of any series (including Global Securities) are ready for delivery, the Company may execute, and upon Company Order the Trustee shall authenticate and deliver one or more temporary Securities that are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66" w:lineRule="exact"/>
        <w:rPr>
          <w:sz w:val="20"/>
          <w:szCs w:val="20"/>
          <w:color w:val="auto"/>
        </w:rPr>
      </w:pPr>
    </w:p>
    <w:p>
      <w:pPr>
        <w:ind w:right="100" w:firstLine="987"/>
        <w:spacing w:after="0" w:line="255"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Registration, Registration of Transfer and Exchange</w:t>
      </w:r>
      <w:r>
        <w:rPr>
          <w:rFonts w:ascii="Times New Roman" w:cs="Times New Roman" w:eastAsia="Times New Roman" w:hAnsi="Times New Roman"/>
          <w:sz w:val="18"/>
          <w:szCs w:val="18"/>
          <w:color w:val="auto"/>
        </w:rPr>
        <w:t>. (A) 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The Trustee is hereby appointed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w:t>
      </w:r>
    </w:p>
    <w:p>
      <w:pPr>
        <w:spacing w:after="0" w:line="185" w:lineRule="exact"/>
        <w:rPr>
          <w:sz w:val="20"/>
          <w:szCs w:val="20"/>
          <w:color w:val="auto"/>
        </w:rPr>
      </w:pPr>
    </w:p>
    <w:p>
      <w:pPr>
        <w:jc w:val="both"/>
        <w:ind w:right="80"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Securities issued in the form of a Global Security, upon surrender for registration of transfer of any Security of any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179" w:lineRule="exact"/>
        <w:rPr>
          <w:rFonts w:ascii="Times New Roman" w:cs="Times New Roman" w:eastAsia="Times New Roman" w:hAnsi="Times New Roman"/>
          <w:sz w:val="18"/>
          <w:szCs w:val="18"/>
          <w:color w:val="auto"/>
        </w:rPr>
      </w:pPr>
    </w:p>
    <w:p>
      <w:pPr>
        <w:ind w:right="500" w:firstLine="987"/>
        <w:spacing w:after="0" w:line="266"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such Holder’s attorney duly authorized in writing.</w:t>
      </w:r>
    </w:p>
    <w:p>
      <w:pPr>
        <w:spacing w:after="0" w:line="175" w:lineRule="exact"/>
        <w:rPr>
          <w:rFonts w:ascii="Times New Roman" w:cs="Times New Roman" w:eastAsia="Times New Roman" w:hAnsi="Times New Roman"/>
          <w:sz w:val="18"/>
          <w:szCs w:val="18"/>
          <w:color w:val="auto"/>
        </w:rPr>
      </w:pPr>
    </w:p>
    <w:p>
      <w:pPr>
        <w:ind w:firstLine="987"/>
        <w:spacing w:after="0" w:line="281" w:lineRule="auto"/>
        <w:tabs>
          <w:tab w:leader="none" w:pos="123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in a Board Resolution or an Officer’s Certificate pursuant to a Board Resolution, or in an indenture supplemental hereto, with respect to Securities of any series, no service charge shall be made to the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1106 or 1204 not involving any transfer.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7" w:name="page58"/>
    <w:bookmarkEnd w:id="57"/>
    <w:p>
      <w:pPr>
        <w:ind w:right="40" w:firstLine="987"/>
        <w:spacing w:after="0" w:line="261"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be required (i) to issue, register the transfer of or exchange Securities of any series during a period beginning at 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78"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Mutilated, Destroyed, Lost and Stolen Securities</w:t>
      </w:r>
      <w:r>
        <w:rPr>
          <w:rFonts w:ascii="Times New Roman" w:cs="Times New Roman" w:eastAsia="Times New Roman" w:hAnsi="Times New Roman"/>
          <w:sz w:val="18"/>
          <w:szCs w:val="18"/>
          <w:color w:val="auto"/>
        </w:rPr>
        <w:t>. (A) If any mutilated Security is surrendered to the Trustee, the Company shall execute and the Trustee shall authenticate and deliver in exchange therefor a replacement Security of the same series and of like tenor and principal amount and bearing a number not contemporaneously outstanding.</w:t>
      </w:r>
    </w:p>
    <w:p>
      <w:pPr>
        <w:spacing w:after="0" w:line="175" w:lineRule="exact"/>
        <w:rPr>
          <w:sz w:val="20"/>
          <w:szCs w:val="20"/>
          <w:color w:val="auto"/>
        </w:rPr>
      </w:pPr>
    </w:p>
    <w:p>
      <w:pPr>
        <w:ind w:firstLine="987"/>
        <w:spacing w:after="0" w:line="258"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delivered to the Company and the Trustee (i) evidence to their satisfaction of the destruction, loss or theft of any Security and (ii) such bond, security or indemnity as may be required by them to save each of them and any agent of either of them harmless, then, in the absence of actual notice to the Company or the Trustee that such Security has been acquired by a bona fide purchaser, the Company shall execute and upon its request the Trustee shall authenticate and deliver, a replacement Security of the same series (and Tranche, if applicable) and of like tenor and principal amount and bearing a number not contemporaneously outstanding.</w:t>
      </w:r>
    </w:p>
    <w:p>
      <w:pPr>
        <w:spacing w:after="0" w:line="183"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5" w:lineRule="exact"/>
        <w:rPr>
          <w:rFonts w:ascii="Times New Roman" w:cs="Times New Roman" w:eastAsia="Times New Roman" w:hAnsi="Times New Roman"/>
          <w:sz w:val="18"/>
          <w:szCs w:val="18"/>
          <w:color w:val="auto"/>
        </w:rPr>
      </w:pPr>
    </w:p>
    <w:p>
      <w:pPr>
        <w:ind w:right="20" w:firstLine="987"/>
        <w:spacing w:after="0" w:line="289" w:lineRule="auto"/>
        <w:tabs>
          <w:tab w:leader="none" w:pos="123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is at any time enforceable by anyone, and shall be entitled to all the benefits of this Indenture equally and proportionately with any and all other Securities of that series duly issued hereunder.</w:t>
      </w:r>
    </w:p>
    <w:p>
      <w:pPr>
        <w:spacing w:after="0" w:line="157" w:lineRule="exact"/>
        <w:rPr>
          <w:rFonts w:ascii="Times New Roman" w:cs="Times New Roman" w:eastAsia="Times New Roman" w:hAnsi="Times New Roman"/>
          <w:sz w:val="17"/>
          <w:szCs w:val="17"/>
          <w:color w:val="auto"/>
        </w:rPr>
      </w:pPr>
    </w:p>
    <w:p>
      <w:pPr>
        <w:ind w:right="260" w:firstLine="987"/>
        <w:spacing w:after="0" w:line="282" w:lineRule="auto"/>
        <w:tabs>
          <w:tab w:leader="none" w:pos="12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Payment of Interest; Interest Rights Preserved</w:t>
      </w:r>
      <w:r>
        <w:rPr>
          <w:rFonts w:ascii="Times New Roman" w:cs="Times New Roman" w:eastAsia="Times New Roman" w:hAnsi="Times New Roman"/>
          <w:sz w:val="18"/>
          <w:szCs w:val="18"/>
          <w:color w:val="auto"/>
        </w:rPr>
        <w:t xml:space="preserve">. (A) Unless otherwise provided as contemplated by Section 301(b) with respect to the Securities of any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interest payable at Maturity will be paid to the Person to whom principal is payable.</w:t>
      </w:r>
    </w:p>
    <w:p>
      <w:pPr>
        <w:spacing w:after="0" w:line="182" w:lineRule="exact"/>
        <w:rPr>
          <w:sz w:val="20"/>
          <w:szCs w:val="20"/>
          <w:color w:val="auto"/>
        </w:rPr>
      </w:pPr>
    </w:p>
    <w:p>
      <w:pPr>
        <w:jc w:val="both"/>
        <w:ind w:right="20" w:firstLine="987"/>
        <w:spacing w:after="0" w:line="266"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Security of any series that is payable, but is not punctually paid or duly provided for, on any Interest Payment Date (herein called “</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shall forthwith cease to be payable to the Holder on the relevant Regular Record Date by virtue of having been such Holder, and such Defaulted Interest may be paid by the Company, at its election in each case, as provided in clause (i) or (ii) below:</w:t>
      </w:r>
    </w:p>
    <w:p>
      <w:pPr>
        <w:spacing w:after="0" w:line="67" w:lineRule="exact"/>
        <w:rPr>
          <w:rFonts w:ascii="Times New Roman" w:cs="Times New Roman" w:eastAsia="Times New Roman" w:hAnsi="Times New Roman"/>
          <w:sz w:val="18"/>
          <w:szCs w:val="18"/>
          <w:color w:val="auto"/>
        </w:rPr>
      </w:pPr>
    </w:p>
    <w:p>
      <w:pPr>
        <w:ind w:left="980" w:right="220" w:firstLine="408"/>
        <w:spacing w:after="0" w:line="258" w:lineRule="auto"/>
        <w:tabs>
          <w:tab w:leader="none" w:pos="159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58" w:name="page59"/>
    <w:bookmarkEnd w:id="58"/>
    <w:p>
      <w:pPr>
        <w:ind w:left="98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shall cause notice of the proposed payment of such Defaulted Interest and the Special Record Date therefor to be mailed, first-class postage prepaid, to each Holder of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82" w:lineRule="exact"/>
        <w:rPr>
          <w:sz w:val="20"/>
          <w:szCs w:val="20"/>
          <w:color w:val="auto"/>
        </w:rPr>
      </w:pPr>
    </w:p>
    <w:p>
      <w:pPr>
        <w:ind w:left="980" w:right="140" w:firstLine="408"/>
        <w:spacing w:after="0" w:line="261" w:lineRule="auto"/>
        <w:tabs>
          <w:tab w:leader="none" w:pos="164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79"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301 and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Ownership of Securities of a series shall be proved by the computerized book-entry system of the Depositary in the case of Securities issued in the form of a Global Security.</w:t>
      </w:r>
    </w:p>
    <w:p>
      <w:pPr>
        <w:spacing w:after="0" w:line="162"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Paying Agent or the Security Registrar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4"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Except as otherwise specified as contemplated by Section 301(b) for Securities of any series, all Securities surrendered for payment, redemption, registration of transfer or exchange or for credit against any sinking fund payment shall, if surrendered to any Person other than the Trustee, be delivered to the Trustee and, if not theretofore cancelled, shall be promptly cancelled by it. Except as otherwise specified as contemplated by Section 301(b) for Securities of any series, the Company may at any time deliver to the Trustee for cancellation any Securities previously authenticated and delivered hereunder that the Company may have acquired in any manner whatsoever or that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Upon request of the Company, the Trustee shall provide it with a certificate of cancellation.</w:t>
      </w:r>
    </w:p>
    <w:p>
      <w:pPr>
        <w:spacing w:after="0" w:line="185" w:lineRule="exact"/>
        <w:rPr>
          <w:sz w:val="20"/>
          <w:szCs w:val="20"/>
          <w:color w:val="auto"/>
        </w:rPr>
      </w:pPr>
    </w:p>
    <w:p>
      <w:pPr>
        <w:ind w:right="3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Computation of Interest</w:t>
      </w:r>
      <w:r>
        <w:rPr>
          <w:rFonts w:ascii="Times New Roman" w:cs="Times New Roman" w:eastAsia="Times New Roman" w:hAnsi="Times New Roman"/>
          <w:sz w:val="18"/>
          <w:szCs w:val="18"/>
          <w:color w:val="auto"/>
        </w:rPr>
        <w:t>. Except as otherwise specified as contemplated by Section 301(b) for Securities of any series, interest on the Securities of each series shall be computed on the basis of a 360-day year of twelve 30-day months.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59" w:name="page60"/>
    <w:bookmarkEnd w:id="5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311. </w:t>
      </w:r>
      <w:r>
        <w:rPr>
          <w:rFonts w:ascii="Times New Roman" w:cs="Times New Roman" w:eastAsia="Times New Roman" w:hAnsi="Times New Roman"/>
          <w:sz w:val="18"/>
          <w:szCs w:val="18"/>
          <w:i w:val="1"/>
          <w:iCs w:val="1"/>
          <w:color w:val="auto"/>
        </w:rPr>
        <w:t>Global Securities; Exchanges; Registration and Registration of Transfer</w:t>
      </w:r>
      <w:r>
        <w:rPr>
          <w:rFonts w:ascii="Times New Roman" w:cs="Times New Roman" w:eastAsia="Times New Roman" w:hAnsi="Times New Roman"/>
          <w:sz w:val="18"/>
          <w:szCs w:val="18"/>
          <w:color w:val="auto"/>
        </w:rPr>
        <w:t>. If specified as contemplated by Section 301(b) for Securities of any series, the Securities of such series may be issued in the form of one or more Global Securities, which shall be deposited with the Depositary, and, unless otherwise specified in the form of Global Security adopted pursuant to Section 301, be registered in the name of the Depository’s nominee.</w:t>
      </w:r>
    </w:p>
    <w:p>
      <w:pPr>
        <w:spacing w:after="0" w:line="182" w:lineRule="exact"/>
        <w:rPr>
          <w:sz w:val="20"/>
          <w:szCs w:val="20"/>
          <w:color w:val="auto"/>
        </w:rPr>
      </w:pPr>
    </w:p>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Except as otherwise specified as contemplated by Section 301(b) for Securities of any series, any permanent Global Security shall be exchangeable only as provided in this paragraph. If the beneficial owners of interests in a permanent Global Security are entitled to exchange such interests for Securities of such series of like tenor and principal amount of another authorized form, as specified as contemplated by Section 301(b), then without unnecessary delay but in any event not later than the earliest date on which such interests may be so exchanged, the Company shall deliver to the Trustee definitive Securities of that series in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102 or be accompanied by an Opinion of Counsel) by the Depositary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as shall be specified by the Depositary;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exchanges may occur during the periods specified by Section 305.</w:t>
      </w:r>
    </w:p>
    <w:p>
      <w:pPr>
        <w:spacing w:after="0" w:line="17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Global Security may be transferred to another nominee of the Depositary, or to a successor Depositary selected by the Company, and upon surrender for registration of transfer of the Global Security to the Trustee, the Company shall execute, and the Trustee shall authenticate and deliver, in the name of the designated transferee, a new Global Security in the same aggregate principal amount. If at any time the Depositary notifies the Company that it is unwilling or unable to continue as Depositary and a successor Depositary satisfactory to the Company is not appointed within 90 days after the Company receives such notice, the Company will execute, and the Trustee will authenticate and deliver, Securities in definitive form to the Depositary in exchange for the Global Security. In addition, if at any time the Company determines that it is not in the best interest of the Company or the beneficial owners of Securities to continue to have a Global Security representing all of the Securities held by a Depositary, the Company may, at its option, execute, and the Trustee will authenticate and deliver, Securities in definitive form to the Depositary in exchange for all or a portion of the Global Security.</w:t>
      </w:r>
    </w:p>
    <w:p>
      <w:pPr>
        <w:spacing w:after="0" w:line="186"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i w:val="1"/>
          <w:iCs w:val="1"/>
          <w:color w:val="auto"/>
        </w:rPr>
        <w:t>Extension of Interest Payment</w:t>
      </w:r>
      <w:r>
        <w:rPr>
          <w:rFonts w:ascii="Times New Roman" w:cs="Times New Roman" w:eastAsia="Times New Roman" w:hAnsi="Times New Roman"/>
          <w:sz w:val="17"/>
          <w:szCs w:val="17"/>
          <w:color w:val="auto"/>
        </w:rPr>
        <w:t>. The Company shall have the right at any time, so long as the Company is not in default in the payment of interest on the Securities of any series hereunder, to extend interest payment periods on all Securities of one or more series, if so specified as contemplated by Section 301(b) with respect to such Securities and upon such terms as may be specified as contemplated by Section 301(b) with respect to such Securities. If the Company ever so extends any such interest payment period, the Company shall promptly notify the Trustee.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Termination of Company’s Obligations</w:t>
      </w:r>
      <w:r>
        <w:rPr>
          <w:rFonts w:ascii="Times New Roman" w:cs="Times New Roman" w:eastAsia="Times New Roman" w:hAnsi="Times New Roman"/>
          <w:sz w:val="18"/>
          <w:szCs w:val="18"/>
          <w:color w:val="auto"/>
        </w:rPr>
        <w:t>. (A) This Indenture shall upon Company Request cease to be of further effect with respect to the Securities of any series (except as to any surviving rights of registration of transfer or exchange of Securities herein expressly provided for), and the Trustee, at the expense of the Company, shall execute instruments in form and substance satisfactory to the Trustee and the Company acknowledging termination of the Company’s obligations under the Securities of such series and this Indenture, when</w:t>
      </w:r>
    </w:p>
    <w:p>
      <w:pPr>
        <w:spacing w:after="0" w:line="74" w:lineRule="exact"/>
        <w:rPr>
          <w:sz w:val="20"/>
          <w:szCs w:val="20"/>
          <w:color w:val="auto"/>
        </w:rPr>
      </w:pPr>
    </w:p>
    <w:p>
      <w:pPr>
        <w:ind w:left="1120" w:hanging="261"/>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7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previously authenticated and delivered (other than (i) Securities of such series that have been destroyed, lost or stolen and that have been replaced or paid as provided in Section 306 and (ii) Securities of such series that are deemed paid and discharged pursuant to Section 402) have been delivered to the Trustee for cancellation;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60" w:name="page61"/>
    <w:bookmarkEnd w:id="60"/>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all such Securities of such series not previously delivered to the Trustee for cancellation</w:t>
      </w:r>
    </w:p>
    <w:p>
      <w:pPr>
        <w:spacing w:after="0" w:line="117" w:lineRule="exact"/>
        <w:rPr>
          <w:sz w:val="20"/>
          <w:szCs w:val="20"/>
          <w:color w:val="auto"/>
        </w:rPr>
      </w:pPr>
    </w:p>
    <w:p>
      <w:pPr>
        <w:ind w:left="1600" w:hanging="212"/>
        <w:spacing w:after="0"/>
        <w:tabs>
          <w:tab w:leader="none" w:pos="1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(whether at Stated Maturity, early redemption or otherwise), or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980" w:right="640" w:firstLine="408"/>
        <w:spacing w:after="0" w:line="282" w:lineRule="auto"/>
        <w:tabs>
          <w:tab w:leader="none" w:pos="16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funds in trust solely for the benefit of the Holders of the Securities of such series an amount in cash in Dollars (or such other currency or composite currency in which the Securities of such series are denominated), Eligible Obligations or any combination thereof, together (if necessary in the case of a series of Securities not bearing interest at a fixed rate) with any Hedging Obligation, so that such funds in each case are sufficient to pay principal of, and any premium and interest on, all Outstanding Securities of such series;</w:t>
      </w:r>
    </w:p>
    <w:p>
      <w:pPr>
        <w:spacing w:after="0" w:line="75" w:lineRule="exact"/>
        <w:rPr>
          <w:sz w:val="20"/>
          <w:szCs w:val="20"/>
          <w:color w:val="auto"/>
        </w:rPr>
      </w:pPr>
    </w:p>
    <w:p>
      <w:pPr>
        <w:ind w:left="1120" w:hanging="261"/>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607, the obligations of the Trustee to any Authenticating Agent under Section 614 and, if money has been deposited with the Trustee pursuant to subclause (B) of clause (1) of this Section, the obligations of the Trustee under Section 405 and Section 1003(e) shall survive.</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and discharge of this Indenture as provided in this Section 401, the Trustee shall assign, transfer and turn over to the Company, subject to the claim provided by Section 607, any and all money, securities and other property then held by the Trustee for the benefit of the Holders of the Securities.</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The Company may elect, at its option at any time, to have Section 402 or Section 403 applied to the Outstanding Securities of any series in accordance with any applicable requirements provided pursuant to Section 301 and upon compliance with the conditions set forth below in this Article. Any such election shall be evidenced by a Board Resolution or in another manner specified as contemplated by Section 301(b) for such Securities.</w:t>
      </w:r>
    </w:p>
    <w:p>
      <w:pPr>
        <w:spacing w:after="0" w:line="156"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Defeasance and Discharge of Indenture</w:t>
      </w:r>
      <w:r>
        <w:rPr>
          <w:rFonts w:ascii="Times New Roman" w:cs="Times New Roman" w:eastAsia="Times New Roman" w:hAnsi="Times New Roman"/>
          <w:sz w:val="18"/>
          <w:szCs w:val="18"/>
          <w:color w:val="auto"/>
        </w:rPr>
        <w:t>. Upon the Company’s exercise of its option (if any) to have this Section applied to all the Outstanding Securities of any series or Tranche, or any portion of the principal amount thereof, and subject to the conditions set forth in Section 404 being satisfied, the Company shall be deemed to have paid and discharged the entire indebtedness on such Outstanding Securities of such series or Tranche, and the provisions of this Indenture, as it relates to such Outstanding Securities of such series or Tranche, shall be satisfied and discharged and shall no longer be in effect (and the Trustee, at the expense of the Company, shall at Company Request execute proper instruments acknowledging the same), except as to:</w:t>
      </w:r>
    </w:p>
    <w:p>
      <w:pPr>
        <w:spacing w:after="0" w:line="76" w:lineRule="exact"/>
        <w:rPr>
          <w:sz w:val="20"/>
          <w:szCs w:val="20"/>
          <w:color w:val="auto"/>
        </w:rPr>
      </w:pPr>
    </w:p>
    <w:p>
      <w:pPr>
        <w:ind w:right="40" w:firstLine="987"/>
        <w:spacing w:after="0" w:line="256"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solely from the trust funds described in Section 405, (x) payment of the principal of (and premium, if any) and each installment of principal of (and premium, if any) or interest, if any, on the Outstanding Securities of such series, or portions thereof, on the Stated Maturity of such principal or installment of principal or interest to but excluding the Redemption Date designated by the Company pursuant to subparagraph (viii) of Section 404 and (y) the benefit of any mandatory sinking fund payments applicable to the Securities of such series or Tranche on the day on which such payments are due and payable in accordance with the terms of this Indenture and the Securities of such series or Tranche;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61" w:name="page62"/>
    <w:bookmarkEnd w:id="61"/>
    <w:p>
      <w:pPr>
        <w:ind w:right="80" w:firstLine="987"/>
        <w:spacing w:after="0" w:line="266"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the Company and the Trustee with respect to such Securities of such series or Tranche under Sections 304, 305, 306, 614, 1002 and 1003 and, if the Company shall have designated a Redemption Date pursuant to subparagraph (x) of Section 404, Sections 1104 and 1106;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the Trustee under Section 607.</w:t>
      </w:r>
    </w:p>
    <w:p>
      <w:pPr>
        <w:spacing w:after="0" w:line="22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Defeasance of Certain Obligations</w:t>
      </w:r>
      <w:r>
        <w:rPr>
          <w:rFonts w:ascii="Times New Roman" w:cs="Times New Roman" w:eastAsia="Times New Roman" w:hAnsi="Times New Roman"/>
          <w:sz w:val="18"/>
          <w:szCs w:val="18"/>
          <w:color w:val="auto"/>
        </w:rPr>
        <w:t xml:space="preserve">. The Company may omit to comply with its obligations under the covenants contained in Sections 801, 1006 and 1007 with respect to any Security or Securities of any series (and in respect of any term, provision or condition set forth in the covenants or restrictions specified for such Securities pursuant to Section 301(b), in any supplemental indenture, Board Resolution or Officer’s Certificate establishing such Security), and the failure to comply with any such provisions shall not constitute a Default or Event of Default under Section 501(4),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conditions set forth in Section 404 have been satisfied.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Conditions to Defeasance</w:t>
      </w:r>
      <w:r>
        <w:rPr>
          <w:rFonts w:ascii="Times New Roman" w:cs="Times New Roman" w:eastAsia="Times New Roman" w:hAnsi="Times New Roman"/>
          <w:sz w:val="18"/>
          <w:szCs w:val="18"/>
          <w:color w:val="auto"/>
        </w:rPr>
        <w:t>. The following conditions shall be the conditions to the application of Section 402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403:</w:t>
      </w:r>
    </w:p>
    <w:p>
      <w:pPr>
        <w:spacing w:after="0" w:line="99" w:lineRule="exact"/>
        <w:rPr>
          <w:sz w:val="20"/>
          <w:szCs w:val="20"/>
          <w:color w:val="auto"/>
        </w:rPr>
      </w:pPr>
    </w:p>
    <w:p>
      <w:pPr>
        <w:ind w:left="980" w:right="40" w:firstLine="408"/>
        <w:spacing w:after="0" w:line="252" w:lineRule="auto"/>
        <w:tabs>
          <w:tab w:leader="none" w:pos="159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deposited or caused to be deposited irrevocably with the Trustee as trust funds in trust, specifically pledged as security for, and dedicated solely to, the benefit of the Holders of the Securities of such series, (x) cash in Dollars (or such other currency or composite currency in which such Securities are denominated) in an amount sufficient, or (y) Eligible Obligations which through the payment of interest and principal in respect thereof in accordance with their terms will provide on or before the due date of any payment referred to in clause (1) or (2) of this subparagraph (i) money in an amount sufficient or (z) a combination of such cash and Eligible Obligations, together (if necessary in the case of a series of Securities not bearing interest at a fixed rate) with any Hedging Obligation so that such funds are sufficient, in the opinion of a nationally recognized firm of independent certified public accountants expressed in a written certification thereof delivered to the Trustee, to pay and discharge (1) the principal of (and premium, if any) and each installment of principal (and premium, if any) and interest, if any, on such Securities on the Stated Maturity of such principal or installment of principal or interest or to but excluding the Redemption Date designated by the Company in accordance with Section 404(a)(1)(B)(iii) and</w:t>
      </w:r>
    </w:p>
    <w:p>
      <w:pPr>
        <w:spacing w:after="0" w:line="5" w:lineRule="exact"/>
        <w:rPr>
          <w:rFonts w:ascii="Times New Roman" w:cs="Times New Roman" w:eastAsia="Times New Roman" w:hAnsi="Times New Roman"/>
          <w:sz w:val="18"/>
          <w:szCs w:val="18"/>
          <w:color w:val="auto"/>
        </w:rPr>
      </w:pPr>
    </w:p>
    <w:p>
      <w:pPr>
        <w:ind w:left="980" w:right="500" w:firstLine="7"/>
        <w:spacing w:after="0" w:line="260" w:lineRule="auto"/>
        <w:tabs>
          <w:tab w:leader="none" w:pos="12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sinking fund payments applicable to the Securities of such series on the day on which such payments are due and payable in accordance with the terms of this Indenture and of the Securities of such series;</w:t>
      </w:r>
    </w:p>
    <w:p>
      <w:pPr>
        <w:spacing w:after="0" w:line="73" w:lineRule="exact"/>
        <w:rPr>
          <w:rFonts w:ascii="Times New Roman" w:cs="Times New Roman" w:eastAsia="Times New Roman" w:hAnsi="Times New Roman"/>
          <w:sz w:val="18"/>
          <w:szCs w:val="18"/>
          <w:color w:val="auto"/>
        </w:rPr>
      </w:pPr>
    </w:p>
    <w:p>
      <w:pPr>
        <w:ind w:left="980" w:firstLine="408"/>
        <w:spacing w:after="0" w:line="256" w:lineRule="auto"/>
        <w:tabs>
          <w:tab w:leader="none" w:pos="164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 402 apply, the Company has delivered to the Trustee an Officer’s Certificate and an Opinion of Counsel to the effect that (x) the Company has received from, or there has been published by, the Internal Revenue Service a ruling or (y) there has been a change in law or regulation occurring after the date hereof,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79"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9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election to have Section 403 apply, the Company has delivered to the Trustee an Officer’s Certificate and an Opinion of Counsel to the effect that Holders of the Securities of such series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62" w:name="page63"/>
    <w:bookmarkEnd w:id="62"/>
    <w:p>
      <w:pPr>
        <w:ind w:left="980" w:right="380" w:firstLine="408"/>
        <w:spacing w:after="0" w:line="282" w:lineRule="auto"/>
        <w:tabs>
          <w:tab w:leader="none" w:pos="16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would not cause any Outstanding Securities of such series then listed on a securities exchange to be delisted as a result thereof;</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Securities of such series has occurred and is continuing on the date of such deposit;</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7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67"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7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as specified in an Opinion of Counsel, cause the Trustee with respect to the Securities of such series to have a conflicting interest as defined in Section 608 and for purposes of the Trust Indenture Act with respect to the Securities of such series;</w:t>
      </w:r>
    </w:p>
    <w:p>
      <w:pPr>
        <w:spacing w:after="0" w:line="67"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relating to the defeasance contemplated by this Section have been complied with; and</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56" w:lineRule="auto"/>
        <w:tabs>
          <w:tab w:leader="none" w:pos="16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deposited or caused to be deposited money or Eligible Obligations to pay or discharge the principal of (and premium, if any) and interest on the Outstanding Securities of a series to but excluding a Redemption Date pursuant to clause (i) of this Section 404, such Redemption Date shall be irrevocably designated by a Board Resolution delivered to the Trustee on or prior to the date of deposit of such money or Eligible Obligations, and such Board Resolution shall be accompanied by an irrevocable Company Request that the Trustee give notice of such redemption in the name and at the expense of the Company not less than 30 nor more than 60 days prior to such Redemption Date in accordance with Section 1104.</w:t>
      </w:r>
    </w:p>
    <w:p>
      <w:pPr>
        <w:spacing w:after="0" w:line="18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xml:space="preserve">. (A) Neither the Eligible Obligations nor the funds deposited with the Trustee pursuant to Sections 401, 402 or 403, nor the principal or interest payments on any such Eligible Obligations, shall be withdrawn or used for any purpose other than, and shall be held in trust for, the payment of the principal of and premium, if any, and interest, if any, on the Securities or portions of principal amount thereof in respect of which such deposit was made, all subject, however, to the provisions of Section 606;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so long as no Event of Default has occurred and is continuing, any cash received from such principal or interest payments on such Eligible Obligations deposited with the Trustee, if not then needed for such</w:t>
      </w:r>
    </w:p>
    <w:p>
      <w:pPr>
        <w:spacing w:after="0" w:line="18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 xml:space="preserve">purpose, shall, to the extent practicable, be invested in Eligible Obligations of the type described in Sections 401 and 402(d)(2)(A) maturing at such times and in such amounts as shall be sufficient to pay when due the principal of and any premium and interest due and to become due on such Securities or portions thereof on and prior to the Maturity thereof, and interest earned from such reinvestment shall be paid over to the Company as received by the Trustee, free and clear of any trust, lien or pledge under this Indenture except the claim provided by Section 607;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so long as there shall not have occurred and be continuing an Event of Default, any moneys held by the Trustee in accordance with this Section on the Maturity of all such Securities in excess of the amount required to pay the principal of and premium, if any, and interest, if any, then due on such Securities shall be paid over to the Company free and clear of any trust, lien or pledge under this Indenture except the claim provided by Section 607.</w:t>
      </w:r>
    </w:p>
    <w:p>
      <w:pPr>
        <w:spacing w:after="0" w:line="171" w:lineRule="exact"/>
        <w:rPr>
          <w:sz w:val="20"/>
          <w:szCs w:val="20"/>
          <w:color w:val="auto"/>
        </w:rPr>
      </w:pPr>
    </w:p>
    <w:p>
      <w:pPr>
        <w:jc w:val="both"/>
        <w:ind w:right="260" w:firstLine="987"/>
        <w:spacing w:after="0" w:line="26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Eligible Obligations deposited pursuant to Section 401, 402 or 403 or the principal and any premium and interest received in respect of such obligations other than any payable by or on behalf of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63" w:name="page64"/>
    <w:bookmarkEnd w:id="63"/>
    <w:p>
      <w:pPr>
        <w:ind w:right="100" w:firstLine="987"/>
        <w:spacing w:after="0" w:line="258"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deliver or pay to the Company from time to time upon Company Request any Eligible Obligations or money held by it as provided in Section 401, 402 or 403 that, in the opinion of a nationally recognized firm of independent certified public accountants expressed in a written certification thereof delivered to the Trustee, are then in excess of the amount thereof that then would have been required to be deposited for the purpose for which such Eligible Obligations or money was deposited or received. This provision shall not authorize the sale by the Trustee of any Eligible Obligations held under this Indenture.</w:t>
      </w:r>
    </w:p>
    <w:p>
      <w:pPr>
        <w:spacing w:after="0" w:line="18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402 or Section 403 shall be revived and reinstated as though no deposit had occurred pursuant to this Article with respect to such Securities, until such time as the Trustee or Paying Agent is permitted to apply all money held in trust pursuant to Section 405 with respect to such Securities in accordance with this Article;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such event is either inapplicable to a particular series or its is specifically deleted or modified in the applicable Board Resolution or supplemental indenture under which such series of Securities is issued, as the case may be, as contemplated by Section 301:</w:t>
      </w:r>
    </w:p>
    <w:p>
      <w:pPr>
        <w:spacing w:after="0" w:line="67" w:lineRule="exact"/>
        <w:rPr>
          <w:sz w:val="20"/>
          <w:szCs w:val="20"/>
          <w:color w:val="auto"/>
        </w:rPr>
      </w:pPr>
    </w:p>
    <w:p>
      <w:pPr>
        <w:ind w:left="440" w:right="60" w:firstLine="419"/>
        <w:spacing w:after="0" w:line="266"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any interest upon any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valid extension of the interest payment period by the Company as contemplated in Section 312 shall not constitute a failure to pay interest for this purpose; or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that series at its Maturity and, in the case of technical or administrative difficulties, only if such default persists for a period of more than three Business Days; or</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Security of that series and continuance of such default for a period of 30 days; or</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60 days after there has been given, by registered or certified mail, to the Company by the Trustee or to the Company and the Trustee by the Holders of at least 25% in aggregate principal amount of the Outstanding Securities of such series a written notice specifying such default or breach and requiring it to be remedied and stating that such notice is a “</w:t>
      </w:r>
      <w:r>
        <w:rPr>
          <w:rFonts w:ascii="Times New Roman" w:cs="Times New Roman" w:eastAsia="Times New Roman" w:hAnsi="Times New Roman"/>
          <w:sz w:val="18"/>
          <w:szCs w:val="18"/>
          <w:b w:val="1"/>
          <w:bCs w:val="1"/>
          <w:i w:val="1"/>
          <w:iCs w:val="1"/>
          <w:color w:val="auto"/>
        </w:rPr>
        <w:t>Notice of Default</w:t>
      </w:r>
      <w:r>
        <w:rPr>
          <w:rFonts w:ascii="Times New Roman" w:cs="Times New Roman" w:eastAsia="Times New Roman" w:hAnsi="Times New Roman"/>
          <w:sz w:val="18"/>
          <w:szCs w:val="18"/>
          <w:color w:val="auto"/>
        </w:rPr>
        <w:t>” hereunder; or</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55"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64" w:name="page65"/>
    <w:bookmarkEnd w:id="64"/>
    <w:p>
      <w:pPr>
        <w:ind w:left="440" w:firstLine="419"/>
        <w:spacing w:after="0" w:line="254"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such series pursuant to Section 301(b).</w:t>
      </w:r>
    </w:p>
    <w:p>
      <w:pPr>
        <w:spacing w:after="0" w:line="223"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in every such case the Trustee or the Holders of not less than 25% in aggregate principal amount of the Outstanding Securities of such series, by a notice in writing to the Company (and to the Trustee if given by such Holders), may declare the principal amount (or, if the Securities of such series are Original Issue Discount Securities or Indexed Securities, such portion of the principal amount of such Securities as may be specified in the terms thereof) to be due and payable immediately and upon any such declaration such principal amount (or specified amount) shall become immediately due and payable. If an Event of Default specified in Section 501(5) or (6) occurs, the principal of all the Securities then Outstanding (or if any such Securities are Original Issue Discount Securities or Indexed Securities, such portion of the principal amount of such Securities as may be specified in the terms thereof) shall automatically become and be immediately due and payable without any declaration or other act or notice on the part of the Trustee or any Holders of the Securities.</w:t>
      </w:r>
    </w:p>
    <w:p>
      <w:pPr>
        <w:spacing w:after="0" w:line="19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one or more series has been made and before a judgment or decree for payment of the money due has been obtained by the Trustee as hereinafter in this Article provided, the Event or Events of Default giving rise to such declaration of acceleration shall, without further act, be deemed to have been waived, and such declaration and its consequences shall, without further act, be deemed to have been rescinded and annulled, if</w:t>
      </w:r>
    </w:p>
    <w:p>
      <w:pPr>
        <w:spacing w:after="0" w:line="72" w:lineRule="exact"/>
        <w:rPr>
          <w:sz w:val="20"/>
          <w:szCs w:val="20"/>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irrevocably with the Trustee a sum sufficient to pay</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Securities of any such series,</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such series that have become due otherwise than by such declaration of acceleration and interest thereon at the rate or rates prescribed therefor in such Securities,</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or rates borne by such Securities, unless another rate is provided in such Securities, and</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to the Trustee under Section 607;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65" w:name="page66"/>
    <w:bookmarkEnd w:id="65"/>
    <w:p>
      <w:pPr>
        <w:ind w:left="440" w:right="120" w:firstLine="419"/>
        <w:spacing w:after="0" w:line="282" w:lineRule="auto"/>
        <w:tabs>
          <w:tab w:leader="none" w:pos="11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Event of Default or impair any right consequent thereon.</w:t>
      </w:r>
    </w:p>
    <w:p>
      <w:pPr>
        <w:spacing w:after="0" w:line="223"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Collection of Indebtedness and Suits for Enforcement by Trustee</w:t>
      </w:r>
      <w:r>
        <w:rPr>
          <w:rFonts w:ascii="Times New Roman" w:cs="Times New Roman" w:eastAsia="Times New Roman" w:hAnsi="Times New Roman"/>
          <w:sz w:val="18"/>
          <w:szCs w:val="18"/>
          <w:color w:val="auto"/>
        </w:rPr>
        <w:t>. If an Event of Default described in clause (1) or (2) of Section 501 has occurred and is continuing, the Company shall, upon demand of the Trustee, pay to the Trustee, for the benefit of the Holders of the Securities of the series with respect to which such Event of Default has occurred, the whole amount then due and payable on such Securities for principal and any premium or interest and, to the extent that payment of such interest shall be legally enforceable, interest on any overdue principal and premium and on any overdue interest, at the rate or rates borne by such Securities, unless another rate is provided in such Securities, and, in addition thereto, such further amount as shall be sufficient to cover any amounts due to the Trustee under Section 607.</w:t>
      </w:r>
    </w:p>
    <w:p>
      <w:pPr>
        <w:spacing w:after="0" w:line="18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deems most effectual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77" w:lineRule="exact"/>
        <w:rPr>
          <w:sz w:val="20"/>
          <w:szCs w:val="20"/>
          <w:color w:val="auto"/>
        </w:rPr>
      </w:pPr>
    </w:p>
    <w:p>
      <w:pPr>
        <w:ind w:left="980" w:firstLine="408"/>
        <w:spacing w:after="0" w:line="266" w:lineRule="auto"/>
        <w:tabs>
          <w:tab w:leader="none" w:pos="15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premium or interest owing and unpaid in respect of the Securities and to file such other papers or documents as may be necessary or advisable in order to have the claims of the Trustee (including any claim for amounts due to the Trustee under Section 607) and of the Holders allowed in such judicial proceeding, and</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it under Section 607.</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4"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Trustee May Enforce Claims Without Possession of Securities</w:t>
      </w:r>
      <w:r>
        <w:rPr>
          <w:rFonts w:ascii="Times New Roman" w:cs="Times New Roman" w:eastAsia="Times New Roman" w:hAnsi="Times New Roman"/>
          <w:sz w:val="18"/>
          <w:szCs w:val="18"/>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amounts due to the Trustee under Section 607, be for the ratable benefit of the Holders of the Securities in respect of which such judgment has been recovered.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66" w:name="page67"/>
    <w:bookmarkEnd w:id="66"/>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506. </w:t>
      </w:r>
      <w:r>
        <w:rPr>
          <w:rFonts w:ascii="Times New Roman" w:cs="Times New Roman" w:eastAsia="Times New Roman" w:hAnsi="Times New Roman"/>
          <w:sz w:val="18"/>
          <w:szCs w:val="18"/>
          <w:i w:val="1"/>
          <w:iCs w:val="1"/>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and any premium and interest, upon presentation of the Securities in respect of which or for the benefit of which such money shall have been collected and the notation thereon of the payment if only partially paid and upon surrender thereof if fully paid:</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607;</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The balance, if any,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such payment to Holders of Securities.</w:t>
      </w:r>
    </w:p>
    <w:p>
      <w:pPr>
        <w:spacing w:after="0" w:line="223" w:lineRule="exact"/>
        <w:rPr>
          <w:sz w:val="20"/>
          <w:szCs w:val="20"/>
          <w:color w:val="auto"/>
        </w:rPr>
      </w:pPr>
    </w:p>
    <w:p>
      <w:pPr>
        <w:ind w:right="260" w:firstLine="991"/>
        <w:spacing w:after="0" w:line="315"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i w:val="1"/>
          <w:iCs w:val="1"/>
          <w:color w:val="auto"/>
        </w:rPr>
        <w:t>Limitation on Suits</w:t>
      </w:r>
      <w:r>
        <w:rPr>
          <w:rFonts w:ascii="Times New Roman" w:cs="Times New Roman" w:eastAsia="Times New Roman" w:hAnsi="Times New Roman"/>
          <w:sz w:val="17"/>
          <w:szCs w:val="17"/>
          <w:color w:val="auto"/>
        </w:rPr>
        <w:t>. No Holder of any Security of any series shall have any right to institute any proceeding, judicial or otherwise, with respect to this Indenture or such Security, or for the appointment of a receiver or trustee, or for any other remedy hereunder, unless</w:t>
      </w:r>
    </w:p>
    <w:p>
      <w:pPr>
        <w:spacing w:after="0" w:line="29" w:lineRule="exact"/>
        <w:rPr>
          <w:sz w:val="20"/>
          <w:szCs w:val="20"/>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against the reasonable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78" w:lineRule="exact"/>
        <w:rPr>
          <w:sz w:val="20"/>
          <w:szCs w:val="20"/>
          <w:color w:val="auto"/>
        </w:rPr>
      </w:pPr>
    </w:p>
    <w:p>
      <w:pPr>
        <w:jc w:val="both"/>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Unconditional Right of Holders to Receive Principal, Premium and Interest</w:t>
      </w:r>
      <w:r>
        <w:rPr>
          <w:rFonts w:ascii="Times New Roman" w:cs="Times New Roman" w:eastAsia="Times New Roman" w:hAnsi="Times New Roman"/>
          <w:sz w:val="18"/>
          <w:szCs w:val="18"/>
          <w:color w:val="auto"/>
        </w:rPr>
        <w:t>. Notwithstanding any other provision in this Indenture, the Holder of any Security shall have the right, which is absolute and unconditional, to receive payment of the principal of and premium and (subject to Section 307) interest on such Security on the Stated Maturity or Maturities expressed in such Security (or, in the case of redemption, on the Redemption Date, or, in the case of repayment at the option of the Holder, on the Repayment Date) and to institute suit for the enforcement of any such payment, and such rights shall not be impaired without the consent of such Holder.</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8" w:right="479" w:bottom="1440" w:gutter="0" w:footer="0" w:header="0"/>
        </w:sectPr>
      </w:pPr>
    </w:p>
    <w:bookmarkStart w:id="67" w:name="page68"/>
    <w:bookmarkEnd w:id="6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509.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such Holder shall be restored severally and respectively to their former positions hereunder and thereafter all rights and remedies of the Trustee and such Holder shall continue as though no such proceeding had been instituted.</w:t>
      </w:r>
    </w:p>
    <w:p>
      <w:pPr>
        <w:spacing w:after="0" w:line="183" w:lineRule="exact"/>
        <w:rPr>
          <w:sz w:val="20"/>
          <w:szCs w:val="20"/>
          <w:color w:val="auto"/>
        </w:rPr>
      </w:pPr>
    </w:p>
    <w:p>
      <w:pPr>
        <w:ind w:right="14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i w:val="1"/>
          <w:iCs w:val="1"/>
          <w:color w:val="auto"/>
        </w:rPr>
        <w:t>Rights and Remedies Cumulative</w:t>
      </w:r>
      <w:r>
        <w:rPr>
          <w:rFonts w:ascii="Times New Roman" w:cs="Times New Roman" w:eastAsia="Times New Roman" w:hAnsi="Times New Roman"/>
          <w:sz w:val="17"/>
          <w:szCs w:val="17"/>
          <w:color w:val="auto"/>
        </w:rPr>
        <w:t>.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8"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Control by Holders</w:t>
      </w:r>
      <w:r>
        <w:rPr>
          <w:rFonts w:ascii="Times New Roman" w:cs="Times New Roman" w:eastAsia="Times New Roman" w:hAnsi="Times New Roman"/>
          <w:sz w:val="18"/>
          <w:szCs w:val="18"/>
          <w:color w:val="auto"/>
        </w:rPr>
        <w:t xml:space="preserve">. If an Event of Default shall have occurred and be continuing in respect of a series of Securities, the Holders of a majority in aggregate principal amount of the Outstanding Securities of that series shall have the right to direct the time, method and place of conducting any proceeding for any remedy available to the Trustee, or exercising any trust or power conferred on the Trustee, with respect to the Securities of such series or Tranche;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Event of Default has occurred and is continuing with respect to more than one series of Securities of equal ranking, the Holders of a majority in aggregate principal amount of the Outstanding Securities of all such series of equal ranking, considered as one class, shall have the right to make such direction, and not the Holders of the Securities of any one of such series of equal ranking;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w:t>
      </w:r>
    </w:p>
    <w:p>
      <w:pPr>
        <w:spacing w:after="0" w:line="77" w:lineRule="exact"/>
        <w:rPr>
          <w:sz w:val="20"/>
          <w:szCs w:val="20"/>
          <w:color w:val="auto"/>
        </w:rPr>
      </w:pPr>
    </w:p>
    <w:p>
      <w:pPr>
        <w:ind w:left="1120" w:hanging="261"/>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xml:space="preserve">. The Holders of not less than a majority in aggregate principal amount of the Outstanding Securities of any series may on behalf of the Holders of all the Securities of such series waive any past default hereunder with respect to such series and its consequences;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past default has occurred with respect to more than one series of Securities of equal ranking, the Holders of a majority in aggregate principal amount of the Outstanding Securities of all such series of equal ranking, considered as one class, may make such waiver, and not the Holders of the Securities of any one of such series of equal ranking, in each case, except a default</w:t>
      </w:r>
    </w:p>
    <w:p>
      <w:pPr>
        <w:spacing w:after="0" w:line="77" w:lineRule="exact"/>
        <w:rPr>
          <w:sz w:val="20"/>
          <w:szCs w:val="20"/>
          <w:color w:val="auto"/>
        </w:rPr>
      </w:pPr>
    </w:p>
    <w:p>
      <w:pPr>
        <w:ind w:left="1120" w:hanging="261"/>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interest on any Security of such series, or</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that under Section 902 cannot be modified or amended without the consent of the Holder of each Outstanding Security of such series affected.</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68" w:name="page69"/>
    <w:bookmarkEnd w:id="68"/>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514.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All parties to this Indenture agree, and each Holder of any Security by such Holder’s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aggregate principal amount of the Outstanding Securities of all series in respect of which such suit may be brought, considered as one class, or to any suit instituted by any Holder for the enforcement of the payment of the principal of or any premium or interest on any Security on or after the Stated Maturity or Maturities expressed in such Security (or, in the case of redemption, on or after the Redemption Date, or, in the case of repayment at the option of the Holder, on or after the Repayment Date).</w:t>
      </w:r>
    </w:p>
    <w:p>
      <w:pPr>
        <w:spacing w:after="0" w:line="18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i w:val="1"/>
          <w:iCs w:val="1"/>
          <w:color w:val="auto"/>
        </w:rPr>
        <w:t>Waiver of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Certain Duties and Responsibilities</w:t>
      </w:r>
      <w:r>
        <w:rPr>
          <w:rFonts w:ascii="Times New Roman" w:cs="Times New Roman" w:eastAsia="Times New Roman" w:hAnsi="Times New Roman"/>
          <w:sz w:val="18"/>
          <w:szCs w:val="18"/>
          <w:color w:val="auto"/>
        </w:rPr>
        <w:t>. (A) Except during the continuance of an Event of Default with respect to Securities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series,</w:t>
      </w:r>
    </w:p>
    <w:p>
      <w:pPr>
        <w:spacing w:after="0" w:line="99" w:lineRule="exact"/>
        <w:rPr>
          <w:sz w:val="20"/>
          <w:szCs w:val="20"/>
          <w:color w:val="auto"/>
        </w:rPr>
      </w:pPr>
    </w:p>
    <w:p>
      <w:pPr>
        <w:ind w:left="440" w:right="140" w:firstLine="419"/>
        <w:spacing w:after="0" w:line="282"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Securities of any series has occurred and is continuing, the Trustee shall exercise, with respect to Securities of such series, such of the rights and powers vested in it by this Indenture, and use the same degree of care and skill in their exercise, as a prudent man would exercise or use under the circumstances in the conduct of his own affairs.</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Indenture shall be construed to relieve the Trustee from liability for its own negligent action, its own negligent failure to act, or its own willful misconduct,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w:t>
      </w:r>
    </w:p>
    <w:p>
      <w:pPr>
        <w:spacing w:after="0" w:line="54" w:lineRule="exact"/>
        <w:rPr>
          <w:sz w:val="20"/>
          <w:szCs w:val="20"/>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8" w:right="459" w:bottom="1440" w:gutter="0" w:footer="0" w:header="0"/>
        </w:sectPr>
      </w:pPr>
    </w:p>
    <w:bookmarkStart w:id="69" w:name="page70"/>
    <w:bookmarkEnd w:id="69"/>
    <w:p>
      <w:pPr>
        <w:ind w:left="440" w:right="260" w:firstLine="419"/>
        <w:spacing w:after="0" w:line="266" w:lineRule="auto"/>
        <w:tabs>
          <w:tab w:leader="none" w:pos="111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Indenture shall require the Trustee to expend or risk its own funds or otherwise incur any financial liability in the performance of any of its duties hereunder, or in the exercise of any of its rights or powers, if it has reasonable grounds for believing that repayment of such funds or adequate indemnity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xml:space="preserve">. Within 90 days after the occurrence of any default hereunder with respect to the Securities of any series, the Trustee shall transmit by mail to all Holders of Securities of such series entitled to receive reports pursuant to Section 704(3) notice of such default hereunder known to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Officers of the Trustee in good faith determine that the withholding of such notice is in the interest of the Holders of Securities of such series;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default of the character specified in Section 501(4) with respect to Securities of such series, no such notice to Holders shall be given until at least 75 days after the occurrence thereof. For the purpose of this Section, the term “</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any event that is, or after notice or lapse of time or both would become, an Event of Default with respect to Securities of such series.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Certain Rights of Trustee</w:t>
      </w:r>
      <w:r>
        <w:rPr>
          <w:rFonts w:ascii="Times New Roman" w:cs="Times New Roman" w:eastAsia="Times New Roman" w:hAnsi="Times New Roman"/>
          <w:sz w:val="18"/>
          <w:szCs w:val="18"/>
          <w:color w:val="auto"/>
        </w:rPr>
        <w:t>. Subject to the provisions of Section 601 and to the applicable provisions of the Trust Indenture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99" w:lineRule="exact"/>
        <w:rPr>
          <w:sz w:val="20"/>
          <w:szCs w:val="20"/>
          <w:color w:val="auto"/>
        </w:rPr>
      </w:pPr>
    </w:p>
    <w:p>
      <w:pPr>
        <w:jc w:val="both"/>
        <w:ind w:right="140" w:firstLine="987"/>
        <w:spacing w:after="0" w:line="266"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pacing w:after="0" w:line="161"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 such Officer’s Certificate, in the absence of negligence or bad faith on the part of the Trustee, shall be full warrant to the Trustee for any action taken, suffered or omitted by it under the provisions of this Indenture upon the faith thereof;</w:t>
      </w:r>
    </w:p>
    <w:p>
      <w:pPr>
        <w:spacing w:after="0" w:line="179"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that might be incurred by it in compliance with such request or direction;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70" w:name="page71"/>
    <w:bookmarkEnd w:id="70"/>
    <w:p>
      <w:pPr>
        <w:ind w:right="100" w:firstLine="987"/>
        <w:spacing w:after="0" w:line="266" w:lineRule="auto"/>
        <w:tabs>
          <w:tab w:leader="none" w:pos="12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4"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i w:val="1"/>
          <w:iCs w:val="1"/>
          <w:color w:val="auto"/>
        </w:rPr>
        <w:t>Not Responsible for Recitals or Issuance of Securities</w:t>
      </w:r>
      <w:r>
        <w:rPr>
          <w:rFonts w:ascii="Times New Roman" w:cs="Times New Roman" w:eastAsia="Times New Roman" w:hAnsi="Times New Roman"/>
          <w:sz w:val="17"/>
          <w:szCs w:val="17"/>
          <w:color w:val="auto"/>
        </w:rPr>
        <w:t>. The recitals contained herein and in the Securities, except the Trustee’s certificate of authentication, shall be taken as the statements of the Company, and the Trustee or any Authenticating Agent assumes no responsibility for their correctness. The Trustee makes no representations as to the validity or sufficiency of this Indenture or of the Securities of any series. The Trustee or any Authenticating Agent shall not be accountable for the use or application by the Company of Securities or the proceeds thereof.</w:t>
      </w:r>
    </w:p>
    <w:p>
      <w:pPr>
        <w:spacing w:after="0" w:line="16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May Hold Securities</w:t>
      </w:r>
      <w:r>
        <w:rPr>
          <w:rFonts w:ascii="Times New Roman" w:cs="Times New Roman" w:eastAsia="Times New Roman" w:hAnsi="Times New Roman"/>
          <w:sz w:val="18"/>
          <w:szCs w:val="18"/>
          <w:color w:val="auto"/>
        </w:rPr>
        <w:t>. The Trustee, any Authenticating Agent, any Paying Agent, any Security Registrar or any other agent 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0" w:lineRule="exact"/>
        <w:rPr>
          <w:sz w:val="20"/>
          <w:szCs w:val="20"/>
          <w:color w:val="auto"/>
        </w:rPr>
      </w:pPr>
    </w:p>
    <w:p>
      <w:pPr>
        <w:ind w:right="40"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i w:val="1"/>
          <w:iCs w:val="1"/>
          <w:color w:val="auto"/>
        </w:rPr>
        <w:t>Money Held in Trust</w:t>
      </w:r>
      <w:r>
        <w:rPr>
          <w:rFonts w:ascii="Times New Roman" w:cs="Times New Roman" w:eastAsia="Times New Roman" w:hAnsi="Times New Roman"/>
          <w:sz w:val="17"/>
          <w:szCs w:val="17"/>
          <w:color w:val="auto"/>
        </w:rPr>
        <w:t>. Money held by the Trustee or by any Paying Agent (other than the Company if the Company shall act as Paying Agent) in trust hereunder need not be segregated from other funds except to the extent required by law. Neither the Trustee nor any Paying Agent shall be liable for interest on any money received by it hereunder except as expressly provided herein or otherwise agreed with the Company.</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607. Compensation and Reimbursement. The Company agrees</w:t>
      </w:r>
    </w:p>
    <w:p>
      <w:pPr>
        <w:spacing w:after="0" w:line="117" w:lineRule="exact"/>
        <w:rPr>
          <w:sz w:val="20"/>
          <w:szCs w:val="20"/>
          <w:color w:val="auto"/>
        </w:rPr>
      </w:pPr>
    </w:p>
    <w:p>
      <w:pPr>
        <w:ind w:left="440" w:right="80" w:firstLine="419"/>
        <w:spacing w:after="0" w:line="282"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 for, and to hold it harmless against, any loss, liability or expense reasonably incurred without negligence, willful misconduct or bad faith on its part, arising out of or in connection with the acceptance or administration of the trust or trusts hereunder or performance of its duties hereunder, including the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the Trustee shall have a claim prior to the Securities upon all property and funds held or collected by the Trustee as such, except property and funds held in trust for the payment of principal of and any premium and interest on particular Securities.</w:t>
      </w:r>
    </w:p>
    <w:p>
      <w:pPr>
        <w:spacing w:after="0" w:line="174"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Disqualification; Conflicting Interests</w:t>
      </w:r>
      <w:r>
        <w:rPr>
          <w:rFonts w:ascii="Times New Roman" w:cs="Times New Roman" w:eastAsia="Times New Roman" w:hAnsi="Times New Roman"/>
          <w:sz w:val="18"/>
          <w:szCs w:val="18"/>
          <w:color w:val="auto"/>
        </w:rPr>
        <w:t>. If the Trustee has or acquires any conflicting interest within the meaning of the Trust Indenture Act with respect to the Securities of any series,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equally ranked and unsecured Securities of any series, shall not be deemed to have a conflicting interest arising from its capacity as trustee in respect of the equally ranked and unsecured Securities of any other series under this Indenture.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71" w:name="page72"/>
    <w:bookmarkEnd w:id="71"/>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609. </w:t>
      </w:r>
      <w:r>
        <w:rPr>
          <w:rFonts w:ascii="Times New Roman" w:cs="Times New Roman" w:eastAsia="Times New Roman" w:hAnsi="Times New Roman"/>
          <w:sz w:val="18"/>
          <w:szCs w:val="18"/>
          <w:i w:val="1"/>
          <w:iCs w:val="1"/>
          <w:color w:val="auto"/>
        </w:rPr>
        <w:t>Corporate Trustee Required; Eligibility</w:t>
      </w:r>
      <w:r>
        <w:rPr>
          <w:rFonts w:ascii="Times New Roman" w:cs="Times New Roman" w:eastAsia="Times New Roman" w:hAnsi="Times New Roman"/>
          <w:sz w:val="18"/>
          <w:szCs w:val="18"/>
          <w:color w:val="auto"/>
        </w:rPr>
        <w:t xml:space="preserve">. There shall at all times be a Trustee hereunder that shall be a Person that is eligible pursuant to the Trust Indenture Act to act as such, having a combined capital and surplus of at least $50,000,000, subject to supervision or examination by federal or state authority and qualified and eligible under this Article,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any Affiliate of the Company or any obligor on the Securities may serve as Trustee of any Securities.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ceases to be eligible in accordance with the provisions of this Section, it shall resign immediately in the manner and with the effect hereinafter specified in this Article.</w:t>
      </w:r>
    </w:p>
    <w:p>
      <w:pPr>
        <w:spacing w:after="0" w:line="185"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and Removal; Appointment of Successor</w:t>
      </w:r>
      <w:r>
        <w:rPr>
          <w:rFonts w:ascii="Times New Roman" w:cs="Times New Roman" w:eastAsia="Times New Roman" w:hAnsi="Times New Roman"/>
          <w:sz w:val="18"/>
          <w:szCs w:val="18"/>
          <w:color w:val="auto"/>
        </w:rPr>
        <w:t>. (A)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5" w:lineRule="exact"/>
        <w:rPr>
          <w:sz w:val="20"/>
          <w:szCs w:val="20"/>
          <w:color w:val="auto"/>
        </w:rPr>
      </w:pPr>
    </w:p>
    <w:p>
      <w:pPr>
        <w:ind w:right="120" w:firstLine="987"/>
        <w:spacing w:after="0" w:line="261" w:lineRule="auto"/>
        <w:tabs>
          <w:tab w:leader="none" w:pos="124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the instrument of acceptance by a successor Trustee required by Section 611 has not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by a Board Resolution remove the Trustee with respect to the Securities of any or all series.</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aggregate principal amount of the Outstanding Securities of such series, delivered to the Trustee and to the Company.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608 with respect to the Securities of any series, after written request therefor by the Company or by any Holder who has been a bona fide Holder of a Security of such series for at least six months, or</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ceases to be eligible under Section 609 and fails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 or becomes adjudged a bankrupt or insolvent or a receiver of the Trustee or of its property is appointed or any public officer takes charge or control of the Trustee or of its property or affairs for the purpose of rehabilitation, conservation or liquidation,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then, in any such case,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6" w:lineRule="exact"/>
        <w:rPr>
          <w:sz w:val="20"/>
          <w:szCs w:val="20"/>
          <w:color w:val="auto"/>
        </w:rPr>
      </w:pPr>
    </w:p>
    <w:p>
      <w:pPr>
        <w:ind w:firstLine="987"/>
        <w:spacing w:after="0" w:line="255" w:lineRule="auto"/>
        <w:tabs>
          <w:tab w:leader="none" w:pos="12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is removed or becomes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is appointed by Act of the Holders of a majority in aggregate principal amount of the Outstanding Securities of such series delivered to the Company and the retiring Trustee, the successor Trustee so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8" w:right="47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has been so appointed by the Company or the Holders and accepted appointment in the manner required by Section 611, any Holder who has been a bona fide Holder of a Security of such series for at least six months may, subject to Section 514, on behalf of himself and all others similarly situated, petition any court of competent jurisdiction for the appointment of a successor Trustee with respect to the Securities of such series.</w:t>
      </w:r>
    </w:p>
    <w:p>
      <w:pPr>
        <w:spacing w:after="0" w:line="187" w:lineRule="exact"/>
        <w:rPr>
          <w:sz w:val="20"/>
          <w:szCs w:val="20"/>
          <w:color w:val="auto"/>
        </w:rPr>
      </w:pPr>
    </w:p>
    <w:p>
      <w:pPr>
        <w:ind w:right="180" w:firstLine="987"/>
        <w:spacing w:after="0" w:line="261"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entitled to receive reports pursuant to Section 704(3). Each notice shall include the name of the successor Trustee with respect to the Securities of such series and the address of its Corporate Trust Office.</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this Section except subparagraph (d) and Section 611(b) (except for the last clause, after omitting the words “after deducting all amounts owed to the retiring Trustee pursuant to Section 607,” which shall apply) shall apply also to any Paying Agent located outside the United States and its possessions.</w:t>
      </w:r>
    </w:p>
    <w:p>
      <w:pPr>
        <w:spacing w:after="0" w:line="174"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Acceptance of Appointment by Successor</w:t>
      </w:r>
      <w:r>
        <w:rPr>
          <w:rFonts w:ascii="Times New Roman" w:cs="Times New Roman" w:eastAsia="Times New Roman" w:hAnsi="Times New Roman"/>
          <w:sz w:val="18"/>
          <w:szCs w:val="18"/>
          <w:color w:val="auto"/>
        </w:rPr>
        <w:t>. (A) In case of the appointment hereunder of a successor Trustee with respect to the Securities of all series,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5" w:lineRule="exact"/>
        <w:rPr>
          <w:sz w:val="20"/>
          <w:szCs w:val="20"/>
          <w:color w:val="auto"/>
        </w:rPr>
      </w:pPr>
    </w:p>
    <w:p>
      <w:pPr>
        <w:ind w:firstLine="987"/>
        <w:spacing w:after="0" w:line="252"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4"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73" w:name="page74"/>
    <w:bookmarkEnd w:id="73"/>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Times New Roman" w:cs="Times New Roman" w:eastAsia="Times New Roman" w:hAnsi="Times New Roman"/>
          <w:sz w:val="18"/>
          <w:szCs w:val="18"/>
          <w:i w:val="1"/>
          <w:iCs w:val="1"/>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w:t>
      </w:r>
    </w:p>
    <w:p>
      <w:pPr>
        <w:spacing w:after="0" w:line="188" w:lineRule="exact"/>
        <w:rPr>
          <w:sz w:val="20"/>
          <w:szCs w:val="20"/>
          <w:color w:val="auto"/>
        </w:rPr>
      </w:pPr>
    </w:p>
    <w:p>
      <w:pPr>
        <w:jc w:val="both"/>
        <w:ind w:right="6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Preferential Collection of Claims Against Company</w:t>
      </w:r>
      <w:r>
        <w:rPr>
          <w:rFonts w:ascii="Times New Roman" w:cs="Times New Roman" w:eastAsia="Times New Roman" w:hAnsi="Times New Roman"/>
          <w:sz w:val="18"/>
          <w:szCs w:val="18"/>
          <w:color w:val="auto"/>
        </w:rPr>
        <w:t>. The Trustee shall comply with Trust Indenture Act § 311(a), excluding any creditor relationship listed in Trust Indenture Act § 311(b). A Trustee who has resigned or been removed shall be subject to Trust Indenture Act § 311(a) to the extent indicated therein.</w:t>
      </w:r>
    </w:p>
    <w:p>
      <w:pPr>
        <w:spacing w:after="0" w:line="17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Appointment of Authenticating Agent</w:t>
      </w:r>
      <w:r>
        <w:rPr>
          <w:rFonts w:ascii="Times New Roman" w:cs="Times New Roman" w:eastAsia="Times New Roman" w:hAnsi="Times New Roman"/>
          <w:sz w:val="18"/>
          <w:szCs w:val="18"/>
          <w:color w:val="auto"/>
        </w:rPr>
        <w:t>. (A) At any time when any of the Securities remain Outstanding the Trustee may appoint an Authenticating Agent or Agents (which may include any Person that owns, directly or indirectly, all of the capital stock of the Trustee or a corporation that is a wholly-owned subsidiary of the Trustee or of such other Person) with respect to one or more series of Securities, or any Tranche thereof, that shall be authorized to act on behalf of the Trustee to authenticate Securities of such series or Tranche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in the United States.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ceases to be eligible in accordance with the provisions of this Section, such Authenticating Agent shall resign immediately in the manner and with the effect specified in this Section.</w:t>
      </w:r>
    </w:p>
    <w:p>
      <w:pPr>
        <w:spacing w:after="0" w:line="197" w:lineRule="exact"/>
        <w:rPr>
          <w:sz w:val="20"/>
          <w:szCs w:val="20"/>
          <w:color w:val="auto"/>
        </w:rPr>
      </w:pPr>
    </w:p>
    <w:p>
      <w:pPr>
        <w:ind w:right="100" w:firstLine="987"/>
        <w:spacing w:after="0" w:line="258"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eligible under this Section, without the execution or filing of any paper or any further act on the part of the Trustee or the Authenticating Agent.</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Authenticating Agent may resign with respect to one or more series of Securities at any time by giving written notice thereof to the Trustee and to the Company. The Trustee may at any time terminate the agency of an Authenticating Agent with respect to one or more series of Securities by giving written notice thereof to such Authenticating Agent and to the Company. Upon receiving such a notice of resignation or upon such a termination, or in case at any time such Authenticating Agent ceases to be eligible in accordance with the provisions of this Section, the Trustee may appoint a successor Authenticating Agent that is acceptable to the Company and shall provide notice of such appointment to all Holders of Securities of the series or Tranche with respect to which such Authenticating Agent will serve, as provided in paragraph (a) of this Section.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An Authenticating Agent appointed pursuant to this Section shall be entitled to rely on Sections 111, 308, 604 and 605 hereunder.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74" w:name="page75"/>
    <w:bookmarkEnd w:id="74"/>
    <w:p>
      <w:pPr>
        <w:ind w:right="100" w:firstLine="987"/>
        <w:spacing w:after="0" w:line="282"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61"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appointment with respect to the Securities of one or more series, or any Tranche thereof, is made pursuant to this Section, the Securities of such series or Tranche may have endorsed thereon, in addition to the Trustee’s certificate of authentication, an alternate certificate of authentication in the following form:</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pursuant to and issued under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on behalf of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 of Authenticating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firstLine="987"/>
        <w:spacing w:after="0" w:line="258" w:lineRule="auto"/>
        <w:tabs>
          <w:tab w:leader="none" w:pos="121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of the Securities of a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and in accordance with such procedures as shall be acceptable to the Trustee, an Authenticating Agent (which, if so requested by the</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Company, may be an Affiliate of the Company) having an office in a Place of Payment designated by the Company with respect to such series of Securities.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right="120" w:firstLine="987"/>
        <w:spacing w:after="0" w:line="256"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the 15th day after each Regular Record Date for each series of Securities at the time Outstanding or on June 30 and December 31 of each year with respect to each series of Securities for which there are no Regular Record Dates, a list, in such form as the Trustee may reasonably require, containing all the information in the possession or control of the Company, or any of its Paying Agents other than the Trustee, of the names and addresses of the Holders of Securities of such series, including Holders of interests in Global Securities, as of such preceding Regular Record Date or on June 15 or December 15, as the case may be, or, in the case of a series of non-interest bearing Securities, on a date to be determined as contemplated pursuant to Section 301(b),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75" w:name="page76"/>
    <w:bookmarkEnd w:id="75"/>
    <w:p>
      <w:pPr>
        <w:ind w:right="80"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excluding </w:t>
      </w:r>
      <w:r>
        <w:rPr>
          <w:rFonts w:ascii="Times New Roman" w:cs="Times New Roman" w:eastAsia="Times New Roman" w:hAnsi="Times New Roman"/>
          <w:sz w:val="17"/>
          <w:szCs w:val="17"/>
          <w:color w:val="auto"/>
        </w:rPr>
        <w:t>from any such list names and addresses received by the Trustee in its capacity as Security Registrar for Securities other than Global Securities.</w:t>
      </w:r>
    </w:p>
    <w:p>
      <w:pPr>
        <w:spacing w:after="0" w:line="237"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Preservation of Information; Communications to Holders</w:t>
      </w:r>
      <w:r>
        <w:rPr>
          <w:rFonts w:ascii="Times New Roman" w:cs="Times New Roman" w:eastAsia="Times New Roman" w:hAnsi="Times New Roman"/>
          <w:sz w:val="18"/>
          <w:szCs w:val="18"/>
          <w:color w:val="auto"/>
        </w:rPr>
        <w:t>. (A) The Trustee shall preserve, in as current a form as is reasonably practicable, the names and addresses of Holders of Securities contained in the most recent list furnished to the Trustee as provided in Section 701 and the names and addresses of Holders of Securities received by the Trustee in its capacity as Security Registrar or Paying Agent. The Trustee may destroy any list furnished to it as provided in Section 701 upon receipt of a new list so furnished.</w:t>
      </w:r>
    </w:p>
    <w:p>
      <w:pPr>
        <w:spacing w:after="0" w:line="182" w:lineRule="exact"/>
        <w:rPr>
          <w:sz w:val="20"/>
          <w:szCs w:val="20"/>
          <w:color w:val="auto"/>
        </w:rPr>
      </w:pPr>
    </w:p>
    <w:p>
      <w:pPr>
        <w:ind w:right="40" w:firstLine="987"/>
        <w:spacing w:after="0" w:line="258"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three or more Holders (herein referred to as “applicants”) apply in writing to the Trustee, and furnish to the Trustee reasonable proof 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that such applicants propose to transmit, then the Trustee shall, within five business days after the receipt of such application, at its election, either</w:t>
      </w:r>
    </w:p>
    <w:p>
      <w:pPr>
        <w:spacing w:after="0" w:line="75"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such applicants access to the information preserved at the time by the Trustee in accordance with Section 702(a), or</w:t>
      </w:r>
    </w:p>
    <w:p>
      <w:pPr>
        <w:spacing w:after="0" w:line="117" w:lineRule="exact"/>
        <w:rPr>
          <w:rFonts w:ascii="Times New Roman" w:cs="Times New Roman" w:eastAsia="Times New Roman" w:hAnsi="Times New Roman"/>
          <w:sz w:val="18"/>
          <w:szCs w:val="18"/>
          <w:color w:val="auto"/>
        </w:rPr>
      </w:pPr>
    </w:p>
    <w:p>
      <w:pPr>
        <w:ind w:left="1420" w:firstLine="391"/>
        <w:spacing w:after="0" w:line="266" w:lineRule="auto"/>
        <w:tabs>
          <w:tab w:leader="none" w:pos="206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such applicants as to the approximate number of Holders whose names and addresses appear in the information preserved at the time by the Trustee in accordance with Section 702(a), and as to the approximate cost of mailing to such Holders the form of proxy or other communication, if any, specified in such application.</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If the Trustee elects not to afford such applicants access to such information, the Trustee shall, upon the written request of such applicants, mail to each Holder whose name and address appear in the information preserved at the time by the Trustee in accordance with Section 702(a) a copy of the form of proxy or other communication that is specified in such request, with reasonable promptness after a tender to the Trustee by the applicants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enters an order refusing to sustain any of such objections or if, after the entry of an order sustaining one or more of such objections, the Commission finds, after notice and opportunity for hearing, that all the objections so sustained have been met and enters an order so declaring, the Trustee shall mail copies of such material to all such Holders with reasonable promptness after the entry of such order and the renewal of such tender by such applicants; otherwise the Trustee shall be relieved of any obligation or duty to such applicants respecting their application.</w:t>
      </w:r>
    </w:p>
    <w:p>
      <w:pPr>
        <w:spacing w:after="0" w:line="192" w:lineRule="exact"/>
        <w:rPr>
          <w:sz w:val="20"/>
          <w:szCs w:val="20"/>
          <w:color w:val="auto"/>
        </w:rPr>
      </w:pPr>
    </w:p>
    <w:p>
      <w:pPr>
        <w:ind w:right="60" w:firstLine="987"/>
        <w:spacing w:after="0" w:line="261"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any material pursuant to a request made under Section 702(b).</w:t>
      </w:r>
    </w:p>
    <w:p>
      <w:pPr>
        <w:spacing w:after="0" w:line="178" w:lineRule="exact"/>
        <w:rPr>
          <w:sz w:val="20"/>
          <w:szCs w:val="20"/>
          <w:color w:val="auto"/>
        </w:rPr>
      </w:pPr>
    </w:p>
    <w:p>
      <w:pPr>
        <w:ind w:right="4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Reports by Trustee</w:t>
      </w:r>
      <w:r>
        <w:rPr>
          <w:rFonts w:ascii="Times New Roman" w:cs="Times New Roman" w:eastAsia="Times New Roman" w:hAnsi="Times New Roman"/>
          <w:sz w:val="18"/>
          <w:szCs w:val="18"/>
          <w:color w:val="auto"/>
        </w:rPr>
        <w:t>. (A) The Trustee shall transmit to Holders such reports concerning the Trustee the Trustee and its actions under this Indenture as may be required pursuant to the Trust Indenture Act at the times and in the manner provided pursuant thereto.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76" w:name="page77"/>
    <w:bookmarkEnd w:id="76"/>
    <w:p>
      <w:pPr>
        <w:ind w:right="320" w:firstLine="987"/>
        <w:spacing w:after="0" w:line="282"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securities exchange upon which any Securities are listed, with the Commission and with the Company. The Company will notify the Trustee in writing when any Securities are listed on any securities exchange.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Reports by Company</w:t>
      </w:r>
      <w:r>
        <w:rPr>
          <w:rFonts w:ascii="Times New Roman" w:cs="Times New Roman" w:eastAsia="Times New Roman" w:hAnsi="Times New Roman"/>
          <w:sz w:val="18"/>
          <w:szCs w:val="18"/>
          <w:color w:val="auto"/>
        </w:rPr>
        <w:t>. The Company shall:</w:t>
      </w:r>
    </w:p>
    <w:p>
      <w:pPr>
        <w:spacing w:after="0" w:line="119" w:lineRule="exact"/>
        <w:rPr>
          <w:sz w:val="20"/>
          <w:szCs w:val="20"/>
          <w:color w:val="auto"/>
        </w:rPr>
      </w:pPr>
    </w:p>
    <w:p>
      <w:pPr>
        <w:ind w:left="440" w:right="20" w:firstLine="419"/>
        <w:spacing w:after="0" w:line="253"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U.S.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that may be required pursuant to Section 13 of the U.S. Securities Exchange Act of 1934 in respect of a security listed and registered on a national securities exchange as may be prescribed from time to time in such rules and regulations; and provided, however,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w:t>
      </w:r>
    </w:p>
    <w:p>
      <w:pPr>
        <w:spacing w:after="0" w:line="86"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and the Commission, in accordance with rules and regulations prescribed by the Commission, such additional information, documents and reports with respect to compliance by the Company with the conditions and covenants of this Indenture as may be required from time to time by such rules and regulations;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Securities, as their names and addresses appear in the Security Register, and to each Holder whose name and address is then preserved on the Trustee’s list pursuant to the first sentence of Section 702(a),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CONVEYANCE OR TRANSFER</w:t>
      </w:r>
    </w:p>
    <w:p>
      <w:pPr>
        <w:spacing w:after="0" w:line="20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Company May Consolidate, Etc. Only on Certain Terms</w:t>
      </w:r>
      <w:r>
        <w:rPr>
          <w:rFonts w:ascii="Times New Roman" w:cs="Times New Roman" w:eastAsia="Times New Roman" w:hAnsi="Times New Roman"/>
          <w:sz w:val="18"/>
          <w:szCs w:val="18"/>
          <w:color w:val="auto"/>
        </w:rPr>
        <w:t>. The Company shall not consolidate with or merge with or into, or convey, transfer or lease all or substantially all of its properties and assets to any Person, unless:</w:t>
      </w:r>
    </w:p>
    <w:p>
      <w:pPr>
        <w:spacing w:after="0" w:line="52" w:lineRule="exact"/>
        <w:rPr>
          <w:sz w:val="20"/>
          <w:szCs w:val="20"/>
          <w:color w:val="auto"/>
        </w:rPr>
      </w:pPr>
    </w:p>
    <w:p>
      <w:pPr>
        <w:ind w:left="440" w:right="100" w:firstLine="419"/>
        <w:spacing w:after="0" w:line="256"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Company shall be the continuing corporation or the successor corporation or (y) the Person formed by such consolidation or into which the Company is merged or the Person that acquires by conveyance, transfer or lease the properties and assets of the Company substantially as an entirety shall be a corporation organized and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Outstanding Securities and the performance of every covenant of this Indenture on the part of the Company to be performed or observed;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77" w:name="page78"/>
    <w:bookmarkEnd w:id="77"/>
    <w:p>
      <w:pPr>
        <w:ind w:left="440" w:right="300" w:firstLine="419"/>
        <w:spacing w:after="0" w:line="282"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after giving effect to such transaction, no Event of Default and no event that, after notice or lapse of time or both, would become an Event of Default, shall have occurred and be continuing;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met.</w:t>
      </w:r>
    </w:p>
    <w:p>
      <w:pPr>
        <w:spacing w:after="0" w:line="17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Successor Substituted for the Company</w:t>
      </w:r>
      <w:r>
        <w:rPr>
          <w:rFonts w:ascii="Times New Roman" w:cs="Times New Roman" w:eastAsia="Times New Roman" w:hAnsi="Times New Roman"/>
          <w:sz w:val="18"/>
          <w:szCs w:val="18"/>
          <w:color w:val="auto"/>
        </w:rPr>
        <w:t>. Upon any consolidation or merger or any conveyance, transfer or lease of all or substantially all the properties and assets of the Company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in the case of a conveyance, transfer or lease of properties and assets of the Company substantially as an entirety, such conveyance, transfer or lease shall have the effect of releasing the Person named as the “Company” in the first paragraph of this instrument or any successor Person that shall theretofore have become such in the manner prescribed in this Article from its liability as obligor and maker on any of the Securities.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5" w:lineRule="exact"/>
        <w:rPr>
          <w:sz w:val="20"/>
          <w:szCs w:val="20"/>
          <w:color w:val="auto"/>
        </w:rPr>
      </w:pPr>
    </w:p>
    <w:p>
      <w:pPr>
        <w:ind w:right="1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Supplemental Indentures Without Consent of Holders</w:t>
      </w:r>
      <w:r>
        <w:rPr>
          <w:rFonts w:ascii="Times New Roman" w:cs="Times New Roman" w:eastAsia="Times New Roman" w:hAnsi="Times New Roman"/>
          <w:sz w:val="18"/>
          <w:szCs w:val="18"/>
          <w:color w:val="auto"/>
        </w:rPr>
        <w:t>. Without the consent of any Holders, the Company and the Trustee, at any time and from time to time, may enter into one or more indentures supplemental hereto, in form satisfactory to the Trustee, for any of the following purposes:</w:t>
      </w:r>
    </w:p>
    <w:p>
      <w:pPr>
        <w:spacing w:after="0" w:line="67" w:lineRule="exact"/>
        <w:rPr>
          <w:sz w:val="20"/>
          <w:szCs w:val="20"/>
          <w:color w:val="auto"/>
        </w:rPr>
      </w:pPr>
    </w:p>
    <w:p>
      <w:pPr>
        <w:ind w:left="440" w:right="72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herein and in the Securities; or</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Securities Outstanding hereunder; 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or to add any new provision to this Indenture, in respect of one or more series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change, elimination or addition (A) shall neither (i) apply to any Security Outstanding on the date of such indenture supplemental hereto nor (ii) modify the rights of the Holder of any such Security Outstanding with respect to such provision in effect prior to the date of such indenture supplemental hereto or (B) shall become effective only when no Security of such series remains Outstanding; or</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or collateral security with respect to the Securities of any series; 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for the issuance of and establish the form or terms and conditions of Securities of any series or Tranche thereof as permitted by Section 301(b), and to establish the form of any certificates required to be furnished pursuant to the terms of this Indenture or any series of Securities;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all, or any series or Tranche of, certificated Securities; or</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separate or successor Trustee or co-trustee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78" w:name="page79"/>
    <w:bookmarkEnd w:id="78"/>
    <w:p>
      <w:pPr>
        <w:ind w:left="440" w:right="100" w:firstLine="419"/>
        <w:spacing w:after="0" w:line="261"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change any place or places where (a) the principal of or premium, if any, or interest, if any, on all or any series of Securities, or any Tranche thereof, shall be payable, (b) all or any series of Securities, or any Tranche thereof, may be surrendered for registration or transfer, (c) all or any series of Securities, or any Tranche thereof, may be surrendered for exchange and (d) notices and demands to or upon the Company in respect of all or any series of Securities, or any Tranche thereof, and this Indenture may be served;</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2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any series of Securities, or any Tranche thereof, pursuant to Article Four, provided that any such action shall not adversely affect the interests of the Holders of Securities of such series or Tranche or any other series of Securities in any material respect;</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20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cure any ambiguity or to correct or supplement any provision contained herein or in any supplemental indenture that may be defective or inconsistent with any other provision contained herein or in any supplemental indenture or (ii) to conform the terms of any series of Securities, or Tranche thereof, to the description thereof in the prospectus and prospectus supplement (or similar offering document) offering such series of Securities, or Tranche thereof; or</w:t>
      </w:r>
    </w:p>
    <w:p>
      <w:pPr>
        <w:spacing w:after="0" w:line="70" w:lineRule="exact"/>
        <w:rPr>
          <w:sz w:val="20"/>
          <w:szCs w:val="20"/>
          <w:color w:val="auto"/>
        </w:rPr>
      </w:pPr>
    </w:p>
    <w:p>
      <w:pPr>
        <w:ind w:left="440" w:right="120" w:firstLine="419"/>
        <w:spacing w:after="0" w:line="315" w:lineRule="auto"/>
        <w:tabs>
          <w:tab w:leader="none" w:pos="120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make any other provisions with respect to matters or questions arising under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action shall not adversely affect the interests of the Holders of any Securities of any series or Tranche Outstanding on the date of such indenture supplemental hereto.</w:t>
      </w:r>
    </w:p>
    <w:p>
      <w:pPr>
        <w:spacing w:after="0" w:line="137"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if the Trust Indenture Act as in effect at the date of the execution and delivery of this Indenture or at any time thereafter becomes amended and</w:t>
      </w:r>
    </w:p>
    <w:p>
      <w:pPr>
        <w:spacing w:after="0" w:line="54" w:lineRule="exact"/>
        <w:rPr>
          <w:sz w:val="20"/>
          <w:szCs w:val="20"/>
          <w:color w:val="auto"/>
        </w:rPr>
      </w:pPr>
    </w:p>
    <w:p>
      <w:pPr>
        <w:ind w:left="980" w:firstLine="408"/>
        <w:spacing w:after="0" w:line="258" w:lineRule="auto"/>
        <w:tabs>
          <w:tab w:leader="none" w:pos="159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amendment requires one or more changes to any provisions hereof or the inclusion herein of any additional provisions, or by operation of law is deemed to effect such changes or incorporate such provisions by reference or otherwise, this Indenture shall be deemed to have been amended so as to conform to such amendment to the Trust Indenture Act, and the Company and the Trustee may, without the consent of any Holders, enter into an indenture supplemental hereto to effect or evidence such changes or additional provisions; or</w:t>
      </w:r>
    </w:p>
    <w:p>
      <w:pPr>
        <w:spacing w:after="0" w:line="183" w:lineRule="exact"/>
        <w:rPr>
          <w:rFonts w:ascii="Times New Roman" w:cs="Times New Roman" w:eastAsia="Times New Roman" w:hAnsi="Times New Roman"/>
          <w:sz w:val="18"/>
          <w:szCs w:val="18"/>
          <w:color w:val="auto"/>
        </w:rPr>
      </w:pPr>
    </w:p>
    <w:p>
      <w:pPr>
        <w:ind w:right="120" w:firstLine="987"/>
        <w:spacing w:after="0" w:line="281" w:lineRule="auto"/>
        <w:tabs>
          <w:tab w:leader="none" w:pos="124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amendment permits one or more changes to, or the elimination of, any provisions hereof that, at the date hereof or at any time thereafter, are required by the Trust Indenture Act to be contained herein (or if it is no longer required by the Trust Indenture Act for the Indenture to contain one or more provisions), this Indenture shall be deemed to have been amended to effect such changes or elimination, and the Company and the Trustee may, without the consent of any Holders, enter into an indenture supplemental hereto to evidence such amendment hereof; or</w:t>
      </w:r>
    </w:p>
    <w:p>
      <w:pPr>
        <w:spacing w:after="0" w:line="164" w:lineRule="exact"/>
        <w:rPr>
          <w:rFonts w:ascii="Times New Roman" w:cs="Times New Roman" w:eastAsia="Times New Roman" w:hAnsi="Times New Roman"/>
          <w:sz w:val="17"/>
          <w:szCs w:val="17"/>
          <w:color w:val="auto"/>
        </w:rPr>
      </w:pPr>
    </w:p>
    <w:p>
      <w:pPr>
        <w:ind w:right="60" w:firstLine="987"/>
        <w:spacing w:after="0" w:line="266"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reason of any such amendment, it shall be no longer necessary for this Indenture to contain one or more provisions that, at the date of the execution and delivery hereof, are required by the Trust Indenture Act to be contained herein, the Company and the Trustee may, without the consent of any Holders, enter into an indenture supplemental hereto to effect the elimination of such provisions.</w:t>
      </w:r>
    </w:p>
    <w:p>
      <w:pPr>
        <w:spacing w:after="0" w:line="174"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Supplemental Indentures With Consent of Holders</w:t>
      </w:r>
      <w:r>
        <w:rPr>
          <w:rFonts w:ascii="Times New Roman" w:cs="Times New Roman" w:eastAsia="Times New Roman" w:hAnsi="Times New Roman"/>
          <w:sz w:val="18"/>
          <w:szCs w:val="18"/>
          <w:color w:val="auto"/>
        </w:rPr>
        <w:t>. (A) Except as set forth in paragraph (b) below, with the consent of the Holders of not less than a majority in aggregate principal amount of the Outstanding Securities of each series affected (voting as one class) by such supplemental indenture, by Act of said Holders delivered to the Company and the Trustee, the Company, when authorized by a resolution of its Board of Directors (which resolution may provide general terms or parameters for such action and may provide that the specific terms of such action may be determined in accordance with or pursuant to a Company Order), and the Trustee may, from time to time and at any time, enter into an indenture or indentures supplemental hereto for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79" w:name="page80"/>
    <w:bookmarkEnd w:id="79"/>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purpose of adding any provisions to or changing in any manner or eliminating any of the provisions of this Indenture or of any supplemental indenture or of modifying in any manner the rights of the Holders of the Securities of each such series or of modifying in any manner the rights of the Holders of Securities of such series under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are Securities of more than one series of equal ranking Outstanding hereunder and if a proposed supplemental indenture shall directly affect the rights of the Holders of Securities of one or more, but less than all, of such series, then the consent only of the Holders of not less than a majority in aggregate principal amount of the Outstanding Securities of all series so directly affected, considered as one class, shall be required.</w:t>
      </w:r>
    </w:p>
    <w:p>
      <w:pPr>
        <w:spacing w:after="0" w:line="187" w:lineRule="exact"/>
        <w:rPr>
          <w:sz w:val="20"/>
          <w:szCs w:val="20"/>
          <w:color w:val="auto"/>
        </w:rPr>
      </w:pPr>
    </w:p>
    <w:p>
      <w:pPr>
        <w:ind w:left="1240" w:hanging="253"/>
        <w:spacing w:after="0"/>
        <w:tabs>
          <w:tab w:leader="none" w:pos="12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supplemental indenture shall, without the consent of the Holder of each Outstanding Security affected thereby,</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the principal of an Original Issue Discount Security that would be due and payable upon a declaration of acceleration of the Maturity thereof pursuant to Section 502, or change the coin or currency (or other property) in which, any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 modify any provisions of this Indenture with respect to the conversion or exchange of the Securities into Securities of another series or into any other debt or equity securities in a manner adverse to the Holders, or</w:t>
      </w:r>
    </w:p>
    <w:p>
      <w:pPr>
        <w:spacing w:after="0" w:line="80"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611(b) and 901(8).</w:t>
      </w:r>
    </w:p>
    <w:p>
      <w:pPr>
        <w:spacing w:after="0" w:line="18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to approve the particular form of any proposed supplemental indenture, but it shall be sufficient if such Act shall approve the substance thereof. A waiver by a Holder of such Holder’s rights to consent under this Section shall be deemed to be a consent of such Holder.</w:t>
      </w:r>
    </w:p>
    <w:p>
      <w:pPr>
        <w:spacing w:after="0" w:line="174" w:lineRule="exact"/>
        <w:rPr>
          <w:sz w:val="20"/>
          <w:szCs w:val="20"/>
          <w:color w:val="auto"/>
        </w:rPr>
      </w:pPr>
    </w:p>
    <w:p>
      <w:pPr>
        <w:ind w:right="3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80" w:name="page81"/>
    <w:bookmarkEnd w:id="80"/>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i w:val="1"/>
          <w:iCs w:val="1"/>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Any supplemental indenture permitted by this Article may restate this Indenture in its entirety, and, upon the execution and delivery thereof, any such restatement shall supersede this Indenture as theretofore in effect for all purposes.</w:t>
      </w:r>
    </w:p>
    <w:p>
      <w:pPr>
        <w:spacing w:after="0" w:line="183" w:lineRule="exact"/>
        <w:rPr>
          <w:sz w:val="20"/>
          <w:szCs w:val="20"/>
          <w:color w:val="auto"/>
        </w:rPr>
      </w:pPr>
    </w:p>
    <w:p>
      <w:pPr>
        <w:ind w:left="4" w:right="1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58" w:lineRule="exact"/>
        <w:rPr>
          <w:sz w:val="20"/>
          <w:szCs w:val="20"/>
          <w:color w:val="auto"/>
        </w:rPr>
      </w:pPr>
    </w:p>
    <w:p>
      <w:pPr>
        <w:jc w:val="both"/>
        <w:ind w:left="4" w:right="26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906. </w:t>
      </w:r>
      <w:r>
        <w:rPr>
          <w:rFonts w:ascii="Times New Roman" w:cs="Times New Roman" w:eastAsia="Times New Roman" w:hAnsi="Times New Roman"/>
          <w:sz w:val="17"/>
          <w:szCs w:val="17"/>
          <w:i w:val="1"/>
          <w:iCs w:val="1"/>
          <w:color w:val="auto"/>
        </w:rPr>
        <w:t>Reference in Securities to Supplemental Indentures</w:t>
      </w:r>
      <w:r>
        <w:rPr>
          <w:rFonts w:ascii="Times New Roman" w:cs="Times New Roman" w:eastAsia="Times New Roman" w:hAnsi="Times New Roman"/>
          <w:sz w:val="17"/>
          <w:szCs w:val="17"/>
          <w:color w:val="auto"/>
        </w:rPr>
        <w:t>. Securities of any series, or any Tranche thereof, authenticated and delivered after the execution of any supplemental indenture pursuant to this Article may, and shall if required by the Trustee, bear a notation in form approved by the Trustee as to any matter provided for in such supplemental indenture. If the Company so determines, new Securities of any series, or any Tranche thereof, so modified as to conform, in the opinion of the Trustee and the Company, to any such supplemental indenture may be prepared and executed by the Company and authenticated and delivered by the Trustee in exchange for Outstanding Securities of such series or Tranche.</w:t>
      </w:r>
    </w:p>
    <w:p>
      <w:pPr>
        <w:spacing w:after="0" w:line="168" w:lineRule="exact"/>
        <w:rPr>
          <w:sz w:val="20"/>
          <w:szCs w:val="20"/>
          <w:color w:val="auto"/>
        </w:rPr>
      </w:pPr>
    </w:p>
    <w:p>
      <w:pPr>
        <w:ind w:left="4" w:right="1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on which the Trustee receives an Officer’s Certificate certifying that the Holders of the requisite principal amount of Securities have consented to the amendment or waiver. After an amendment or waiver becomes effective, it shall bind every Holder of each series of Securities affected by such amendment or waiver.</w:t>
      </w:r>
    </w:p>
    <w:p>
      <w:pPr>
        <w:spacing w:after="0" w:line="184" w:lineRule="exact"/>
        <w:rPr>
          <w:sz w:val="20"/>
          <w:szCs w:val="20"/>
          <w:color w:val="auto"/>
        </w:rPr>
      </w:pPr>
    </w:p>
    <w:p>
      <w:pPr>
        <w:jc w:val="both"/>
        <w:ind w:left="4" w:right="280" w:firstLine="991"/>
        <w:spacing w:after="0" w:line="261"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consent to any amendment or waiver. If a record date is fixed, then notwithstanding the provisions of the immediately preceding paragraph, those persons who were Holders at such record date (or their duly designated proxies), and only those persons, shall be entitled to consent to such amendment or waiver or to revoke any consent previously given, whether or not such persons continue to be Holders after such record date.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After an amendment or waiver becomes effective it shall bind every Holder, unless it is of the type described in any of clauses (1) through</w:t>
      </w:r>
    </w:p>
    <w:p>
      <w:pPr>
        <w:spacing w:after="0" w:line="27" w:lineRule="exact"/>
        <w:rPr>
          <w:sz w:val="20"/>
          <w:szCs w:val="20"/>
          <w:color w:val="auto"/>
        </w:rPr>
      </w:pPr>
    </w:p>
    <w:p>
      <w:pPr>
        <w:ind w:left="4" w:right="100" w:hanging="4"/>
        <w:spacing w:after="0" w:line="260" w:lineRule="auto"/>
        <w:tabs>
          <w:tab w:leader="none" w:pos="2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902(c). In such case, the amendment or waiver shall bind each Holder of a Security who has consented to it and every subsequent Holder of a Security that evidences the same debt as the consenting Holder’s Security.</w:t>
      </w:r>
    </w:p>
    <w:p>
      <w:pPr>
        <w:spacing w:after="0" w:line="179"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Modification Without Supplemental Indenture</w:t>
      </w:r>
      <w:r>
        <w:rPr>
          <w:rFonts w:ascii="Times New Roman" w:cs="Times New Roman" w:eastAsia="Times New Roman" w:hAnsi="Times New Roman"/>
          <w:sz w:val="18"/>
          <w:szCs w:val="18"/>
          <w:color w:val="auto"/>
        </w:rPr>
        <w:t xml:space="preserve">. If the terms of any particular series of Securities have been established in a Board Resolution or an Officer’s Certificate as contemplated by Section 301, and not in an indenture supplemental hereto, additions to, changes in or the elimination of any of such terms may be effected by means of a supplemental Board Resolution or Officer’s Certificate, as the case may be, delivered to, and accepted by, the Trustee;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supplemental Board Resolution or Officer’s Certificate shall not be accepted by the Trustee or otherwise be effective unless all conditions set forth in this Indenture that would be required to be satisfied if such additions, changes or elimination were contained in a supplemental indenture shall have been appropriately satisfied. Upon the acceptance thereof by the Trustee, any such supplemental Board Resolution or Officer’s Certificate shall be deemed to be a “supplemental indenture” for purposes of Sections 904 and 906.</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Payment of Principal, Premium and Interest</w:t>
      </w:r>
      <w:r>
        <w:rPr>
          <w:rFonts w:ascii="Times New Roman" w:cs="Times New Roman" w:eastAsia="Times New Roman" w:hAnsi="Times New Roman"/>
          <w:sz w:val="18"/>
          <w:szCs w:val="18"/>
          <w:color w:val="auto"/>
        </w:rPr>
        <w:t>. (A) Subject to the following provisions, the Company will pay to the Trustee the amounts, in such coin or currency as is at the time legal tender for the payment of public or private debt, in the manner, at the times and for the purposes set forth herein and in the text of the Securities for each series, and the Company hereby authorizes and directs the Trustee from funds so paid to it to make or cause to be made payment of the principal of and any premium and interest on the Securities of each series as set forth herein and in the text of such Securities. Unless otherwise provided in the Securities of a series, the Trustee will arrange directly with any Paying Agents for the payment, or the Trustee will make payment, from funds furnished by the Company, of the principal of and any premium and interest, on the Securities of each series by check or draft.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68" w:right="459" w:bottom="1440" w:gutter="0" w:footer="0" w:header="0"/>
        </w:sectPr>
      </w:pPr>
    </w:p>
    <w:bookmarkStart w:id="81" w:name="page82"/>
    <w:bookmarkEnd w:id="81"/>
    <w:p>
      <w:pPr>
        <w:ind w:right="40" w:firstLine="987"/>
        <w:spacing w:after="0" w:line="256"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otherwise provided in the Securities of a series, interest, if any, on Securities of a series shall be paid by check or draft on each Interest Payment Date for such series to the Holder thereof at the close of business on the Regular Record Date specified in the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interest payable at Maturity will be paid to the Person to whom principal is payable. The Company may pay such interest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 or draft mailed to such Holder’s address as it appears on the register for Securities of such series. Unless otherwise provided in the Securities of a series, principal of Securities shall be payable by check or draft and only against presentation and surrender of such Securities at the office of the Paying Agent, unless the Company shall have otherwise instructed the Trustee in writing.</w:t>
      </w:r>
    </w:p>
    <w:p>
      <w:pPr>
        <w:spacing w:after="0" w:line="187"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Company, any payments by the Company provided for in this Indenture or in any of the Securities may be made by electronic funds transfer.</w:t>
      </w:r>
    </w:p>
    <w:p>
      <w:pPr>
        <w:spacing w:after="0" w:line="16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(A) The Company will maintain in each Place of Payment for any series of Securities, or any Tranche thereof, an office or agency where Securities, or any Tranche thereof, of that series may be surrendered for registration of transfer or exchange and a Place of Payment where (subject to Sections 305 and 307) Securities may be presented for payment or exchange and where notices and demands to or upon the Company in respect of the Securities of that series and this Indenture may be served. Unless otherwise specified pursuant to Section 301(b) with respect to any such series, the Company shall maintain such offices or agencies in connection with each series in the Borough of Manhattan, The City of New York, State of New York. The Security Registrar shall keep a register with respect to each series of Securities and to their transfer and exchange. The Company may appoint one or more co-Security Registrars acceptable to the Trustee and one or more additional Paying Agents for each series of Securities, and the Company may terminate the appointment of any co-Security Registrar or Paying Agent at any time upon written notice. The term “Security Registrar” includes any co-Security Registrar. The term “Paying Agent” includes any additional Paying Agent. The Company shall notify the Trustee of the name and address of any Agent not a party to this Indenture. Subject to Section 305, if the Company fails to maintain a Security Registrar or Paying Agent, the Trustee shall act as such.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7" w:lineRule="exact"/>
        <w:rPr>
          <w:sz w:val="20"/>
          <w:szCs w:val="20"/>
          <w:color w:val="auto"/>
        </w:rPr>
      </w:pPr>
    </w:p>
    <w:p>
      <w:pPr>
        <w:ind w:right="100" w:firstLine="987"/>
        <w:spacing w:after="0" w:line="258"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3"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any office or agency required by this Section may be maintained at any office of the Company in which event the Company shall perform all functions to be performed at such office or agency.</w:t>
      </w:r>
    </w:p>
    <w:p>
      <w:pPr>
        <w:spacing w:after="0" w:line="16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Money for Securities Payments to Be Held in Trust</w:t>
      </w:r>
      <w:r>
        <w:rPr>
          <w:rFonts w:ascii="Times New Roman" w:cs="Times New Roman" w:eastAsia="Times New Roman" w:hAnsi="Times New Roman"/>
          <w:sz w:val="18"/>
          <w:szCs w:val="18"/>
          <w:color w:val="auto"/>
        </w:rPr>
        <w:t>. (A) If the Company at any time acts as its own Paying Agent with respect to any series of Securities, or any Tranche thereof, it will, on or before each due date of the principal of or any premium or interest on any of such Securities, segregate and hold in trust for the benefit of the Persons entitled thereto a sum sufficient to pay the principal (and premium, if any) or interest so becoming due until such sums are paid to such Persons or otherwise disposed of as herein provided and will promptly notify the Trustee of its action or failure so to act.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82" w:name="page83"/>
    <w:bookmarkEnd w:id="82"/>
    <w:p>
      <w:pPr>
        <w:ind w:right="20" w:firstLine="987"/>
        <w:spacing w:after="0" w:line="258"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the Company has one or more Paying Agents for any series of Securities, it will, on or prior to (and if on, then before 11:00 a.m. (New York City time)) each due date of the principal of and any premium or interest on such Securities, deposit with a Paying Agent a sum sufficient (in immediately available funds, if payment is made on the due date) to pay the principal and any premium and interest so becoming due, such sum to be held in trust for the benefit of the Persons entitled to such principal, premium or interest as provided in the Trust Indenture Act and (unless such Paying Agent is the Trustee) the Company will promptly notify the Trustee of its action or failure so to act.</w:t>
      </w:r>
    </w:p>
    <w:p>
      <w:pPr>
        <w:spacing w:after="0" w:line="183"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cause each Paying Agent for any series of Securities, or any Tranche thereof, other than the Trustee, to execute and deliver to the Trustee an instrument in which such Paying Agent shall agree with the Trustee, subject to the provisions of this Section, that such Paying Agent will:</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Trust Indenture Act applicable to it as a Paying Agent and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deposited with the Trustee or any Paying Agent, or received by the Trustee in respect of Eligible Obligations deposited with the Trustee pursuant to Section 401 or 404, or then held by the Company, in trust for the payment of the principal of and any premium or interest on any Security of any series and remaining unclaimed for two years (or such shorter period for the return of such funds to the Company under applicable abandoned property laws)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8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 as to Compliance</w:t>
      </w:r>
      <w:r>
        <w:rPr>
          <w:rFonts w:ascii="Times New Roman" w:cs="Times New Roman" w:eastAsia="Times New Roman" w:hAnsi="Times New Roman"/>
          <w:sz w:val="18"/>
          <w:szCs w:val="18"/>
          <w:color w:val="auto"/>
        </w:rPr>
        <w:t>. The Company will deliver to the Trustee, within 120 days after the end of each fiscal year of the Company ending after the date hereof, a written statement, which need not comply with Section 102, signed by the principal executive officer, the principal financial officer or the principal accounting officer of the Company stating, as to each signer thereof stating whether or not to the knowledge of the signers thereof it is in default in the performance and observance of any of the terms, provisions, and conditions of this Indenture (without regard to any period of grace or requirement of notice provided hereunder) and, if it is in default, specifying all such defaults and the nature and status thereof of which they may have knowledge.</w:t>
      </w:r>
    </w:p>
    <w:p>
      <w:pPr>
        <w:spacing w:after="0" w:line="182"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Corporate 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rights (charter and statutory) and franchises;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preserve any such right or franchise if, in the judgment of the Company, the preservation thereof is no longer desirable in the conduct of the business of the Company.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83" w:name="page84"/>
    <w:bookmarkEnd w:id="83"/>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1006. </w:t>
      </w:r>
      <w:r>
        <w:rPr>
          <w:rFonts w:ascii="Times New Roman" w:cs="Times New Roman" w:eastAsia="Times New Roman" w:hAnsi="Times New Roman"/>
          <w:sz w:val="18"/>
          <w:szCs w:val="18"/>
          <w:i w:val="1"/>
          <w:iCs w:val="1"/>
          <w:color w:val="auto"/>
        </w:rPr>
        <w:t>Waiver of Certain Covenants</w:t>
      </w:r>
      <w:r>
        <w:rPr>
          <w:rFonts w:ascii="Times New Roman" w:cs="Times New Roman" w:eastAsia="Times New Roman" w:hAnsi="Times New Roman"/>
          <w:sz w:val="18"/>
          <w:szCs w:val="18"/>
          <w:color w:val="auto"/>
        </w:rPr>
        <w:t>. Except as otherwise specified as contemplated by Section 301 for Securities of such series, the Company may, with respect to the Securities of any series, omit in any particular instance to comply with any term, provision or condition set forth in (i) any additional covenants or restrictions specified with respect to the Securities of any series as contemplated by Section 301 if before the time for such compliance the Holders of not less than a majority in aggregate principal amount (or such larger proportion as may be required in respect of waiving a past default of any such additional covenant or restriction) of the Outstanding Securities of all series of equal ranking with respect to which such covenant or restriction was so specified, considered as one class, by Act of such Holders, either waive such compliance in such instance or generally waive compliance with such term, provision or condition and (ii) Sections 1002 and 1004 and Article Eight if before the time for such compliance the Holders of at least a majority in principal amount of Securities of all series of equal ranking Outstanding under this Indenture by Act of such Holders, either waive such compliance in such instance or generally waive compliance with such term, provision or condition; but, in the case of clause (i) or (ii) of this Section,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05" w:lineRule="exact"/>
        <w:rPr>
          <w:sz w:val="20"/>
          <w:szCs w:val="20"/>
          <w:color w:val="auto"/>
        </w:rPr>
      </w:pPr>
    </w:p>
    <w:p>
      <w:pPr>
        <w:jc w:val="both"/>
        <w:ind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1101. </w:t>
      </w:r>
      <w:r>
        <w:rPr>
          <w:rFonts w:ascii="Times New Roman" w:cs="Times New Roman" w:eastAsia="Times New Roman" w:hAnsi="Times New Roman"/>
          <w:sz w:val="17"/>
          <w:szCs w:val="17"/>
          <w:i w:val="1"/>
          <w:iCs w:val="1"/>
          <w:color w:val="auto"/>
        </w:rPr>
        <w:t>Applicability of Article</w:t>
      </w:r>
      <w:r>
        <w:rPr>
          <w:rFonts w:ascii="Times New Roman" w:cs="Times New Roman" w:eastAsia="Times New Roman" w:hAnsi="Times New Roman"/>
          <w:sz w:val="17"/>
          <w:szCs w:val="17"/>
          <w:color w:val="auto"/>
        </w:rPr>
        <w:t>. Securities of any series that are redeemable before their Stated Maturity (or, if the principal of the Securities of any series is payable in installments, the Stated Maturity of the final installment of the principal thereof) shall be redeemable in accordance with their terms and (except as otherwise specified as contemplated by Section 301(b) for Securities of any series) in accordance with this Article.</w:t>
      </w:r>
    </w:p>
    <w:p>
      <w:pPr>
        <w:spacing w:after="0" w:line="15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a Board Resolution or an Officer’s Certificate. In case of any redemption at the election of the Company of less than all the Securities of any series, the Company shall, at least 45 days prior to the Redemption Date fixed by the Company (unless a shorter notice is satisfactory to the Trustee in its sole discretion),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the Company shall furnish the Trustee with an Officer’s Certificate evidencing compliance with such restriction.</w:t>
      </w:r>
    </w:p>
    <w:p>
      <w:pPr>
        <w:spacing w:after="0" w:line="183" w:lineRule="exact"/>
        <w:rPr>
          <w:sz w:val="20"/>
          <w:szCs w:val="20"/>
          <w:color w:val="auto"/>
        </w:rPr>
      </w:pPr>
    </w:p>
    <w:p>
      <w:pPr>
        <w:ind w:right="1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Selection by Trustee of Securities to Be Redeemed</w:t>
      </w:r>
      <w:r>
        <w:rPr>
          <w:rFonts w:ascii="Times New Roman" w:cs="Times New Roman" w:eastAsia="Times New Roman" w:hAnsi="Times New Roman"/>
          <w:sz w:val="18"/>
          <w:szCs w:val="18"/>
          <w:color w:val="auto"/>
        </w:rPr>
        <w:t>. If less than all the Securities of any series are to be redeemed, unless the procedures of the Depositary provide otherwise, the particular Securities to be redeemed shall be selected by the Trustee, from the Outstanding Securities of such series not previously called for redemption, by such method as is provided for any particular series, or, in the absence of any such provision, pro rata, by lot, or by such method as the Trustee deems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4"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in writing of the Securities selected for redemption and, in the case of any Securities selected for partial redemption, the principal amount thereof to be redeemed and the method it has chosen for the selection of such Securities.</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74"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Unless otherwise specified as contemplated by Section 301 with respect to any series of Securities, notice of redemption shall be given by electronic transmission or first-class mail, postage prepaid, mailed not less than 30 nor more than 60 days prior to the Redemption Date, to each Holder of Securities to be redeemed, at such Holder’s address appearing in the Security Register.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8" w:right="459" w:bottom="1440" w:gutter="0" w:footer="0" w:header="0"/>
        </w:sectPr>
      </w:pPr>
    </w:p>
    <w:bookmarkStart w:id="84" w:name="page85"/>
    <w:bookmarkEnd w:id="8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notices of redemption shall state:</w:t>
      </w:r>
    </w:p>
    <w:p>
      <w:pPr>
        <w:spacing w:after="0" w:line="117" w:lineRule="exact"/>
        <w:rPr>
          <w:sz w:val="20"/>
          <w:szCs w:val="20"/>
          <w:color w:val="auto"/>
        </w:rPr>
      </w:pPr>
    </w:p>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formula pursuant to which the Redemption Price is to be determined if the Redemption Price cannot be determined at the time notice is given,</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are to be redeemed, the identification (and, in the case of partial redemption, the principal amounts) of the particular Securities to be redeemed, and the portion of the principal amount of any Security to be redeemed in part and, in the case of any such Security of such series to be redeemed in part, that, on and after the Redemption Date, upon surrender of such Security, a new Security or Securities of such series in principal amount equal to the remaining unpaid principal amount thereof will be issued as provided in Section 1106,</w:t>
      </w:r>
    </w:p>
    <w:p>
      <w:pPr>
        <w:spacing w:after="0" w:line="75"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Redemption Price and accrued interest, if 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115" w:lineRule="exact"/>
        <w:rPr>
          <w:rFonts w:ascii="Times New Roman" w:cs="Times New Roman" w:eastAsia="Times New Roman" w:hAnsi="Times New Roman"/>
          <w:sz w:val="18"/>
          <w:szCs w:val="18"/>
          <w:color w:val="auto"/>
        </w:rPr>
      </w:pPr>
    </w:p>
    <w:p>
      <w:pPr>
        <w:ind w:left="440" w:right="20" w:firstLine="419"/>
        <w:spacing w:after="0" w:line="267"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CUSIP, “ISIN” or similar number(s), if any, assigned to such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notice may state that no representation is made as to the correctness of CUSIP, “ISIN” or similar number(s), and the redemption of such Securities shall not be affected by any defect in or omission of such number(s),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the Company shall deem desirable or appropriate.</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Unless otherwise specified with respect to any Securities in accordance with Section 301, with respect to any notice of redemption of Securities at the election of the Company, unless, upon the giving of such notice, such Securities are deemed to have been paid in accordance with Section 401, such notice may state that such redemption shall be conditional upon the receipt by the Paying Agent or Agents for such Securities, on or prior to the date fixed for such redemption, of money sufficient to pay the principal of and premium, if any, and interest, if any, on such Securities and that if such money has not been so received such notice shall be of no force or effect and the Company shall not be required to redeem such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Paying Agent or Agents for the Securities otherwise to have been redeemed shall promptly return to the Holders thereof any of such Securities that had been surrendered for payment upon such redemption.</w:t>
      </w:r>
    </w:p>
    <w:p>
      <w:pPr>
        <w:spacing w:after="0" w:line="188" w:lineRule="exact"/>
        <w:rPr>
          <w:sz w:val="20"/>
          <w:szCs w:val="20"/>
          <w:color w:val="auto"/>
        </w:rPr>
      </w:pPr>
    </w:p>
    <w:p>
      <w:pPr>
        <w:jc w:val="both"/>
        <w:ind w:right="220" w:firstLine="991"/>
        <w:spacing w:after="0" w:line="289" w:lineRule="auto"/>
        <w:rPr>
          <w:sz w:val="20"/>
          <w:szCs w:val="20"/>
          <w:color w:val="auto"/>
        </w:rPr>
      </w:pPr>
      <w:r>
        <w:rPr>
          <w:rFonts w:ascii="Times New Roman" w:cs="Times New Roman" w:eastAsia="Times New Roman" w:hAnsi="Times New Roman"/>
          <w:sz w:val="17"/>
          <w:szCs w:val="17"/>
          <w:color w:val="auto"/>
        </w:rPr>
        <w:t>Notice of redemption of Securities to be redeemed at the election of the Company, and any notice of non-satisfaction of a condition for redemption as aforesaid, shall be given by the Company or, at the Company’s request, by the Security Registrar in the name and at the expense of the Company. Notice of mandatory redemption of Securities shall be given by the Security Registrar in the name and at the expense of the Company.</w:t>
      </w:r>
    </w:p>
    <w:p>
      <w:pPr>
        <w:spacing w:after="0" w:line="156"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Securities Payable on Redemption Date</w:t>
      </w:r>
      <w:r>
        <w:rPr>
          <w:rFonts w:ascii="Times New Roman" w:cs="Times New Roman" w:eastAsia="Times New Roman" w:hAnsi="Times New Roman"/>
          <w:sz w:val="18"/>
          <w:szCs w:val="18"/>
          <w:color w:val="auto"/>
        </w:rPr>
        <w:t xml:space="preserve">. (A) Notice of redemption having been given as aforesaid, and the conditions, if any, set forth in such notice having been satisfied, the Securities or portions thereof so to be redeemed shall, on the Redemption Date, become due and payable at the Redemption Price therein specified, and from and after such date (unless the Company defaults in the payment of the Redemption Price and accrued interest, if any) such Securities, or portions thereof, if interest-bearing, shall cease to bear interest. Upon surrender of any such Security for redemption in accordance with said notice, such Security or portion thereof, if any, shall be paid by the Company at the Redemption Price, together with accrued interest, if any, to the Redemption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installments of interest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40" w:top="270" w:right="499" w:bottom="1440" w:gutter="0" w:footer="0" w:header="0"/>
        </w:sectPr>
      </w:pPr>
    </w:p>
    <w:bookmarkStart w:id="85" w:name="page86"/>
    <w:bookmarkEnd w:id="85"/>
    <w:p>
      <w:pPr>
        <w:ind w:right="12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Security called for redemption shall not be so paid upon surrender thereof for redemption, the principal and any premium shall, until paid, bear interest from the Redemption Date at the rate prescribed therefor in the Security.</w:t>
      </w:r>
    </w:p>
    <w:p>
      <w:pPr>
        <w:spacing w:after="0" w:line="16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Securities Redeemed in Part</w:t>
      </w:r>
      <w:r>
        <w:rPr>
          <w:rFonts w:ascii="Times New Roman" w:cs="Times New Roman" w:eastAsia="Times New Roman" w:hAnsi="Times New Roman"/>
          <w:sz w:val="18"/>
          <w:szCs w:val="18"/>
          <w:color w:val="auto"/>
        </w:rPr>
        <w:t>. Any physical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of any authorized denomination as requested by such Holder, and of like tenor and in aggregate principal amount equal to and in exchange for the unredeemed portion of the principal of the Security so surrendered.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REPAYMENT OF SECURITIES AT OPTION OF HOLDERS</w:t>
      </w:r>
    </w:p>
    <w:p>
      <w:pPr>
        <w:spacing w:after="0" w:line="205"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Securities of any series that are repayable before their Stated Maturity at the option of the Holders shall be repayable in accordance with their terms and (except as otherwise specified as contemplated by Section 301 for Securities of any series) in accordance with this Article.</w:t>
      </w:r>
    </w:p>
    <w:p>
      <w:pPr>
        <w:spacing w:after="0" w:line="173"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 of Repayment Date</w:t>
      </w:r>
      <w:r>
        <w:rPr>
          <w:rFonts w:ascii="Times New Roman" w:cs="Times New Roman" w:eastAsia="Times New Roman" w:hAnsi="Times New Roman"/>
          <w:sz w:val="18"/>
          <w:szCs w:val="18"/>
          <w:color w:val="auto"/>
        </w:rPr>
        <w:t>. Notice of any Repayment Date with respect to Securities of any series shall be given by the Company not less than 30 nor more than 45 days prior to such Repayment Date (or at such other times as may be specified for such repayment or repurchase pursuant to Section 301) to each Holder of Securities of such series in accordance with Section 106 (except as otherwise specified as contemplated by Section 301 for Securities of any series).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as to the Repayment Date shall state (unless otherwise specified for such repayment or repurchase pursuant to Section 301):</w:t>
      </w:r>
    </w:p>
    <w:p>
      <w:pPr>
        <w:spacing w:after="0" w:line="117" w:lineRule="exact"/>
        <w:rPr>
          <w:sz w:val="20"/>
          <w:szCs w:val="20"/>
          <w:color w:val="auto"/>
        </w:rPr>
      </w:pPr>
    </w:p>
    <w:p>
      <w:pPr>
        <w:ind w:left="1120" w:hanging="261"/>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Date;</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Securities required to be repaid or repurchased and the Repayment Price (or the formula pursuant to which the Repayment Price is to be determined if the Repayment Price cannot be determined at the time the notice is given);</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Repayment Price, and accrued interest, if any, and the date by which Securities must be so surrendered in order to be repaid or repurchased;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Security not tendered or accepted for payment shall continue to accrue interest;</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payment or the Paying Agent is prohibited from paying such money to the Holders on that date pursuant to the terms of this Indenture, Securities accepted for payment pursuant to any such offer of repayment or repurchase shall cease to accrue interest after the Repayment Date;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Security repaid or purchased pursuant to such offer may elect to have all or any portion of such Security purchased;</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Security repaid or repurchased pursuant to any such offer shall be required to surrender the Security, with such customary documents of surrender and transfer as the Company may reasonably request, duly completed, or transfer by book-entry transfer, to the Company or the Paying Agent at the address specified in the notice at least two Business Days prior to the Repayment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86" w:name="page87"/>
    <w:bookmarkEnd w:id="86"/>
    <w:p>
      <w:pPr>
        <w:ind w:left="440" w:right="120" w:firstLine="419"/>
        <w:spacing w:after="0" w:line="261" w:lineRule="auto"/>
        <w:tabs>
          <w:tab w:leader="none" w:pos="11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shall be entitled to withdraw their election if the Company or the Paying Agent, as the case may be, receives, not later than the expiration of the offer to repay or repurchase, a telegram, facsimile transmission or letter setting forth the name of the Holder, the principal amount of the Security the Holder delivered for purchase and a statement that such Holder is withdrawing its election to have such Security purchased;</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repayment or repurchase of less than all Outstanding Securities of a series, the method of selection of Securities to be repaid or repurchased to be applied by the Trustee if the principal amount of properly tendered Securities exceeds the principal amount of the Securities to be repaid or repurchased;</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Securities are purchased only in part shall be issued new Securities of the same series equal in principal amount to the unpurchased portion of the Securities surrendered (or transferred by book-entry transfer);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0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or other identification number, if any, printed on the Securities being repurchased and that no representation is made as to the correctness or accuracy of the CUSIP or other identification number, if any, listed in such notice or printed on the Securities.</w:t>
      </w:r>
    </w:p>
    <w:p>
      <w:pPr>
        <w:spacing w:after="0" w:line="16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Securities Payable on Repayment Date</w:t>
      </w:r>
      <w:r>
        <w:rPr>
          <w:rFonts w:ascii="Times New Roman" w:cs="Times New Roman" w:eastAsia="Times New Roman" w:hAnsi="Times New Roman"/>
          <w:sz w:val="18"/>
          <w:szCs w:val="18"/>
          <w:color w:val="auto"/>
        </w:rPr>
        <w:t xml:space="preserve">. The form of option to elect repurchase or repayment having been delivered as specified in the form of Security for such series, the Securities of such series so to be repaid (after application of the method of selection described pursuant to clause (9) of Section 1202, if the principal amount of properly tendered Securities exceeds the principal amount of the Securities to be repaid or repurchased) shall, on the Repayment Date, become due and payable at the Repayment Price applicable thereto and from and after such date (unless the Company defaults in the payment of the Repayment Price and accrued interest) such Securities shall cease to bear interest. Upon surrender of any such Security for repayment in accordance with said notice, such Security shall be paid by the Company at the Repayment Price together with accrued interest, if any, to but excluding the Repayment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Security is repaid or repurchased on or after a Regular Record Date but on or prior to the Stated Maturity of any installments of interest, then any accrued and unpaid interest due on such Stated Maturity shall be payable to the Holders of such Securities, or one or more Predecessor Securities, registered as such at the close of business on the relevant Regular Record Dates according to their terms and the provisions of Section 307.</w:t>
      </w:r>
    </w:p>
    <w:p>
      <w:pPr>
        <w:spacing w:after="0" w:line="18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If any Security is not paid upon surrender thereof for repayment, the principal (and premium, if any) shall, until paid, bear interest from the Repayment Date at the rate prescribed therefor in such Security.</w:t>
      </w:r>
    </w:p>
    <w:p>
      <w:pPr>
        <w:spacing w:after="0" w:line="16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Securities Repaid in Part</w:t>
      </w:r>
      <w:r>
        <w:rPr>
          <w:rFonts w:ascii="Times New Roman" w:cs="Times New Roman" w:eastAsia="Times New Roman" w:hAnsi="Times New Roman"/>
          <w:sz w:val="18"/>
          <w:szCs w:val="18"/>
          <w:color w:val="auto"/>
        </w:rPr>
        <w:t>. Any Security that by its terms may be repaid in part at the option of the Holder and that is to be repaid only in part shall be surrendered at any office or agency of the Company designated for that purpose pursuant to Section 1002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as provided in Section 305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any authorized denomination as requested by such Holder, in aggregate principal amount equal to and in exchange for the unrepaid portion of the principal of the Security so surrendered.</w:t>
      </w:r>
    </w:p>
    <w:p>
      <w:pPr>
        <w:spacing w:after="0" w:line="18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date first above written.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17145</wp:posOffset>
            </wp:positionV>
            <wp:extent cx="24599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17145</wp:posOffset>
            </wp:positionV>
            <wp:extent cx="2459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060"/>
          </w:cols>
          <w:pgMar w:left="1420" w:top="270" w:right="14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362710" cy="282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1362710" cy="28257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173990</wp:posOffset>
            </wp:positionV>
            <wp:extent cx="2254250" cy="325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22542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Registration Statement on Form S-3ASR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As counsel to Veracyte,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have examined the Registration Statement on Form S-3ASR to be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or about February 29, 2024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offering and sale from time to time of</w:t>
      </w:r>
    </w:p>
    <w:p>
      <w:pPr>
        <w:ind w:left="4" w:right="60" w:hanging="4"/>
        <w:spacing w:after="0" w:line="265" w:lineRule="auto"/>
        <w:tabs>
          <w:tab w:leader="none" w:pos="219"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the Company’s common stock, $0.001 par value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(ii) shares of the Company’s preferred stock, $0.001 par value per share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(iii) one or more series of debt securities (the “</w:t>
      </w: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 issuable pursuant to an indenture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by and between the Company and a financial institution to be identified therein as trustee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(iv) warrants to purchase Common Stock, Preferred Stock and/or Debt Securities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(v) subscription rights to purchase Common Stock, Preferred Stock and/or Debt Securities (the “</w:t>
      </w:r>
      <w:r>
        <w:rPr>
          <w:rFonts w:ascii="Times New Roman" w:cs="Times New Roman" w:eastAsia="Times New Roman" w:hAnsi="Times New Roman"/>
          <w:sz w:val="17"/>
          <w:szCs w:val="17"/>
          <w:b w:val="1"/>
          <w:bCs w:val="1"/>
          <w:i w:val="1"/>
          <w:iCs w:val="1"/>
          <w:color w:val="auto"/>
        </w:rPr>
        <w:t>Subscription Rights</w:t>
      </w:r>
      <w:r>
        <w:rPr>
          <w:rFonts w:ascii="Times New Roman" w:cs="Times New Roman" w:eastAsia="Times New Roman" w:hAnsi="Times New Roman"/>
          <w:sz w:val="17"/>
          <w:szCs w:val="17"/>
          <w:color w:val="auto"/>
        </w:rPr>
        <w:t>”), and/or (vi) units consisting of any combination of such foregoing securities described in clauses (i) through</w:t>
      </w:r>
    </w:p>
    <w:p>
      <w:pPr>
        <w:ind w:left="4" w:right="300" w:hanging="4"/>
        <w:spacing w:after="0" w:line="253"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The Common Stock, the Preferred Stock, the Debt Securities, the Warrants, the Subscription Rights and the Units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Securities may be sold from time to time by the Company as set forth in the Registration Statement, the base prospectus contained within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supplements to the Prospectus. The Company has informed us that the Company intends to issue the Securities from time to time on a delayed or continuous basis pursuant to Rule 415 under the Securities Act.</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ectPr>
          <w:pgSz w:w="11900" w:h="16838" w:orient="portrait"/>
          <w:cols w:equalWidth="0" w:num="1">
            <w:col w:w="11024"/>
          </w:cols>
          <w:pgMar w:left="436" w:top="117"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except for required EDGAR formatting changes, to physical copies submitted for our examination.</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opinions in this letter are limited to the existing General Corporation Law of the State of Delaware now in effect and, as to the Debt Securities, Warrants, Subscription Rights and Units constituting valid and binding obligations of the Company, the existing internal laws of the State of New York now in effect (the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We express no opinion with respect to any other laws.</w:t>
      </w:r>
    </w:p>
    <w:p>
      <w:pPr>
        <w:spacing w:after="0" w:line="176"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our opinions expressed below, we have assumed that, (i) at or prior to the time of the delivery of any of the Securities, there will not have occurred any change in the law or the facts affecting the validity of the Securities, (ii) the Registration Statement and any amendments (including any necessary post-effective amendments) will have been declared effective under the Securities Act, (iii) at the time of the offer, issuance and sale of any Securities no stop order suspending the Registration Statement’s effectiveness will have been issued and remain in effect, (iv) no future amendments will be made to the Company’s current certificate of incorporation (as amended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or the Company’s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together with the Certificate of Incorporation, the “</w:t>
      </w:r>
      <w:r>
        <w:rPr>
          <w:rFonts w:ascii="Times New Roman" w:cs="Times New Roman" w:eastAsia="Times New Roman" w:hAnsi="Times New Roman"/>
          <w:sz w:val="18"/>
          <w:szCs w:val="18"/>
          <w:b w:val="1"/>
          <w:bCs w:val="1"/>
          <w:i w:val="1"/>
          <w:iCs w:val="1"/>
          <w:color w:val="auto"/>
        </w:rPr>
        <w:t>Charter Documents</w:t>
      </w:r>
      <w:r>
        <w:rPr>
          <w:rFonts w:ascii="Times New Roman" w:cs="Times New Roman" w:eastAsia="Times New Roman" w:hAnsi="Times New Roman"/>
          <w:sz w:val="18"/>
          <w:szCs w:val="18"/>
          <w:color w:val="auto"/>
        </w:rPr>
        <w:t>”) that would be in conflict with or inconsistent with the Company’s right and ability to issue the Securities, (v) at the time of the issuance and sale of the Securities, the Company will be validly existing as a corporation and in good standing under the laws of the State of Delaware; and (vi) at the time of each offer, issuance and sale of any Securities the Company will have a sufficient number of authorized and unissued and unreserved shares of the applicable class or series of its capital stock included in (or purchasable upon exercise or conversion of) the Securities so issued and sold (after taking into account all other outstanding securities of the Company which may require the Company to issue shares of such applicable class or series) to be able to issue all such shares.</w:t>
      </w:r>
    </w:p>
    <w:p>
      <w:pPr>
        <w:spacing w:after="0" w:line="190"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This opinion is qualified by, and is subject to, and we render no opinion with respect to, the following limitations and exceptions to the enforceability of the Debt Securities, the Warrants, the Subscription Rights and the Units:</w:t>
      </w:r>
    </w:p>
    <w:p>
      <w:pPr>
        <w:spacing w:after="0" w:line="67" w:lineRule="exact"/>
        <w:rPr>
          <w:sz w:val="20"/>
          <w:szCs w:val="20"/>
          <w:color w:val="auto"/>
        </w:rPr>
      </w:pPr>
    </w:p>
    <w:p>
      <w:pPr>
        <w:ind w:left="960" w:right="380" w:hanging="532"/>
        <w:spacing w:after="0" w:line="266" w:lineRule="auto"/>
        <w:tabs>
          <w:tab w:leader="none" w:pos="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ectPr>
          <w:pgSz w:w="11900" w:h="16838" w:orient="portrait"/>
          <w:cols w:equalWidth="0" w:num="1">
            <w:col w:w="11000"/>
          </w:cols>
          <w:pgMar w:left="440" w:top="270"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960" w:right="140" w:hanging="532"/>
        <w:spacing w:after="0" w:line="266" w:lineRule="auto"/>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81"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Debt Securities, the effect of laws relating to usury or permissible rates of interest for loans, forbearances or the use of money.</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exceptions contained herein, we are of the following opinion:</w:t>
      </w:r>
    </w:p>
    <w:p>
      <w:pPr>
        <w:spacing w:after="0" w:line="117" w:lineRule="exact"/>
        <w:rPr>
          <w:sz w:val="20"/>
          <w:szCs w:val="20"/>
          <w:color w:val="auto"/>
        </w:rPr>
      </w:pPr>
    </w:p>
    <w:p>
      <w:pPr>
        <w:ind w:right="100" w:firstLine="436"/>
        <w:spacing w:after="0" w:line="273"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shares of Common Stock registered pursuant to the Registration Statement, when (a) the issuance of and the terms of the offering of such shares of Common Stock and related matters have been duly authorized by all required corporate action of the Company’s Board of Directors, or a duly authorized committee thereof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and, if required, of the stockholders of the Company in accordance with the Charter Documents and Applicable Laws and (b) if required, certificates representing the shares of Common Stock have been duly executed, countersigned, registered and delivered in accordance with the applicable definitive purchase, underwriting or similar agreement approved by the Board, or upon the conversion or exercise of any Security offered under the Registration Statement, and upon payment of the consideration therefor (in an amount not less than the par value of the Common Stock) provided for therein, then such shares of Common Stock will be validly issued, fully paid and nonassessable.</w:t>
      </w:r>
    </w:p>
    <w:p>
      <w:pPr>
        <w:spacing w:after="0" w:line="171" w:lineRule="exact"/>
        <w:rPr>
          <w:rFonts w:ascii="Times New Roman" w:cs="Times New Roman" w:eastAsia="Times New Roman" w:hAnsi="Times New Roman"/>
          <w:sz w:val="17"/>
          <w:szCs w:val="17"/>
          <w:color w:val="auto"/>
        </w:rPr>
      </w:pPr>
    </w:p>
    <w:p>
      <w:pPr>
        <w:ind w:firstLine="436"/>
        <w:spacing w:after="0" w:line="253"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registered pursuant to the Registration Statement, when (a) the issuance and terms of such shares of Preferred Stock, the terms of the offering thereof and related matters, including the adoption of a certificate of designation (a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relating to such Preferred Stock conforming to the Charter Documents and the General Corporation Law of the State of Delaware, and the filing of such Certificate with the Secretary of State of the State of Delaware (or the filing of an amendment to the Certificate of Incorporation to similar effect), have been duly authorized by all required corporate action of the Board and, if required, of the stockholders of the Company in accordance with the Charter Documents and Applicable Laws and (b) if required, certificates representing the shares of Preferred Stock have been duly executed, countersigned, registered and delivered in accordance with the applicable definitive purchase, underwriting or similar agreement approved by the Board, or upon conversion or exercise of any other Security offered under the Registration Statement, and upon payment of the consideration therefor (in an amount not less than the par value per share of such Preferred Stock) provided for therein, then such shares of Preferred Stock will be validly issued, fully paid and nonassessable.</w:t>
      </w:r>
    </w:p>
    <w:p>
      <w:pPr>
        <w:sectPr>
          <w:pgSz w:w="11900" w:h="16838" w:orient="portrait"/>
          <w:cols w:equalWidth="0" w:num="1">
            <w:col w:w="10980"/>
          </w:cols>
          <w:pgMar w:left="440" w:top="270" w:right="479" w:bottom="1440" w:gutter="0" w:footer="0" w:header="0"/>
        </w:sectPr>
      </w:pPr>
    </w:p>
    <w:bookmarkStart w:id="91" w:name="page92"/>
    <w:bookmarkEnd w:id="9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VERACYTE,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 w:firstLine="436"/>
        <w:spacing w:after="0" w:line="254" w:lineRule="auto"/>
        <w:tabs>
          <w:tab w:leader="none" w:pos="62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registered pursuant to the Registration Statement, when (a) the issuance of such Debt Securities has been duly authorized by all required corporate action of the Board and, if required, of the stockholders of the Company in accordance with the Charter Documents and Applicable Laws, (b) an Indenture relating to such Debt Securities in the form filed with the Registration Statement as an exhibit has been duly authorized and validly executed and delivered by each of the Company and the Trustee, and (c) the specific form and terms of the Debt Securities have been duly established in accordance with the Indenture, duly authorized pursuant to resolutions duly adopted by the Board, and validly executed, authenticated, issued, and delivered in accordance with the Indenture and the applicable definitive purchase, underwriting or similar agreement, in the manner and for the consideration approved by the Board and stated in the prospectus supplement relating thereto (as amended as of the date of such issuance, sale and delivery), or upon the exercise of Warrants to purchase Debt Securities, upon payment of the consideration therefor provided for therein, then such Debt Securities will be validly issued and will constitute valid and binding obligations of the Company.</w:t>
      </w:r>
    </w:p>
    <w:p>
      <w:pPr>
        <w:spacing w:after="0" w:line="188" w:lineRule="exact"/>
        <w:rPr>
          <w:rFonts w:ascii="Times New Roman" w:cs="Times New Roman" w:eastAsia="Times New Roman" w:hAnsi="Times New Roman"/>
          <w:sz w:val="18"/>
          <w:szCs w:val="18"/>
          <w:color w:val="auto"/>
        </w:rPr>
      </w:pPr>
    </w:p>
    <w:p>
      <w:pPr>
        <w:ind w:left="4" w:right="40" w:firstLine="436"/>
        <w:spacing w:after="0" w:line="270" w:lineRule="auto"/>
        <w:tabs>
          <w:tab w:leader="none" w:pos="624"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Warrants registered pursuant to the Registration Statement, when (a) the issuance and terms of such Warrants, the terms, execution and delivery of any warrant agreement relating to the Warrants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the terms of the offering thereof and related matters have been duly authorized by all required corporate action of the Board and, if required, of the stockholders of the Company in accordance with the Charter Documents and Applicable Laws, (b) the Warrant Agreement has been duly authorized and validly executed and delivered by the Company,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2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have been duly executed, issued and delivered by the Company in accordance with the provisions of the Warrant Agreement and the applicable definitive purchase, underwriting or similar agreement approved by the Board, upon payment of the consideration therefor provided for therein, then such Warrants will constitute valid and binding obligations of the Company.</w:t>
      </w:r>
    </w:p>
    <w:p>
      <w:pPr>
        <w:spacing w:after="0" w:line="185"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2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Subscription Rights registered pursuant to the Registration Statement, when (a) the issuance and terms of such Subscription Rights, the terms, execution and delivery of the subscription rights agreement relating to the Subscription Rights (“</w:t>
      </w:r>
      <w:r>
        <w:rPr>
          <w:rFonts w:ascii="Times New Roman" w:cs="Times New Roman" w:eastAsia="Times New Roman" w:hAnsi="Times New Roman"/>
          <w:sz w:val="18"/>
          <w:szCs w:val="18"/>
          <w:b w:val="1"/>
          <w:bCs w:val="1"/>
          <w:i w:val="1"/>
          <w:iCs w:val="1"/>
          <w:color w:val="auto"/>
        </w:rPr>
        <w:t>Subscription Rights Agreement</w:t>
      </w:r>
      <w:r>
        <w:rPr>
          <w:rFonts w:ascii="Times New Roman" w:cs="Times New Roman" w:eastAsia="Times New Roman" w:hAnsi="Times New Roman"/>
          <w:sz w:val="18"/>
          <w:szCs w:val="18"/>
          <w:color w:val="auto"/>
        </w:rPr>
        <w:t>”), the terms of the offering thereof and related matters have been duly authorized by all required corporate action of the Board and, if required, the stockholders of the Company in accordance with the Charter Documents and Applicable Laws, (b) the Subscription Rights Agreement has been duly authorized and validly executed and delivered by the Company, and (c) such Subscription Rights have been duly executed, issued and delivered by the Company in accordance with the provisions of the Subscription Rights Agreement and the applicable definitive purchase, underwriting or similar agreement approved by the Board, upon payment of the consideration therefor provided for therein, then such Subscription Rights will constitute valid and binding obligations of the Company.</w:t>
      </w:r>
    </w:p>
    <w:p>
      <w:pPr>
        <w:sectPr>
          <w:pgSz w:w="11900" w:h="16838" w:orient="portrait"/>
          <w:cols w:equalWidth="0" w:num="1">
            <w:col w:w="11004"/>
          </w:cols>
          <w:pgMar w:left="436" w:top="270"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firstLine="436"/>
        <w:spacing w:after="0" w:line="254" w:lineRule="auto"/>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Units registered pursuant to the Registration Statement, when (a) the conditions outlined in the immediately preceding paragraphs (1) through (5) that apply to the Securities that make up such Units are all met, (b) the issuance and terms of such Units, the terms, execution and delivery of the unit purchase agreement relating to such Units (“</w:t>
      </w:r>
      <w:r>
        <w:rPr>
          <w:rFonts w:ascii="Times New Roman" w:cs="Times New Roman" w:eastAsia="Times New Roman" w:hAnsi="Times New Roman"/>
          <w:sz w:val="18"/>
          <w:szCs w:val="18"/>
          <w:b w:val="1"/>
          <w:bCs w:val="1"/>
          <w:i w:val="1"/>
          <w:iCs w:val="1"/>
          <w:color w:val="auto"/>
        </w:rPr>
        <w:t>Unit Agreement</w:t>
      </w:r>
      <w:r>
        <w:rPr>
          <w:rFonts w:ascii="Times New Roman" w:cs="Times New Roman" w:eastAsia="Times New Roman" w:hAnsi="Times New Roman"/>
          <w:sz w:val="18"/>
          <w:szCs w:val="18"/>
          <w:color w:val="auto"/>
        </w:rPr>
        <w:t>”), the terms of the offering thereof and related matters have been duly authorized by all required corporate action of the Board and, if required, of the stockholders of the Company in accordance with the Charter Documents and Applicable Laws, (c) the Unit Agreement has been duly authorized and validly executed and delivered by the Company, and (d) such Units have been duly executed, issued and delivered by the Company in accordance with the provisions of the Unit Agreement and the applicable definitive purchase, underwriting or similar agreement approved by the Board, upon payment of the consideration therefor provided for therein, then such Units will constitute valid and binding obligations of the Company.</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opinions expressed above, we have assumed that each of the Debt Securities and the Indenture, Warrant Agreement, Subscription Rights Agreement and Unit Agreement governing such Securities are legally valid and binding obligations of each party thereto other than the Company.</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if any, in the Registration Statement, the Prospectus constituting parts thereof and any amendments thereto. In giving this consent we do not thereby admit that we come within the category of persons whose consent is required under Section 7 of the Securities Act or the rules and regulations of the Commission thereunder.</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[Concluding Paragraph Follows on Next Page]</w:t>
      </w:r>
    </w:p>
    <w:p>
      <w:pPr>
        <w:sectPr>
          <w:pgSz w:w="11900" w:h="16838" w:orient="portrait"/>
          <w:cols w:equalWidth="0" w:num="1">
            <w:col w:w="10960"/>
          </w:cols>
          <w:pgMar w:left="440" w:top="270"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FENWICK &amp; WEST LLP</w:t>
      </w:r>
    </w:p>
    <w:p>
      <w:pPr>
        <w:sectPr>
          <w:pgSz w:w="11900" w:h="16838" w:orient="portrait"/>
          <w:cols w:equalWidth="0" w:num="1">
            <w:col w:w="10960"/>
          </w:cols>
          <w:pgMar w:left="440" w:top="270" w:right="4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Veracyte, Inc. for the registration of Common Stock, Preferred Stock, Debt Securities, Warrants, Subscription Rights and Units and to the incorporation by reference therein of our reports dated February 29, 2024, with respect to the consolidated financial statements of Veracyte, Inc., and the effectiveness of internal control over financial reporting of Veracyte, Inc., included in its Annual Report (Form 10-K) for the year ended December 31, 2023, filed with the Securities and Exchange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020"/>
          </w:cols>
          <w:pgMar w:left="440" w:top="117" w:right="4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S-3ASR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2"/>
        </w:trPr>
        <w:tc>
          <w:tcPr>
            <w:tcW w:w="140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spacing w:after="0"/>
              <w:rPr>
                <w:sz w:val="12"/>
                <w:szCs w:val="12"/>
                <w:color w:val="auto"/>
              </w:rPr>
            </w:pPr>
          </w:p>
        </w:tc>
        <w:tc>
          <w:tcPr>
            <w:tcW w:w="214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660" w:type="dxa"/>
            <w:vAlign w:val="bottom"/>
            <w:tcBorders>
              <w:top w:val="single" w:sz="8" w:color="auto"/>
              <w:right w:val="single" w:sz="8" w:color="auto"/>
            </w:tcBorders>
          </w:tcPr>
          <w:p>
            <w:pPr>
              <w:spacing w:after="0"/>
              <w:rPr>
                <w:sz w:val="12"/>
                <w:szCs w:val="12"/>
                <w:color w:val="auto"/>
              </w:rPr>
            </w:pPr>
          </w:p>
        </w:tc>
        <w:tc>
          <w:tcPr>
            <w:tcW w:w="3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3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3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9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Security Class</w:t>
            </w:r>
          </w:p>
        </w:tc>
        <w:tc>
          <w:tcPr>
            <w:tcW w:w="21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6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6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3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Fee</w:t>
            </w:r>
          </w:p>
        </w:tc>
        <w:tc>
          <w:tcPr>
            <w:tcW w:w="8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1153"/>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0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21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00" w:type="dxa"/>
            <w:vAlign w:val="bottom"/>
            <w:tcBorders>
              <w:left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 and Rule 457(r)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140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Preferred Stock, par value</w:t>
            </w:r>
          </w:p>
        </w:tc>
        <w:tc>
          <w:tcPr>
            <w:tcW w:w="21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 and Rule 457(r)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456(b) and Rule 457(r)</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27"/>
        </w:trPr>
        <w:tc>
          <w:tcPr>
            <w:tcW w:w="1400" w:type="dxa"/>
            <w:vAlign w:val="bottom"/>
            <w:tcBorders>
              <w:left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680" w:type="dxa"/>
            <w:vAlign w:val="bottom"/>
            <w:tcBorders>
              <w:bottom w:val="single" w:sz="8" w:color="auto"/>
              <w:right w:val="single" w:sz="8" w:color="auto"/>
            </w:tcBorders>
            <w:vMerge w:val="continue"/>
          </w:tcPr>
          <w:p>
            <w:pPr>
              <w:spacing w:after="0"/>
              <w:rPr>
                <w:sz w:val="10"/>
                <w:szCs w:val="10"/>
                <w:color w:val="auto"/>
              </w:rPr>
            </w:pPr>
          </w:p>
        </w:tc>
        <w:tc>
          <w:tcPr>
            <w:tcW w:w="680" w:type="dxa"/>
            <w:vAlign w:val="bottom"/>
            <w:tcBorders>
              <w:bottom w:val="single" w:sz="8" w:color="auto"/>
              <w:right w:val="single" w:sz="8" w:color="auto"/>
            </w:tcBorders>
            <w:vMerge w:val="continue"/>
          </w:tcPr>
          <w:p>
            <w:pPr>
              <w:spacing w:after="0"/>
              <w:rPr>
                <w:sz w:val="10"/>
                <w:szCs w:val="10"/>
                <w:color w:val="auto"/>
              </w:rPr>
            </w:pPr>
          </w:p>
        </w:tc>
        <w:tc>
          <w:tcPr>
            <w:tcW w:w="660" w:type="dxa"/>
            <w:vAlign w:val="bottom"/>
            <w:tcBorders>
              <w:bottom w:val="single" w:sz="8" w:color="auto"/>
              <w:right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Warrants(3)</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 and Rule 457(r)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Subscription Rights(4)</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 and Rule 457(r)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 and Rule 457(r)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1400" w:type="dxa"/>
            <w:vAlign w:val="bottom"/>
            <w:tcBorders>
              <w:left w:val="single" w:sz="8" w:color="auto"/>
              <w:righ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color w:val="auto"/>
                <w:w w:val="98"/>
              </w:rPr>
              <w:t>Fee Previously</w:t>
            </w:r>
          </w:p>
        </w:tc>
        <w:tc>
          <w:tcPr>
            <w:tcW w:w="6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1173"/>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617"/>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6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3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6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6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6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3"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5" w:lineRule="exact"/>
        <w:rPr>
          <w:rFonts w:ascii="Times New Roman" w:cs="Times New Roman" w:eastAsia="Times New Roman" w:hAnsi="Times New Roman"/>
          <w:sz w:val="18"/>
          <w:szCs w:val="18"/>
          <w:color w:val="auto"/>
        </w:rPr>
      </w:pPr>
    </w:p>
    <w:p>
      <w:pPr>
        <w:ind w:left="424" w:right="820" w:hanging="424"/>
        <w:spacing w:after="0" w:line="250"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456(b) and Rule 457(r) under the Securities Act of 1933, as amended, the registrant is deferring payment of all registration fees and will pay the registration fees subsequently in advance or on a “pay-as-you-go” basis.</w:t>
      </w:r>
    </w:p>
    <w:p>
      <w:pPr>
        <w:ind w:left="424" w:right="420" w:hanging="424"/>
        <w:spacing w:after="0" w:line="250"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covered by this registration statement cover shares of common stock, shares of preferred stock and/or debt securities in one or more series.</w:t>
      </w:r>
    </w:p>
    <w:p>
      <w:pPr>
        <w:ind w:left="424" w:hanging="424"/>
        <w:spacing w:after="0"/>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covered by this registration statement cover shares of common stock, or shares of preferred stock in one or more series.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may be issued under one or more unit agreements and will represent an interest in one or more securities registered hereby, including</w:t>
      </w:r>
    </w:p>
    <w:p>
      <w:pPr>
        <w:spacing w:after="0" w:line="9" w:lineRule="exact"/>
        <w:rPr>
          <w:rFonts w:ascii="Times New Roman" w:cs="Times New Roman" w:eastAsia="Times New Roman" w:hAnsi="Times New Roman"/>
          <w:sz w:val="18"/>
          <w:szCs w:val="18"/>
          <w:color w:val="auto"/>
        </w:rPr>
      </w:pPr>
    </w:p>
    <w:p>
      <w:pPr>
        <w:ind w:left="424" w:right="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shares of common stock, (b) shares of preferred stock, (c) debt securities, (d) warrants for the purchase of common stock, preferred stock and/or debt securities and/or (e) subscription rights to purchase common stock, or preferred stock.</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1)"/>
      <w:numFmt w:val="lowerLetter"/>
      <w:start w:val="1"/>
    </w:lvl>
    <w:lvl w:ilvl="1">
      <w:lvlJc w:val="left"/>
      <w:lvlText w:val="(%2)"/>
      <w:numFmt w:val="decimal"/>
      <w:start w:val="1"/>
    </w:lvl>
  </w:abstractNum>
  <w:abstractNum w:abstractNumId="35">
    <w:nsid w:val="100F59DC"/>
    <w:multiLevelType w:val="hybridMultilevel"/>
    <w:lvl w:ilvl="0">
      <w:lvlJc w:val="left"/>
      <w:lvlText w:val="(%1)"/>
      <w:numFmt w:val="lowerRoman"/>
      <w:start w:val="2"/>
    </w:lvl>
  </w:abstractNum>
  <w:abstractNum w:abstractNumId="36">
    <w:nsid w:val="7FB7E0AA"/>
    <w:multiLevelType w:val="hybridMultilevel"/>
    <w:lvl w:ilvl="0">
      <w:lvlJc w:val="left"/>
      <w:lvlText w:val="(%1)"/>
      <w:numFmt w:val="decimal"/>
      <w:start w:val="2"/>
    </w:lvl>
  </w:abstractNum>
  <w:abstractNum w:abstractNumId="37">
    <w:nsid w:val="6EB5BD4"/>
    <w:multiLevelType w:val="hybridMultilevel"/>
    <w:lvl w:ilvl="0">
      <w:lvlJc w:val="left"/>
      <w:lvlText w:val="(%1)"/>
      <w:numFmt w:val="lowerRoman"/>
      <w:start w:val="1"/>
    </w:lvl>
  </w:abstractNum>
  <w:abstractNum w:abstractNumId="38">
    <w:nsid w:val="6F6DD9AC"/>
    <w:multiLevelType w:val="hybridMultilevel"/>
    <w:lvl w:ilvl="0">
      <w:lvlJc w:val="left"/>
      <w:lvlText w:val="(%1)"/>
      <w:numFmt w:val="decimal"/>
      <w:start w:val="5"/>
    </w:lvl>
  </w:abstractNum>
  <w:abstractNum w:abstractNumId="39">
    <w:nsid w:val="94211F2"/>
    <w:multiLevelType w:val="hybridMultilevel"/>
    <w:lvl w:ilvl="0">
      <w:lvlJc w:val="left"/>
      <w:lvlText w:val="%1"/>
      <w:numFmt w:val="lowerLetter"/>
      <w:start w:val="1"/>
    </w:lvl>
    <w:lvl w:ilvl="1">
      <w:lvlJc w:val="left"/>
      <w:lvlText w:val="(%2)"/>
      <w:numFmt w:val="lowerRoman"/>
      <w:start w:val="1"/>
    </w:lvl>
  </w:abstractNum>
  <w:abstractNum w:abstractNumId="40">
    <w:nsid w:val="885E1B"/>
    <w:multiLevelType w:val="hybridMultilevel"/>
    <w:lvl w:ilvl="0">
      <w:lvlJc w:val="left"/>
      <w:lvlText w:val="(%1)"/>
      <w:numFmt w:val="lowerLetter"/>
      <w:start w:val="2"/>
    </w:lvl>
    <w:lvl w:ilvl="1">
      <w:lvlJc w:val="left"/>
      <w:lvlText w:val="%2"/>
      <w:numFmt w:val="lowerRoman"/>
      <w:start w:val="1"/>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lowerLetter"/>
      <w:start w:val="1"/>
    </w:lvl>
  </w:abstractNum>
  <w:abstractNum w:abstractNumId="43">
    <w:nsid w:val="1716703B"/>
    <w:multiLevelType w:val="hybridMultilevel"/>
    <w:lvl w:ilvl="0">
      <w:lvlJc w:val="left"/>
      <w:lvlText w:val="(%1)"/>
      <w:numFmt w:val="lowerLetter"/>
      <w:start w:val="1"/>
    </w:lvl>
  </w:abstractNum>
  <w:abstractNum w:abstractNumId="44">
    <w:nsid w:val="14E17E33"/>
    <w:multiLevelType w:val="hybridMultilevel"/>
    <w:lvl w:ilvl="0">
      <w:lvlJc w:val="left"/>
      <w:lvlText w:val="(%1)"/>
      <w:numFmt w:val="lowerLetter"/>
      <w:start w:val="2"/>
    </w:lvl>
  </w:abstractNum>
  <w:abstractNum w:abstractNumId="45">
    <w:nsid w:val="3222E7CD"/>
    <w:multiLevelType w:val="hybridMultilevel"/>
    <w:lvl w:ilvl="0">
      <w:lvlJc w:val="left"/>
      <w:lvlText w:val="(%1)"/>
      <w:numFmt w:val="lowerRoman"/>
      <w:start w:val="1"/>
    </w:lvl>
  </w:abstractNum>
  <w:abstractNum w:abstractNumId="46">
    <w:nsid w:val="74DE0EE3"/>
    <w:multiLevelType w:val="hybridMultilevel"/>
    <w:lvl w:ilvl="0">
      <w:lvlJc w:val="left"/>
      <w:lvlText w:val="%1"/>
      <w:numFmt w:val="decimal"/>
      <w:start w:val="1"/>
    </w:lvl>
    <w:lvl w:ilvl="1">
      <w:lvlJc w:val="left"/>
      <w:lvlText w:val="(%2)"/>
      <w:numFmt w:val="lowerLetter"/>
      <w:start w:val="2"/>
    </w:lvl>
  </w:abstractNum>
  <w:abstractNum w:abstractNumId="47">
    <w:nsid w:val="68EBC550"/>
    <w:multiLevelType w:val="hybridMultilevel"/>
    <w:lvl w:ilvl="0">
      <w:lvlJc w:val="left"/>
      <w:lvlText w:val="(%1)"/>
      <w:numFmt w:val="decimal"/>
      <w:start w:val="1"/>
    </w:lvl>
    <w:lvl w:ilvl="1">
      <w:lvlJc w:val="left"/>
      <w:lvlText w:val="%2"/>
      <w:numFmt w:val="lowerLetter"/>
      <w:start w:val="1"/>
    </w:lvl>
  </w:abstractNum>
  <w:abstractNum w:abstractNumId="48">
    <w:nsid w:val="2DF6D648"/>
    <w:multiLevelType w:val="hybridMultilevel"/>
    <w:lvl w:ilvl="0">
      <w:lvlJc w:val="left"/>
      <w:lvlText w:val="(%1)"/>
      <w:numFmt w:val="decimal"/>
      <w:start w:val="3"/>
    </w:lvl>
  </w:abstractNum>
  <w:abstractNum w:abstractNumId="49">
    <w:nsid w:val="46B7D447"/>
    <w:multiLevelType w:val="hybridMultilevel"/>
    <w:lvl w:ilvl="0">
      <w:lvlJc w:val="left"/>
      <w:lvlText w:val="(%1)"/>
      <w:numFmt w:val="lowerLetter"/>
      <w:start w:val="2"/>
    </w:lvl>
  </w:abstractNum>
  <w:abstractNum w:abstractNumId="50">
    <w:nsid w:val="4A2AC315"/>
    <w:multiLevelType w:val="hybridMultilevel"/>
    <w:lvl w:ilvl="0">
      <w:lvlJc w:val="left"/>
      <w:lvlText w:val="(%1)"/>
      <w:numFmt w:val="lowerLetter"/>
      <w:start w:val="2"/>
    </w:lvl>
  </w:abstractNum>
  <w:abstractNum w:abstractNumId="51">
    <w:nsid w:val="39EE015C"/>
    <w:multiLevelType w:val="hybridMultilevel"/>
    <w:lvl w:ilvl="0">
      <w:lvlJc w:val="left"/>
      <w:lvlText w:val="(%1)"/>
      <w:numFmt w:val="lowerLetter"/>
      <w:start w:val="5"/>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2"/>
    </w:lvl>
  </w:abstractNum>
  <w:abstractNum w:abstractNumId="54">
    <w:nsid w:val="43F18422"/>
    <w:multiLevelType w:val="hybridMultilevel"/>
    <w:lvl w:ilvl="0">
      <w:lvlJc w:val="left"/>
      <w:lvlText w:val="(%1)"/>
      <w:numFmt w:val="lowerLetter"/>
      <w:start w:val="2"/>
    </w:lvl>
  </w:abstractNum>
  <w:abstractNum w:abstractNumId="55">
    <w:nsid w:val="60EF0119"/>
    <w:multiLevelType w:val="hybridMultilevel"/>
    <w:lvl w:ilvl="0">
      <w:lvlJc w:val="left"/>
      <w:lvlText w:val="%1"/>
      <w:numFmt w:val="decimal"/>
      <w:start w:val="1"/>
    </w:lvl>
    <w:lvl w:ilvl="1">
      <w:lvlJc w:val="left"/>
      <w:lvlText w:val="(%2)"/>
      <w:numFmt w:val="lowerLetter"/>
      <w:start w:val="2"/>
    </w:lvl>
  </w:abstractNum>
  <w:abstractNum w:abstractNumId="56">
    <w:nsid w:val="26F324BA"/>
    <w:multiLevelType w:val="hybridMultilevel"/>
    <w:lvl w:ilvl="0">
      <w:lvlJc w:val="left"/>
      <w:lvlText w:val="(%1)"/>
      <w:numFmt w:val="decimal"/>
      <w:start w:val="1"/>
    </w:lvl>
    <w:lvl w:ilvl="1">
      <w:lvlJc w:val="left"/>
      <w:lvlText w:val="%2"/>
      <w:numFmt w:val="lowerLetter"/>
      <w:start w:val="1"/>
    </w:lvl>
  </w:abstractNum>
  <w:abstractNum w:abstractNumId="57">
    <w:nsid w:val="7F01579B"/>
    <w:multiLevelType w:val="hybridMultilevel"/>
    <w:lvl w:ilvl="0">
      <w:lvlJc w:val="left"/>
      <w:lvlText w:val="(%1)"/>
      <w:numFmt w:val="decimal"/>
      <w:start w:val="5"/>
    </w:lvl>
  </w:abstractNum>
  <w:abstractNum w:abstractNumId="58">
    <w:nsid w:val="49DA307D"/>
    <w:multiLevelType w:val="hybridMultilevel"/>
    <w:lvl w:ilvl="0">
      <w:lvlJc w:val="left"/>
      <w:lvlText w:val="(%1)"/>
      <w:numFmt w:val="decimal"/>
      <w:start w:val="14"/>
    </w:lvl>
    <w:lvl w:ilvl="1">
      <w:lvlJc w:val="left"/>
      <w:lvlText w:val="(%2)"/>
      <w:numFmt w:val="lowerLetter"/>
      <w:start w:val="3"/>
    </w:lvl>
  </w:abstractNum>
  <w:abstractNum w:abstractNumId="59">
    <w:nsid w:val="7055A5F5"/>
    <w:multiLevelType w:val="hybridMultilevel"/>
    <w:lvl w:ilvl="0">
      <w:lvlJc w:val="left"/>
      <w:lvlText w:val="(%1)"/>
      <w:numFmt w:val="lowerLetter"/>
      <w:start w:val="2"/>
    </w:lvl>
    <w:lvl w:ilvl="1">
      <w:lvlJc w:val="left"/>
      <w:lvlText w:val="(%2)"/>
      <w:numFmt w:val="lowerRoman"/>
      <w:start w:val="1"/>
    </w:lvl>
  </w:abstractNum>
  <w:abstractNum w:abstractNumId="60">
    <w:nsid w:val="5FB8370B"/>
    <w:multiLevelType w:val="hybridMultilevel"/>
    <w:lvl w:ilvl="0">
      <w:lvlJc w:val="left"/>
      <w:lvlText w:val="(%1)"/>
      <w:numFmt w:val="lowerLetter"/>
      <w:start w:val="6"/>
    </w:lvl>
  </w:abstractNum>
  <w:abstractNum w:abstractNumId="61">
    <w:nsid w:val="50801EE1"/>
    <w:multiLevelType w:val="hybridMultilevel"/>
    <w:lvl w:ilvl="0">
      <w:lvlJc w:val="left"/>
      <w:lvlText w:val="(%1)"/>
      <w:numFmt w:val="lowerLetter"/>
      <w:start w:val="2"/>
    </w:lvl>
  </w:abstractNum>
  <w:abstractNum w:abstractNumId="62">
    <w:nsid w:val="488AC1A"/>
    <w:multiLevelType w:val="hybridMultilevel"/>
    <w:lvl w:ilvl="0">
      <w:lvlJc w:val="left"/>
      <w:lvlText w:val="(%1)"/>
      <w:numFmt w:val="lowerLetter"/>
      <w:start w:val="2"/>
    </w:lvl>
  </w:abstractNum>
  <w:abstractNum w:abstractNumId="63">
    <w:nsid w:val="5FB8011C"/>
    <w:multiLevelType w:val="hybridMultilevel"/>
    <w:lvl w:ilvl="0">
      <w:lvlJc w:val="left"/>
      <w:lvlText w:val="(%1)"/>
      <w:numFmt w:val="lowerLetter"/>
      <w:start w:val="6"/>
    </w:lvl>
  </w:abstractNum>
  <w:abstractNum w:abstractNumId="64">
    <w:nsid w:val="6AA78F7F"/>
    <w:multiLevelType w:val="hybridMultilevel"/>
    <w:lvl w:ilvl="0">
      <w:lvlJc w:val="left"/>
      <w:lvlText w:val="(%1)"/>
      <w:numFmt w:val="lowerLetter"/>
      <w:start w:val="2"/>
    </w:lvl>
  </w:abstractNum>
  <w:abstractNum w:abstractNumId="65">
    <w:nsid w:val="7672BD23"/>
    <w:multiLevelType w:val="hybridMultilevel"/>
    <w:lvl w:ilvl="0">
      <w:lvlJc w:val="left"/>
      <w:lvlText w:val="(%1)"/>
      <w:numFmt w:val="lowerLetter"/>
      <w:start w:val="2"/>
    </w:lvl>
    <w:lvl w:ilvl="1">
      <w:lvlJc w:val="left"/>
      <w:lvlText w:val="(%2)"/>
      <w:numFmt w:val="lowerLetter"/>
      <w:start w:val="9"/>
    </w:lvl>
  </w:abstractNum>
  <w:abstractNum w:abstractNumId="66">
    <w:nsid w:val="6FC75AF8"/>
    <w:multiLevelType w:val="hybridMultilevel"/>
    <w:lvl w:ilvl="0">
      <w:lvlJc w:val="left"/>
      <w:lvlText w:val="%1"/>
      <w:numFmt w:val="lowerLetter"/>
      <w:start w:val="1"/>
    </w:lvl>
    <w:lvl w:ilvl="1">
      <w:lvlJc w:val="left"/>
      <w:lvlText w:val="(%2)"/>
      <w:numFmt w:val="lowerLetter"/>
      <w:start w:val="35"/>
    </w:lvl>
  </w:abstractNum>
  <w:abstractNum w:abstractNumId="67">
    <w:nsid w:val="6A5F7029"/>
    <w:multiLevelType w:val="hybridMultilevel"/>
    <w:lvl w:ilvl="0">
      <w:lvlJc w:val="left"/>
      <w:lvlText w:val="(%1)"/>
      <w:numFmt w:val="lowerLetter"/>
      <w:start w:val="3"/>
    </w:lvl>
    <w:lvl w:ilvl="1">
      <w:lvlJc w:val="left"/>
      <w:lvlText w:val="%2"/>
      <w:numFmt w:val="lowerLetter"/>
      <w:start w:val="1"/>
    </w:lvl>
  </w:abstractNum>
  <w:abstractNum w:abstractNumId="68">
    <w:nsid w:val="7D5E18F8"/>
    <w:multiLevelType w:val="hybridMultilevel"/>
    <w:lvl w:ilvl="0">
      <w:lvlJc w:val="left"/>
      <w:lvlText w:val="(%1)"/>
      <w:numFmt w:val="decimal"/>
      <w:start w:val="1"/>
    </w:lvl>
    <w:lvl w:ilvl="1">
      <w:lvlJc w:val="left"/>
      <w:lvlText w:val="(%2)"/>
      <w:numFmt w:val="upperLetter"/>
      <w:start w:val="1"/>
    </w:lvl>
  </w:abstractNum>
  <w:abstractNum w:abstractNumId="69">
    <w:nsid w:val="5F3534A4"/>
    <w:multiLevelType w:val="hybridMultilevel"/>
    <w:lvl w:ilvl="0">
      <w:lvlJc w:val="left"/>
      <w:lvlText w:val="(%1)"/>
      <w:numFmt w:val="lowerRoman"/>
      <w:start w:val="1"/>
    </w:lvl>
  </w:abstractNum>
  <w:abstractNum w:abstractNumId="70">
    <w:nsid w:val="73A1821B"/>
    <w:multiLevelType w:val="hybridMultilevel"/>
    <w:lvl w:ilvl="0">
      <w:lvlJc w:val="left"/>
      <w:lvlText w:val="(%1)"/>
      <w:numFmt w:val="decimal"/>
      <w:start w:val="2"/>
    </w:lvl>
    <w:lvl w:ilvl="1">
      <w:lvlJc w:val="left"/>
      <w:lvlText w:val="(%2)"/>
      <w:numFmt w:val="lowerLetter"/>
      <w:start w:val="2"/>
    </w:lvl>
  </w:abstractNum>
  <w:abstractNum w:abstractNumId="71">
    <w:nsid w:val="7DE67713"/>
    <w:multiLevelType w:val="hybridMultilevel"/>
    <w:lvl w:ilvl="0">
      <w:lvlJc w:val="left"/>
      <w:lvlText w:val="(%1)"/>
      <w:numFmt w:val="lowerLetter"/>
      <w:start w:val="1"/>
    </w:lvl>
  </w:abstractNum>
  <w:abstractNum w:abstractNumId="72">
    <w:nsid w:val="555C55B5"/>
    <w:multiLevelType w:val="hybridMultilevel"/>
    <w:lvl w:ilvl="0">
      <w:lvlJc w:val="left"/>
      <w:lvlText w:val="(%1)"/>
      <w:numFmt w:val="lowerLetter"/>
      <w:start w:val="2"/>
    </w:lvl>
  </w:abstractNum>
  <w:abstractNum w:abstractNumId="73">
    <w:nsid w:val="3FA62ACA"/>
    <w:multiLevelType w:val="hybridMultilevel"/>
    <w:lvl w:ilvl="0">
      <w:lvlJc w:val="left"/>
      <w:lvlText w:val="%1"/>
      <w:numFmt w:val="decimal"/>
      <w:start w:val="1"/>
    </w:lvl>
    <w:lvl w:ilvl="1">
      <w:lvlJc w:val="left"/>
      <w:lvlText w:val="(%2)"/>
      <w:numFmt w:val="lowerRoman"/>
      <w:start w:val="1"/>
    </w:lvl>
  </w:abstractNum>
  <w:abstractNum w:abstractNumId="74">
    <w:nsid w:val="14FCE74E"/>
    <w:multiLevelType w:val="hybridMultilevel"/>
    <w:lvl w:ilvl="0">
      <w:lvlJc w:val="left"/>
      <w:lvlText w:val="(%1)"/>
      <w:numFmt w:val="decimal"/>
      <w:start w:val="2"/>
    </w:lvl>
    <w:lvl w:ilvl="1">
      <w:lvlJc w:val="left"/>
      <w:lvlText w:val="(%2)"/>
      <w:numFmt w:val="lowerRoman"/>
      <w:start w:val="2"/>
    </w:lvl>
  </w:abstractNum>
  <w:abstractNum w:abstractNumId="75">
    <w:nsid w:val="6A3DD3E8"/>
    <w:multiLevelType w:val="hybridMultilevel"/>
    <w:lvl w:ilvl="0">
      <w:lvlJc w:val="left"/>
      <w:lvlText w:val="(%1)"/>
      <w:numFmt w:val="lowerRoman"/>
      <w:start w:val="4"/>
    </w:lvl>
  </w:abstractNum>
  <w:abstractNum w:abstractNumId="76">
    <w:nsid w:val="71C91298"/>
    <w:multiLevelType w:val="hybridMultilevel"/>
    <w:lvl w:ilvl="0">
      <w:lvlJc w:val="left"/>
      <w:lvlText w:val="(%1)"/>
      <w:numFmt w:val="lowerLetter"/>
      <w:start w:val="2"/>
    </w:lvl>
  </w:abstractNum>
  <w:abstractNum w:abstractNumId="77">
    <w:nsid w:val="9DAF632"/>
    <w:multiLevelType w:val="hybridMultilevel"/>
    <w:lvl w:ilvl="0">
      <w:lvlJc w:val="left"/>
      <w:lvlText w:val="(%1)"/>
      <w:numFmt w:val="lowerLetter"/>
      <w:start w:val="3"/>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1)"/>
      <w:numFmt w:val="decimal"/>
      <w:start w:val="6"/>
    </w:lvl>
  </w:abstractNum>
  <w:abstractNum w:abstractNumId="80">
    <w:nsid w:val="5092CA79"/>
    <w:multiLevelType w:val="hybridMultilevel"/>
    <w:lvl w:ilvl="0">
      <w:lvlJc w:val="left"/>
      <w:lvlText w:val="(%1)"/>
      <w:numFmt w:val="decimal"/>
      <w:start w:val="1"/>
    </w:lvl>
    <w:lvl w:ilvl="1">
      <w:lvlJc w:val="left"/>
      <w:lvlText w:val="(%2)"/>
      <w:numFmt w:val="upperLetter"/>
      <w:start w:val="1"/>
    </w:lvl>
  </w:abstractNum>
  <w:abstractNum w:abstractNumId="81">
    <w:nsid w:val="1D545C4D"/>
    <w:multiLevelType w:val="hybridMultilevel"/>
    <w:lvl w:ilvl="0">
      <w:lvlJc w:val="left"/>
      <w:lvlText w:val="(%1)"/>
      <w:numFmt w:val="decimal"/>
      <w:start w:val="2"/>
    </w:lvl>
  </w:abstractNum>
  <w:abstractNum w:abstractNumId="82">
    <w:nsid w:val="59ADEA3D"/>
    <w:multiLevelType w:val="hybridMultilevel"/>
    <w:lvl w:ilvl="0">
      <w:lvlJc w:val="left"/>
      <w:lvlText w:val="(%1)"/>
      <w:numFmt w:val="lowerRoman"/>
      <w:start w:val="1"/>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1)"/>
      <w:numFmt w:val="decimal"/>
      <w:start w:val="1"/>
    </w:lvl>
    <w:lvl w:ilvl="1">
      <w:lvlJc w:val="left"/>
      <w:lvlText w:val="(%2)"/>
      <w:numFmt w:val="lowerLetter"/>
      <w:start w:val="2"/>
    </w:lvl>
  </w:abstractNum>
  <w:abstractNum w:abstractNumId="87">
    <w:nsid w:val="51088277"/>
    <w:multiLevelType w:val="hybridMultilevel"/>
    <w:lvl w:ilvl="0">
      <w:lvlJc w:val="left"/>
      <w:lvlText w:val="(%1)"/>
      <w:numFmt w:val="decimal"/>
      <w:start w:val="1"/>
    </w:lvl>
  </w:abstractNum>
  <w:abstractNum w:abstractNumId="88">
    <w:nsid w:val="1CA0C5FA"/>
    <w:multiLevelType w:val="hybridMultilevel"/>
    <w:lvl w:ilvl="0">
      <w:lvlJc w:val="left"/>
      <w:lvlText w:val="(%1)"/>
      <w:numFmt w:val="decimal"/>
      <w:start w:val="4"/>
    </w:lvl>
    <w:lvl w:ilvl="1">
      <w:lvlJc w:val="left"/>
      <w:lvlText w:val="(%2)"/>
      <w:numFmt w:val="lowerLetter"/>
      <w:start w:val="4"/>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lowerLetter"/>
      <w:start w:val="6"/>
    </w:lvl>
  </w:abstractNum>
  <w:abstractNum w:abstractNumId="91">
    <w:nsid w:val="7C58FD05"/>
    <w:multiLevelType w:val="hybridMultilevel"/>
    <w:lvl w:ilvl="0">
      <w:lvlJc w:val="left"/>
      <w:lvlText w:val="(%1)"/>
      <w:numFmt w:val="decimal"/>
      <w:start w:val="1"/>
    </w:lvl>
  </w:abstractNum>
  <w:abstractNum w:abstractNumId="92">
    <w:nsid w:val="23D86AAC"/>
    <w:multiLevelType w:val="hybridMultilevel"/>
    <w:lvl w:ilvl="0">
      <w:lvlJc w:val="left"/>
      <w:lvlText w:val="%1"/>
      <w:numFmt w:val="decimal"/>
      <w:start w:val="1"/>
    </w:lvl>
    <w:lvl w:ilvl="1">
      <w:lvlJc w:val="left"/>
      <w:lvlText w:val="(%2)"/>
      <w:numFmt w:val="lowerLetter"/>
      <w:start w:val="2"/>
    </w:lvl>
  </w:abstractNum>
  <w:abstractNum w:abstractNumId="93">
    <w:nsid w:val="45E6D486"/>
    <w:multiLevelType w:val="hybridMultilevel"/>
    <w:lvl w:ilvl="0">
      <w:lvlJc w:val="left"/>
      <w:lvlText w:val="(%1)"/>
      <w:numFmt w:val="decimal"/>
      <w:start w:val="1"/>
    </w:lvl>
    <w:lvl w:ilvl="1">
      <w:lvlJc w:val="left"/>
      <w:lvlText w:val="%2"/>
      <w:numFmt w:val="lowerLetter"/>
      <w:start w:val="1"/>
    </w:lvl>
  </w:abstractNum>
  <w:abstractNum w:abstractNumId="94">
    <w:nsid w:val="5C10FE21"/>
    <w:multiLevelType w:val="hybridMultilevel"/>
    <w:lvl w:ilvl="0">
      <w:lvlJc w:val="left"/>
      <w:lvlText w:val="(%1)"/>
      <w:numFmt w:val="lowerLetter"/>
      <w:start w:val="6"/>
    </w:lvl>
  </w:abstractNum>
  <w:abstractNum w:abstractNumId="95">
    <w:nsid w:val="E7FFA2B"/>
    <w:multiLevelType w:val="hybridMultilevel"/>
    <w:lvl w:ilvl="0">
      <w:lvlJc w:val="left"/>
      <w:lvlText w:val="(%1)"/>
      <w:numFmt w:val="lowerLetter"/>
      <w:start w:val="7"/>
    </w:lvl>
  </w:abstractNum>
  <w:abstractNum w:abstractNumId="96">
    <w:nsid w:val="3C5991AA"/>
    <w:multiLevelType w:val="hybridMultilevel"/>
    <w:lvl w:ilvl="0">
      <w:lvlJc w:val="left"/>
      <w:lvlText w:val="(%1)"/>
      <w:numFmt w:val="lowerLetter"/>
      <w:start w:val="2"/>
    </w:lvl>
  </w:abstractNum>
  <w:abstractNum w:abstractNumId="97">
    <w:nsid w:val="4BD8591A"/>
    <w:multiLevelType w:val="hybridMultilevel"/>
    <w:lvl w:ilvl="0">
      <w:lvlJc w:val="left"/>
      <w:lvlText w:val="(%1)"/>
      <w:numFmt w:val="lowerLetter"/>
      <w:start w:val="2"/>
    </w:lvl>
  </w:abstractNum>
  <w:abstractNum w:abstractNumId="98">
    <w:nsid w:val="78DF6A55"/>
    <w:multiLevelType w:val="hybridMultilevel"/>
    <w:lvl w:ilvl="0">
      <w:lvlJc w:val="left"/>
      <w:lvlText w:val="(%1)"/>
      <w:numFmt w:val="lowerLetter"/>
      <w:start w:val="4"/>
    </w:lvl>
  </w:abstractNum>
  <w:abstractNum w:abstractNumId="99">
    <w:nsid w:val="39B7AAA2"/>
    <w:multiLevelType w:val="hybridMultilevel"/>
    <w:lvl w:ilvl="0">
      <w:lvlJc w:val="left"/>
      <w:lvlText w:val="(%1)"/>
      <w:numFmt w:val="lowerLetter"/>
      <w:start w:val="6"/>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lowerLetter"/>
      <w:start w:val="2"/>
    </w:lvl>
  </w:abstractNum>
  <w:abstractNum w:abstractNumId="102">
    <w:nsid w:val="379E21B5"/>
    <w:multiLevelType w:val="hybridMultilevel"/>
    <w:lvl w:ilvl="0">
      <w:lvlJc w:val="left"/>
      <w:lvlText w:val="(%1)"/>
      <w:numFmt w:val="lowerLetter"/>
      <w:start w:val="2"/>
    </w:lvl>
    <w:lvl w:ilvl="1">
      <w:lvlJc w:val="left"/>
      <w:lvlText w:val="(%2)"/>
      <w:numFmt w:val="lowerRoman"/>
      <w:start w:val="1"/>
    </w:lvl>
  </w:abstractNum>
  <w:abstractNum w:abstractNumId="103">
    <w:nsid w:val="69E373"/>
    <w:multiLevelType w:val="hybridMultilevel"/>
    <w:lvl w:ilvl="0">
      <w:lvlJc w:val="left"/>
      <w:lvlText w:val="(%1)"/>
      <w:numFmt w:val="lowerLetter"/>
      <w:start w:val="3"/>
    </w:lvl>
  </w:abstractNum>
  <w:abstractNum w:abstractNumId="104">
    <w:nsid w:val="2C27173B"/>
    <w:multiLevelType w:val="hybridMultilevel"/>
    <w:lvl w:ilvl="0">
      <w:lvlJc w:val="left"/>
      <w:lvlText w:val="(%1)"/>
      <w:numFmt w:val="lowerLetter"/>
      <w:start w:val="2"/>
    </w:lvl>
  </w:abstractNum>
  <w:abstractNum w:abstractNumId="105">
    <w:nsid w:val="4C9B0904"/>
    <w:multiLevelType w:val="hybridMultilevel"/>
    <w:lvl w:ilvl="0">
      <w:lvlJc w:val="left"/>
      <w:lvlText w:val="(%1)"/>
      <w:numFmt w:val="decimal"/>
      <w:start w:val="1"/>
    </w:lvl>
  </w:abstractNum>
  <w:abstractNum w:abstractNumId="106">
    <w:nsid w:val="6AA7B75C"/>
    <w:multiLevelType w:val="hybridMultilevel"/>
    <w:lvl w:ilvl="0">
      <w:lvlJc w:val="left"/>
      <w:lvlText w:val="(%1)"/>
      <w:numFmt w:val="decimal"/>
      <w:start w:val="1"/>
    </w:lvl>
  </w:abstractNum>
  <w:abstractNum w:abstractNumId="107">
    <w:nsid w:val="1DF029D3"/>
    <w:multiLevelType w:val="hybridMultilevel"/>
    <w:lvl w:ilvl="0">
      <w:lvlJc w:val="left"/>
      <w:lvlText w:val="(%1)"/>
      <w:numFmt w:val="decimal"/>
      <w:start w:val="2"/>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decimal"/>
      <w:start w:val="9"/>
    </w:lvl>
  </w:abstractNum>
  <w:abstractNum w:abstractNumId="110">
    <w:nsid w:val="3DB012B3"/>
    <w:multiLevelType w:val="hybridMultilevel"/>
    <w:lvl w:ilvl="0">
      <w:lvlJc w:val="left"/>
      <w:lvlText w:val="(%1)"/>
      <w:numFmt w:val="decimal"/>
      <w:start w:val="11"/>
    </w:lvl>
  </w:abstractNum>
  <w:abstractNum w:abstractNumId="111">
    <w:nsid w:val="2708C9AF"/>
    <w:multiLevelType w:val="hybridMultilevel"/>
    <w:lvl w:ilvl="0">
      <w:lvlJc w:val="left"/>
      <w:lvlText w:val="%1"/>
      <w:numFmt w:val="lowerLetter"/>
      <w:start w:val="1"/>
    </w:lvl>
    <w:lvl w:ilvl="1">
      <w:lvlJc w:val="left"/>
      <w:lvlText w:val="(%2)"/>
      <w:numFmt w:val="lowerLetter"/>
      <w:start w:val="9"/>
    </w:lvl>
  </w:abstractNum>
  <w:abstractNum w:abstractNumId="112">
    <w:nsid w:val="5B25ACE2"/>
    <w:multiLevelType w:val="hybridMultilevel"/>
    <w:lvl w:ilvl="0">
      <w:lvlJc w:val="left"/>
      <w:lvlText w:val="(%1)"/>
      <w:numFmt w:val="lowerLetter"/>
      <w:start w:val="2"/>
    </w:lvl>
    <w:lvl w:ilvl="1">
      <w:lvlJc w:val="left"/>
      <w:lvlText w:val="%2"/>
      <w:numFmt w:val="lowerLetter"/>
      <w:start w:val="1"/>
    </w:lvl>
  </w:abstractNum>
  <w:abstractNum w:abstractNumId="113">
    <w:nsid w:val="175DFCF0"/>
    <w:multiLevelType w:val="hybridMultilevel"/>
    <w:lvl w:ilvl="0">
      <w:lvlJc w:val="left"/>
      <w:lvlText w:val="%1"/>
      <w:numFmt w:val="decimal"/>
      <w:start w:val="1"/>
    </w:lvl>
    <w:lvl w:ilvl="1">
      <w:lvlJc w:val="left"/>
      <w:lvlText w:val="(%2)"/>
      <w:numFmt w:val="lowerLetter"/>
      <w:start w:val="2"/>
    </w:lvl>
  </w:abstractNum>
  <w:abstractNum w:abstractNumId="114">
    <w:nsid w:val="4F97E3E4"/>
    <w:multiLevelType w:val="hybridMultilevel"/>
    <w:lvl w:ilvl="0">
      <w:lvlJc w:val="left"/>
      <w:lvlText w:val="(%1)"/>
      <w:numFmt w:val="decimal"/>
      <w:start w:val="1"/>
    </w:lvl>
    <w:lvl w:ilvl="1">
      <w:lvlJc w:val="left"/>
      <w:lvlText w:val="%2"/>
      <w:numFmt w:val="lowerLetter"/>
      <w:start w:val="1"/>
    </w:lvl>
  </w:abstractNum>
  <w:abstractNum w:abstractNumId="115">
    <w:nsid w:val="53B0A9E"/>
    <w:multiLevelType w:val="hybridMultilevel"/>
    <w:lvl w:ilvl="0">
      <w:lvlJc w:val="left"/>
      <w:lvlText w:val="(%1)"/>
      <w:numFmt w:val="decimal"/>
      <w:start w:val="3"/>
    </w:lvl>
  </w:abstractNum>
  <w:abstractNum w:abstractNumId="116">
    <w:nsid w:val="34FD6B4F"/>
    <w:multiLevelType w:val="hybridMultilevel"/>
    <w:lvl w:ilvl="0">
      <w:lvlJc w:val="left"/>
      <w:lvlText w:val="(%1)"/>
      <w:numFmt w:val="lowerLetter"/>
      <w:start w:val="2"/>
    </w:lvl>
  </w:abstractNum>
  <w:abstractNum w:abstractNumId="117">
    <w:nsid w:val="5915FF32"/>
    <w:multiLevelType w:val="hybridMultilevel"/>
    <w:lvl w:ilvl="0">
      <w:lvlJc w:val="left"/>
      <w:lvlText w:val="(%1)"/>
      <w:numFmt w:val="lowerLetter"/>
      <w:start w:val="2"/>
    </w:lvl>
  </w:abstractNum>
  <w:abstractNum w:abstractNumId="118">
    <w:nsid w:val="56438D15"/>
    <w:multiLevelType w:val="hybridMultilevel"/>
    <w:lvl w:ilvl="0">
      <w:lvlJc w:val="left"/>
      <w:lvlText w:val="(%1)"/>
      <w:numFmt w:val="lowerLetter"/>
      <w:start w:val="2"/>
    </w:lvl>
    <w:lvl w:ilvl="1">
      <w:lvlJc w:val="left"/>
      <w:lvlText w:val="(%2)"/>
      <w:numFmt w:val="lowerRoman"/>
      <w:start w:val="1"/>
    </w:lvl>
  </w:abstractNum>
  <w:abstractNum w:abstractNumId="119">
    <w:nsid w:val="519E3149"/>
    <w:multiLevelType w:val="hybridMultilevel"/>
    <w:lvl w:ilvl="0">
      <w:lvlJc w:val="left"/>
      <w:lvlText w:val="(%1)"/>
      <w:numFmt w:val="decimal"/>
      <w:start w:val="1"/>
    </w:lvl>
  </w:abstractNum>
  <w:abstractNum w:abstractNumId="120">
    <w:nsid w:val="2C6E4AFD"/>
    <w:multiLevelType w:val="hybridMultilevel"/>
    <w:lvl w:ilvl="0">
      <w:lvlJc w:val="left"/>
      <w:lvlText w:val="(%1)"/>
      <w:numFmt w:val="lowerLetter"/>
      <w:start w:val="2"/>
    </w:lvl>
  </w:abstractNum>
  <w:abstractNum w:abstractNumId="121">
    <w:nsid w:val="17A1B582"/>
    <w:multiLevelType w:val="hybridMultilevel"/>
    <w:lvl w:ilvl="0">
      <w:lvlJc w:val="left"/>
      <w:lvlText w:val="(%1)"/>
      <w:numFmt w:val="decimal"/>
      <w:start w:val="1"/>
    </w:lvl>
  </w:abstractNum>
  <w:abstractNum w:abstractNumId="122">
    <w:nsid w:val="4DF72E4E"/>
    <w:multiLevelType w:val="hybridMultilevel"/>
    <w:lvl w:ilvl="0">
      <w:lvlJc w:val="left"/>
      <w:lvlText w:val="(%1)"/>
      <w:numFmt w:val="decimal"/>
      <w:start w:val="8"/>
    </w:lvl>
  </w:abstractNum>
  <w:abstractNum w:abstractNumId="123">
    <w:nsid w:val="5046B5A9"/>
    <w:multiLevelType w:val="hybridMultilevel"/>
    <w:lvl w:ilvl="0">
      <w:lvlJc w:val="left"/>
      <w:lvlText w:val="(%1)"/>
      <w:numFmt w:val="lowerRoman"/>
      <w:start w:val="1"/>
    </w:lvl>
  </w:abstractNum>
  <w:abstractNum w:abstractNumId="124">
    <w:nsid w:val="5D888A08"/>
    <w:multiLevelType w:val="hybridMultilevel"/>
    <w:lvl w:ilvl="0">
      <w:lvlJc w:val="left"/>
      <w:lvlText w:val="(%1)"/>
      <w:numFmt w:val="lowerRoman"/>
      <w:start w:val="5"/>
    </w:lvl>
  </w:abstractNum>
  <w:abstractNum w:abstractNumId="125">
    <w:nsid w:val="2A082C70"/>
    <w:multiLevelType w:val="hybridMultilevel"/>
    <w:lvl w:ilvl="0">
      <w:lvlJc w:val="left"/>
      <w:lvlText w:val="(%1)"/>
      <w:numFmt w:val="decimal"/>
      <w:start w:val="1"/>
    </w:lvl>
  </w:abstractNum>
  <w:abstractNum w:abstractNumId="126">
    <w:nsid w:val="5EC6AFD4"/>
    <w:multiLevelType w:val="hybridMultilevel"/>
    <w:lvl w:ilvl="0">
      <w:lvlJc w:val="left"/>
      <w:lvlText w:val="(%1)"/>
      <w:numFmt w:val="decimal"/>
      <w:start w:val="2"/>
    </w:lvl>
  </w:abstractNum>
  <w:abstractNum w:abstractNumId="127">
    <w:nsid w:val="19E21BB2"/>
    <w:multiLevelType w:val="hybridMultilevel"/>
    <w:lvl w:ilvl="0">
      <w:lvlJc w:val="left"/>
      <w:lvlText w:val="%1."/>
      <w:numFmt w:val="decimal"/>
      <w:start w:val="1"/>
    </w:lvl>
  </w:abstractNum>
  <w:abstractNum w:abstractNumId="128">
    <w:nsid w:val="75E0858A"/>
    <w:multiLevelType w:val="hybridMultilevel"/>
    <w:lvl w:ilvl="0">
      <w:lvlJc w:val="left"/>
      <w:lvlText w:val="%1"/>
      <w:numFmt w:val="lowerLetter"/>
      <w:start w:val="1"/>
    </w:lvl>
    <w:lvl w:ilvl="1">
      <w:lvlJc w:val="left"/>
      <w:lvlText w:val="%2."/>
      <w:numFmt w:val="decimal"/>
      <w:start w:val="3"/>
    </w:lvl>
  </w:abstractNum>
  <w:abstractNum w:abstractNumId="129">
    <w:nsid w:val="57A61A29"/>
    <w:multiLevelType w:val="hybridMultilevel"/>
    <w:lvl w:ilvl="0">
      <w:lvlJc w:val="left"/>
      <w:lvlText w:val="(%1)"/>
      <w:numFmt w:val="lowerLetter"/>
      <w:start w:val="3"/>
    </w:lvl>
    <w:lvl w:ilvl="1">
      <w:lvlJc w:val="left"/>
      <w:lvlText w:val="%2."/>
      <w:numFmt w:val="decimal"/>
      <w:start w:val="5"/>
    </w:lvl>
  </w:abstractNum>
  <w:abstractNum w:abstractNumId="130">
    <w:nsid w:val="5399C654"/>
    <w:multiLevelType w:val="hybridMultilevel"/>
    <w:lvl w:ilvl="0">
      <w:lvlJc w:val="left"/>
      <w:lvlText w:val="%1."/>
      <w:numFmt w:val="decimal"/>
      <w:start w:val="6"/>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jpeg"/><Relationship Id="rId120" Type="http://schemas.openxmlformats.org/officeDocument/2006/relationships/image" Target="media/image105.jpe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50" Type="http://schemas.openxmlformats.org/officeDocument/2006/relationships/hyperlink" Target="http://www.sec.gov/ix?doc=/Archives/edgar/data/1384101/000138410124000017/vcyt-20231231.htm" TargetMode="External"/><Relationship Id="rId51" Type="http://schemas.openxmlformats.org/officeDocument/2006/relationships/hyperlink" Target="http://www.sec.gov/ix?doc=/Archives/edgar/data/0001384101/000138410124000004/vcyt-20240205.htm" TargetMode="External"/><Relationship Id="rId52" Type="http://schemas.openxmlformats.org/officeDocument/2006/relationships/hyperlink" Target="http://www.sec.gov/ix?doc=/Archives/edgar/data/0001384101/000138410124000007/vcyt-20240207.htm" TargetMode="External"/><Relationship Id="rId53" Type="http://schemas.openxmlformats.org/officeDocument/2006/relationships/hyperlink" Target="http://www.sec.gov/Archives/edgar/data/1384101/000110465913078343/a13-16266_158a12b.htm" TargetMode="External"/><Relationship Id="rId54" Type="http://schemas.openxmlformats.org/officeDocument/2006/relationships/hyperlink" Target="http://www.sec.gov/Archives/edgar/data/1384101/000138410124000017/vcyt-12312023xex42.htm" TargetMode="External"/><Relationship Id="rId58" Type="http://schemas.openxmlformats.org/officeDocument/2006/relationships/hyperlink" Target="http://www.sec.gov/Archives/edgar/data/1384101/000138410123000112/ex32-restatedcertificateof.htm" TargetMode="External"/><Relationship Id="rId59" Type="http://schemas.openxmlformats.org/officeDocument/2006/relationships/hyperlink" Target="http://www.sec.gov/Archives/edgar/data/1384101/000138410123000112/ex33-veracytexamendedandre.htm" TargetMode="External"/><Relationship Id="rId60" Type="http://schemas.openxmlformats.org/officeDocument/2006/relationships/hyperlink" Target="http://www.sec.gov/Archives/edgar/data/1384101/000104746913009631/a221695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2024-02-29T16:01:31Z</dcterms:created>
  <dcterms:modified xsi:type="dcterms:W3CDTF">2024-02-29T16:01:31Z</dcterms:modified>
</cp:coreProperties>
</file>