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47" w:lineRule="exact"/>
        <w:rPr>
          <w:sz w:val="24"/>
          <w:szCs w:val="24"/>
          <w:color w:val="auto"/>
        </w:rPr>
      </w:pPr>
    </w:p>
    <w:p>
      <w:pPr>
        <w:ind w:left="5100"/>
        <w:spacing w:after="0"/>
        <w:rPr>
          <w:sz w:val="20"/>
          <w:szCs w:val="20"/>
          <w:color w:val="auto"/>
        </w:rPr>
      </w:pPr>
      <w:r>
        <w:rPr>
          <w:rFonts w:ascii="Arial" w:cs="Arial" w:eastAsia="Arial" w:hAnsi="Arial"/>
          <w:sz w:val="16"/>
          <w:szCs w:val="16"/>
          <w:b w:val="1"/>
          <w:bCs w:val="1"/>
          <w:color w:val="auto"/>
        </w:rPr>
        <w:t>SCHEDULE 13G</w:t>
      </w:r>
    </w:p>
    <w:p>
      <w:pPr>
        <w:spacing w:after="0" w:line="167"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(Amendment No. 2)*</w:t>
      </w:r>
    </w:p>
    <w:p>
      <w:pPr>
        <w:spacing w:after="0" w:line="167"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(CUSIP Number)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 w:lineRule="exact"/>
        <w:rPr>
          <w:sz w:val="24"/>
          <w:szCs w:val="24"/>
          <w:color w:val="auto"/>
        </w:rPr>
      </w:pPr>
    </w:p>
    <w:p>
      <w:pPr>
        <w:jc w:val="both"/>
        <w:ind w:right="10060" w:firstLine="8"/>
        <w:spacing w:after="0" w:line="201" w:lineRule="exact"/>
        <w:tabs>
          <w:tab w:leader="none" w:pos="171"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1" w:lineRule="exact"/>
        <w:rPr>
          <w:sz w:val="24"/>
          <w:szCs w:val="24"/>
          <w:color w:val="auto"/>
        </w:rPr>
      </w:pPr>
    </w:p>
    <w:p>
      <w:pPr>
        <w:ind w:right="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66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right="8260" w:hanging="357"/>
        <w:spacing w:after="0" w:line="42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Eventide Asset Management, LLC</w:t>
      </w:r>
    </w:p>
    <w:p>
      <w:pPr>
        <w:spacing w:after="0" w:line="1" w:lineRule="exact"/>
        <w:rPr>
          <w:rFonts w:ascii="Arial" w:cs="Arial" w:eastAsia="Arial" w:hAnsi="Arial"/>
          <w:sz w:val="16"/>
          <w:szCs w:val="16"/>
          <w:color w:val="auto"/>
        </w:rPr>
      </w:pPr>
    </w:p>
    <w:p>
      <w:pPr>
        <w:ind w:left="460" w:right="6280" w:hanging="35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ind w:left="840" w:hanging="373"/>
        <w:spacing w:after="0" w:line="184" w:lineRule="exact"/>
        <w:tabs>
          <w:tab w:leader="none" w:pos="840" w:val="left"/>
        </w:tabs>
        <w:numPr>
          <w:ilvl w:val="1"/>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5" w:lineRule="exact"/>
        <w:rPr>
          <w:rFonts w:ascii="Arial" w:cs="Arial" w:eastAsia="Arial" w:hAnsi="Arial"/>
          <w:sz w:val="16"/>
          <w:szCs w:val="16"/>
          <w:color w:val="auto"/>
        </w:rPr>
      </w:pPr>
    </w:p>
    <w:p>
      <w:pPr>
        <w:ind w:left="840" w:hanging="373"/>
        <w:spacing w:after="0" w:line="184" w:lineRule="exact"/>
        <w:tabs>
          <w:tab w:leader="none" w:pos="840" w:val="left"/>
        </w:tabs>
        <w:numPr>
          <w:ilvl w:val="1"/>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8" w:lineRule="exact"/>
        <w:rPr>
          <w:rFonts w:ascii="Arial" w:cs="Arial" w:eastAsia="Arial" w:hAnsi="Arial"/>
          <w:sz w:val="16"/>
          <w:szCs w:val="16"/>
          <w:color w:val="auto"/>
        </w:rPr>
      </w:pPr>
    </w:p>
    <w:p>
      <w:pPr>
        <w:ind w:left="460" w:hanging="3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7" w:lineRule="exact"/>
        <w:rPr>
          <w:rFonts w:ascii="Arial" w:cs="Arial" w:eastAsia="Arial" w:hAnsi="Arial"/>
          <w:sz w:val="16"/>
          <w:szCs w:val="16"/>
          <w:color w:val="auto"/>
        </w:rPr>
      </w:pPr>
    </w:p>
    <w:p>
      <w:pPr>
        <w:ind w:left="460" w:right="7540" w:hanging="357"/>
        <w:spacing w:after="0" w:line="50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89" w:lineRule="exact"/>
        <w:rPr>
          <w:rFonts w:ascii="Arial" w:cs="Arial" w:eastAsia="Arial" w:hAnsi="Arial"/>
          <w:sz w:val="16"/>
          <w:szCs w:val="16"/>
          <w:color w:val="auto"/>
        </w:rPr>
      </w:pPr>
    </w:p>
    <w:p>
      <w:pPr>
        <w:ind w:left="2080" w:hanging="357"/>
        <w:spacing w:after="0"/>
        <w:tabs>
          <w:tab w:leader="none" w:pos="208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2,133,500</w:t>
            </w:r>
          </w:p>
        </w:tc>
        <w:tc>
          <w:tcPr>
            <w:tcW w:w="0" w:type="dxa"/>
            <w:vAlign w:val="bottom"/>
          </w:tcPr>
          <w:p>
            <w:pPr>
              <w:spacing w:after="0"/>
              <w:rPr>
                <w:sz w:val="1"/>
                <w:szCs w:val="1"/>
                <w:color w:val="auto"/>
              </w:rPr>
            </w:pPr>
          </w:p>
        </w:tc>
      </w:tr>
      <w:tr>
        <w:trPr>
          <w:trHeight w:val="190"/>
        </w:trPr>
        <w:tc>
          <w:tcPr>
            <w:tcW w:w="1640" w:type="dxa"/>
            <w:vAlign w:val="bottom"/>
            <w:vMerge w:val="restart"/>
          </w:tcPr>
          <w:p>
            <w:pPr>
              <w:jc w:val="center"/>
              <w:ind w:right="179"/>
              <w:spacing w:after="0"/>
              <w:rPr>
                <w:sz w:val="20"/>
                <w:szCs w:val="20"/>
                <w:color w:val="auto"/>
              </w:rPr>
            </w:pPr>
            <w:r>
              <w:rPr>
                <w:rFonts w:ascii="Arial" w:cs="Arial" w:eastAsia="Arial" w:hAnsi="Arial"/>
                <w:sz w:val="16"/>
                <w:szCs w:val="16"/>
                <w:color w:val="auto"/>
              </w:rPr>
              <w:t>NUMBER OF</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94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75"/>
        </w:trPr>
        <w:tc>
          <w:tcPr>
            <w:tcW w:w="1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6"/>
                <w:szCs w:val="16"/>
                <w:color w:val="auto"/>
              </w:rPr>
            </w:pPr>
          </w:p>
        </w:tc>
        <w:tc>
          <w:tcPr>
            <w:tcW w:w="9460" w:type="dxa"/>
            <w:vAlign w:val="bottom"/>
            <w:vMerge w:val="restart"/>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0"/>
        </w:trPr>
        <w:tc>
          <w:tcPr>
            <w:tcW w:w="1640" w:type="dxa"/>
            <w:vAlign w:val="bottom"/>
          </w:tcPr>
          <w:p>
            <w:pPr>
              <w:jc w:val="center"/>
              <w:ind w:right="179"/>
              <w:spacing w:after="0" w:line="160" w:lineRule="exact"/>
              <w:rPr>
                <w:sz w:val="20"/>
                <w:szCs w:val="20"/>
                <w:color w:val="auto"/>
              </w:rPr>
            </w:pPr>
            <w:r>
              <w:rPr>
                <w:rFonts w:ascii="Arial" w:cs="Arial" w:eastAsia="Arial" w:hAnsi="Arial"/>
                <w:sz w:val="16"/>
                <w:szCs w:val="16"/>
                <w:color w:val="auto"/>
              </w:rPr>
              <w:t>BENEFICIALLY</w:t>
            </w:r>
          </w:p>
        </w:tc>
        <w:tc>
          <w:tcPr>
            <w:tcW w:w="260" w:type="dxa"/>
            <w:vAlign w:val="bottom"/>
            <w:tcBorders>
              <w:bottom w:val="single" w:sz="8" w:color="auto"/>
            </w:tcBorders>
          </w:tcPr>
          <w:p>
            <w:pPr>
              <w:spacing w:after="0"/>
              <w:rPr>
                <w:sz w:val="13"/>
                <w:szCs w:val="13"/>
                <w:color w:val="auto"/>
              </w:rPr>
            </w:pPr>
          </w:p>
        </w:tc>
        <w:tc>
          <w:tcPr>
            <w:tcW w:w="9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00" w:type="dxa"/>
            <w:vAlign w:val="bottom"/>
            <w:gridSpan w:val="2"/>
          </w:tcPr>
          <w:p>
            <w:pPr>
              <w:jc w:val="right"/>
              <w:ind w:right="19"/>
              <w:spacing w:after="0"/>
              <w:rPr>
                <w:sz w:val="20"/>
                <w:szCs w:val="20"/>
                <w:color w:val="auto"/>
              </w:rPr>
            </w:pPr>
            <w:r>
              <w:rPr>
                <w:rFonts w:ascii="Arial" w:cs="Arial" w:eastAsia="Arial" w:hAnsi="Arial"/>
                <w:sz w:val="16"/>
                <w:szCs w:val="16"/>
                <w:color w:val="auto"/>
              </w:rPr>
              <w:t>OWNED BY EACH    7.</w:t>
            </w:r>
          </w:p>
        </w:tc>
        <w:tc>
          <w:tcPr>
            <w:tcW w:w="9460" w:type="dxa"/>
            <w:vAlign w:val="bottom"/>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89"/>
        </w:trPr>
        <w:tc>
          <w:tcPr>
            <w:tcW w:w="1640" w:type="dxa"/>
            <w:vAlign w:val="bottom"/>
          </w:tcPr>
          <w:p>
            <w:pPr>
              <w:jc w:val="center"/>
              <w:ind w:right="159"/>
              <w:spacing w:after="0"/>
              <w:rPr>
                <w:sz w:val="20"/>
                <w:szCs w:val="20"/>
                <w:color w:val="auto"/>
              </w:rPr>
            </w:pPr>
            <w:r>
              <w:rPr>
                <w:rFonts w:ascii="Arial" w:cs="Arial" w:eastAsia="Arial" w:hAnsi="Arial"/>
                <w:sz w:val="16"/>
                <w:szCs w:val="16"/>
                <w:color w:val="auto"/>
              </w:rPr>
              <w:t>REPORTING</w:t>
            </w:r>
          </w:p>
        </w:tc>
        <w:tc>
          <w:tcPr>
            <w:tcW w:w="2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PERSON WITH</w:t>
            </w:r>
          </w:p>
        </w:tc>
        <w:tc>
          <w:tcPr>
            <w:tcW w:w="26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auto"/>
              </w:rPr>
              <w:t>2,133,500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-3810</wp:posOffset>
            </wp:positionV>
            <wp:extent cx="6165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ind w:left="2080" w:right="6960" w:hanging="357"/>
        <w:spacing w:after="0" w:line="577"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spacing w:after="0" w:line="236" w:lineRule="exact"/>
        <w:rPr>
          <w:rFonts w:ascii="Arial" w:cs="Arial" w:eastAsia="Arial" w:hAnsi="Arial"/>
          <w:sz w:val="16"/>
          <w:szCs w:val="16"/>
          <w:color w:val="auto"/>
        </w:rPr>
      </w:pPr>
    </w:p>
    <w:p>
      <w:pPr>
        <w:ind w:left="480" w:right="4840" w:hanging="364"/>
        <w:spacing w:after="0" w:line="41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2,133,500</w:t>
      </w:r>
    </w:p>
    <w:p>
      <w:pPr>
        <w:spacing w:after="0" w:line="1" w:lineRule="exact"/>
        <w:rPr>
          <w:rFonts w:ascii="Arial" w:cs="Arial" w:eastAsia="Arial" w:hAnsi="Arial"/>
          <w:sz w:val="16"/>
          <w:szCs w:val="16"/>
          <w:color w:val="auto"/>
        </w:rPr>
      </w:pPr>
    </w:p>
    <w:p>
      <w:pPr>
        <w:ind w:left="480" w:right="4740" w:hanging="454"/>
        <w:spacing w:after="0" w:line="196" w:lineRule="exact"/>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6"/>
          <w:szCs w:val="16"/>
          <w:color w:val="auto"/>
        </w:rPr>
        <w:t>☐</w:t>
      </w:r>
    </w:p>
    <w:p>
      <w:pPr>
        <w:ind w:left="480" w:right="6160" w:hanging="454"/>
        <w:spacing w:after="0" w:line="41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6.3%</w:t>
      </w:r>
    </w:p>
    <w:p>
      <w:pPr>
        <w:spacing w:after="0" w:line="1" w:lineRule="exact"/>
        <w:rPr>
          <w:rFonts w:ascii="Arial" w:cs="Arial" w:eastAsia="Arial" w:hAnsi="Arial"/>
          <w:sz w:val="16"/>
          <w:szCs w:val="16"/>
          <w:color w:val="auto"/>
        </w:rPr>
      </w:pPr>
    </w:p>
    <w:p>
      <w:pPr>
        <w:ind w:left="480" w:hanging="454"/>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48"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-1764030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0" w:right="239" w:bottom="1440" w:gutter="0" w:footer="0" w:header="0"/>
        </w:sectPr>
      </w:pPr>
    </w:p>
    <w:bookmarkStart w:id="2" w:name="page3"/>
    <w:bookmarkEnd w:id="2"/>
    <w:p>
      <w:pPr>
        <w:spacing w:after="0"/>
        <w:tabs>
          <w:tab w:leader="none" w:pos="566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3 of 5 Pages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7" w:lineRule="exact"/>
        <w:rPr>
          <w:sz w:val="20"/>
          <w:szCs w:val="20"/>
          <w:color w:val="auto"/>
        </w:rPr>
      </w:pPr>
    </w:p>
    <w:p>
      <w:pPr>
        <w:ind w:left="700" w:right="9620" w:hanging="341"/>
        <w:spacing w:after="0" w:line="26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Veracyte, Inc.</w:t>
      </w:r>
    </w:p>
    <w:p>
      <w:pPr>
        <w:spacing w:after="0" w:line="222"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6000 Shoreline Court, Suite 300, South San Francisco, California 94080</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87"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w:t>
      </w:r>
    </w:p>
    <w:p>
      <w:pPr>
        <w:spacing w:after="0" w:line="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Eventide Asset Management, LLC</w:t>
      </w:r>
    </w:p>
    <w:p>
      <w:pPr>
        <w:spacing w:after="0" w:line="248" w:lineRule="exact"/>
        <w:rPr>
          <w:rFonts w:ascii="Arial" w:cs="Arial" w:eastAsia="Arial" w:hAnsi="Arial"/>
          <w:sz w:val="16"/>
          <w:szCs w:val="16"/>
          <w:color w:val="auto"/>
        </w:rPr>
      </w:pPr>
    </w:p>
    <w:p>
      <w:pPr>
        <w:ind w:left="700" w:right="6740" w:hanging="341"/>
        <w:spacing w:after="0" w:line="26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 One International Place, Suite 3510, Boston, MA 02110</w:t>
      </w:r>
    </w:p>
    <w:p>
      <w:pPr>
        <w:spacing w:after="0" w:line="222" w:lineRule="exact"/>
        <w:rPr>
          <w:rFonts w:ascii="Arial" w:cs="Arial" w:eastAsia="Arial" w:hAnsi="Arial"/>
          <w:sz w:val="16"/>
          <w:szCs w:val="16"/>
          <w:color w:val="auto"/>
        </w:rPr>
      </w:pPr>
    </w:p>
    <w:p>
      <w:pPr>
        <w:ind w:left="700" w:right="9940" w:hanging="341"/>
        <w:spacing w:after="0" w:line="293" w:lineRule="auto"/>
        <w:tabs>
          <w:tab w:leader="none" w:pos="7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Citizenship Delaware</w:t>
      </w:r>
    </w:p>
    <w:p>
      <w:pPr>
        <w:spacing w:after="0" w:line="200" w:lineRule="exact"/>
        <w:rPr>
          <w:rFonts w:ascii="Arial" w:cs="Arial" w:eastAsia="Arial" w:hAnsi="Arial"/>
          <w:sz w:val="15"/>
          <w:szCs w:val="15"/>
          <w:color w:val="auto"/>
        </w:rPr>
      </w:pPr>
    </w:p>
    <w:p>
      <w:pPr>
        <w:ind w:left="700" w:right="8320" w:hanging="341"/>
        <w:spacing w:after="0" w:line="26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$0.001 par value</w:t>
      </w:r>
    </w:p>
    <w:p>
      <w:pPr>
        <w:spacing w:after="0" w:line="222" w:lineRule="exact"/>
        <w:rPr>
          <w:rFonts w:ascii="Arial" w:cs="Arial" w:eastAsia="Arial" w:hAnsi="Arial"/>
          <w:sz w:val="16"/>
          <w:szCs w:val="16"/>
          <w:color w:val="auto"/>
        </w:rPr>
      </w:pPr>
    </w:p>
    <w:p>
      <w:pPr>
        <w:ind w:left="700" w:right="9600" w:hanging="341"/>
        <w:spacing w:after="0" w:line="26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45" w:lineRule="exact"/>
        <w:rPr>
          <w:sz w:val="20"/>
          <w:szCs w:val="20"/>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Broker or dealer registered under section 15 of the Act (15 U.S.C. 78o).</w:t>
      </w:r>
    </w:p>
    <w:p>
      <w:pPr>
        <w:spacing w:after="0" w:line="302"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Bank as defined in section 3(a)(6) of the Act (15 U.S.C. 78c).</w:t>
      </w:r>
    </w:p>
    <w:p>
      <w:pPr>
        <w:spacing w:after="0" w:line="302"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Insurance company as defined in section 3(a)(19) of the Act (15 U.S.C. 78c).</w:t>
      </w:r>
    </w:p>
    <w:p>
      <w:pPr>
        <w:spacing w:after="0" w:line="302"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32" w:lineRule="exact"/>
        <w:rPr>
          <w:rFonts w:ascii="Arial" w:cs="Arial" w:eastAsia="Arial" w:hAnsi="Arial"/>
          <w:sz w:val="16"/>
          <w:szCs w:val="16"/>
          <w:color w:val="auto"/>
        </w:rPr>
      </w:pPr>
    </w:p>
    <w:p>
      <w:pPr>
        <w:ind w:left="720" w:hanging="361"/>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þAn investment adviser in accordance with §240.13d-1(b)(1)(ii)(E);</w:t>
      </w:r>
    </w:p>
    <w:p>
      <w:pPr>
        <w:spacing w:after="0" w:line="272"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employee benefit plan or endowment fund in accordance with §240.13d-1(b)(1)(ii)(F);</w:t>
      </w:r>
    </w:p>
    <w:p>
      <w:pPr>
        <w:spacing w:after="0" w:line="302"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parent holding company or control person in accordance with §240.13d-1(b)(1)(ii)(G);</w:t>
      </w:r>
    </w:p>
    <w:p>
      <w:pPr>
        <w:spacing w:after="0" w:line="302"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302" w:lineRule="exact"/>
        <w:rPr>
          <w:rFonts w:ascii="Arial" w:cs="Arial" w:eastAsia="Arial" w:hAnsi="Arial"/>
          <w:sz w:val="16"/>
          <w:szCs w:val="16"/>
          <w:color w:val="auto"/>
        </w:rPr>
      </w:pPr>
    </w:p>
    <w:p>
      <w:pPr>
        <w:ind w:left="1040" w:right="140" w:hanging="681"/>
        <w:spacing w:after="0" w:line="213" w:lineRule="exact"/>
        <w:tabs>
          <w:tab w:leader="none" w:pos="702"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spacing w:after="0" w:line="196" w:lineRule="exact"/>
        <w:rPr>
          <w:rFonts w:ascii="Arial" w:cs="Arial" w:eastAsia="Arial" w:hAnsi="Arial"/>
          <w:sz w:val="16"/>
          <w:szCs w:val="16"/>
          <w:color w:val="auto"/>
        </w:rPr>
      </w:pPr>
    </w:p>
    <w:p>
      <w:pPr>
        <w:ind w:left="720" w:hanging="361"/>
        <w:spacing w:after="0" w:line="184"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§240.13d-1(b)(1)(ii)(J).</w:t>
      </w:r>
    </w:p>
    <w:p>
      <w:pPr>
        <w:sectPr>
          <w:pgSz w:w="11900" w:h="16838" w:orient="portrait"/>
          <w:cols w:equalWidth="0" w:num="1">
            <w:col w:w="11420"/>
          </w:cols>
          <w:pgMar w:left="240" w:top="1330" w:right="239" w:bottom="1440" w:gutter="0" w:footer="0" w:header="0"/>
        </w:sectPr>
      </w:pPr>
    </w:p>
    <w:bookmarkStart w:id="3" w:name="page4"/>
    <w:bookmarkEnd w:id="3"/>
    <w:p>
      <w:pPr>
        <w:spacing w:after="0"/>
        <w:tabs>
          <w:tab w:leader="none" w:pos="566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4 of 5 Pages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beneficially owned: 2,133,500</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6.3%</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2,133,500</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2,133,500</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187" w:lineRule="exact"/>
        <w:rPr>
          <w:sz w:val="20"/>
          <w:szCs w:val="20"/>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Dissolution of a group requires a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Eventide Asset Management, LLC, a Delaware limited liability company located at One International Place, Suite 3510, Boston, MA 02110 is the beneficial owner of 2,133,500 common shares, as of December 31, 2017, by virtue of being the investment adviser to registered investment companies (mutual funds). No fund held more than 5% of the common shares.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ectPr>
          <w:pgSz w:w="11900" w:h="16838" w:orient="portrait"/>
          <w:cols w:equalWidth="0" w:num="1">
            <w:col w:w="11420"/>
          </w:cols>
          <w:pgMar w:left="240" w:top="1397" w:right="239" w:bottom="1440" w:gutter="0" w:footer="0" w:header="0"/>
        </w:sectPr>
      </w:pPr>
    </w:p>
    <w:bookmarkStart w:id="4" w:name="page5"/>
    <w:bookmarkEnd w:id="4"/>
    <w:p>
      <w:pPr>
        <w:spacing w:after="0"/>
        <w:tabs>
          <w:tab w:leader="none" w:pos="52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5 of 5 Pages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311" w:lineRule="exact"/>
        <w:rPr>
          <w:sz w:val="20"/>
          <w:szCs w:val="20"/>
          <w:color w:val="auto"/>
        </w:rPr>
      </w:pPr>
    </w:p>
    <w:p>
      <w:pPr>
        <w:ind w:left="480" w:right="380"/>
        <w:spacing w:after="0" w:line="25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correct.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02/12/2018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 Peter J. Luiso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Peter J. Luiso, Chief Compliance Officer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1420"/>
      </w:cols>
      <w:pgMar w:left="240" w:top="13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þ"/>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1"/>
    </w:lvl>
    <w:lvl w:ilvl="1">
      <w:lvlJc w:val="left"/>
      <w:lvlText w:val="%2."/>
      <w:numFmt w:val="decimal"/>
      <w:start w:val="8"/>
    </w:lvl>
  </w:abstractNum>
  <w:abstractNum w:abstractNumId="4">
    <w:nsid w:val="41B71EFB"/>
    <w:multiLevelType w:val="hybridMultilevel"/>
    <w:lvl w:ilvl="0">
      <w:lvlJc w:val="left"/>
      <w:lvlText w:val="%1."/>
      <w:numFmt w:val="decimal"/>
      <w:start w:val="9"/>
    </w:lvl>
    <w:lvl w:ilvl="1">
      <w:lvlJc w:val="left"/>
      <w:lvlText w:val="%2"/>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2019-12-07T07:32:19Z</dcterms:created>
  <dcterms:modified xsi:type="dcterms:W3CDTF">2019-12-07T07:32:19Z</dcterms:modified>
</cp:coreProperties>
</file>