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1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-173355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60" w:type="dxa"/>
            <w:vAlign w:val="bottom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60" w:type="dxa"/>
            <w:vAlign w:val="bottom"/>
            <w:vMerge w:val="restart"/>
          </w:tcPr>
          <w:p>
            <w:pPr>
              <w:jc w:val="center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5414645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4102735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4128135</wp:posOffset>
            </wp:positionH>
            <wp:positionV relativeFrom="paragraph">
              <wp:posOffset>-608330</wp:posOffset>
            </wp:positionV>
            <wp:extent cx="126936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-1506220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40" w:space="240"/>
            <w:col w:w="8700"/>
          </w:cols>
          <w:pgMar w:left="460" w:top="225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JONES EVAN/ FA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6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16,480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35.5598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93,173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3,520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36.1592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18,800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35.1278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(6)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70,853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1"/>
                <w:szCs w:val="31"/>
                <w:color w:val="0000FF"/>
                <w:vertAlign w:val="subscript"/>
              </w:rPr>
              <w:t>LLC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20" w:type="dxa"/>
            <w:vAlign w:val="bottom"/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jVen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jc w:val="right"/>
              <w:ind w:right="6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08/03/2020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1,200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35.5954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(7)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69,653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Capital,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-4836795</wp:posOffset>
            </wp:positionV>
            <wp:extent cx="7031355" cy="4882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on this Form 4 was made pursuant to a Rule 10b5-1 plan adopted by the reporting person on August 20, 2019.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$35.04 to $36.04.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Reporting Person is the sole managing member of jVen Capital, LLC.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$36.05 to $36.34.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 on this Form 4 was made pursuant to a Rule 10b5-1 plan adopted by the reporting person on June 9, 2020.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$34.49 to $35.49. Detailed information regarding the number of shares sold at each separate price will be provided to the SEC, the issuer or a shareholder upon request.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$35.50 to $35.66. Detailed information regarding the number of shares sold at each separate price will be provided to the SEC, the issuer or a shareholder upon request.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Keith Kennedy,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08/04/2020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20741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2020-08-04T19:00:37Z</dcterms:created>
  <dcterms:modified xsi:type="dcterms:W3CDTF">2020-08-04T19:00:37Z</dcterms:modified>
</cp:coreProperties>
</file>