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1246505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1"/>
              </w:rPr>
              <w:t>Date of Report (Date of earliest event reported): April 13, 2020</w:t>
            </w:r>
          </w:p>
        </w:tc>
        <w:tc>
          <w:tcPr>
            <w:tcW w:w="2380" w:type="dxa"/>
            <w:vAlign w:val="bottom"/>
          </w:tcPr>
          <w:p>
            <w:pPr>
              <w:spacing w:after="0"/>
              <w:rPr>
                <w:sz w:val="20"/>
                <w:szCs w:val="20"/>
                <w:color w:val="auto"/>
              </w:rPr>
            </w:pPr>
          </w:p>
        </w:tc>
      </w:tr>
      <w:tr>
        <w:trPr>
          <w:trHeight w:val="445"/>
        </w:trPr>
        <w:tc>
          <w:tcPr>
            <w:tcW w:w="234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380" w:type="dxa"/>
            <w:vAlign w:val="bottom"/>
          </w:tcPr>
          <w:p>
            <w:pPr>
              <w:spacing w:after="0"/>
              <w:rPr>
                <w:sz w:val="24"/>
                <w:szCs w:val="24"/>
                <w:color w:val="auto"/>
              </w:rPr>
            </w:pPr>
          </w:p>
        </w:tc>
      </w:tr>
      <w:tr>
        <w:trPr>
          <w:trHeight w:val="230"/>
        </w:trPr>
        <w:tc>
          <w:tcPr>
            <w:tcW w:w="2340" w:type="dxa"/>
            <w:vAlign w:val="bottom"/>
          </w:tcPr>
          <w:p>
            <w:pPr>
              <w:spacing w:after="0"/>
              <w:rPr>
                <w:sz w:val="20"/>
                <w:szCs w:val="20"/>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380" w:type="dxa"/>
            <w:vAlign w:val="bottom"/>
          </w:tcPr>
          <w:p>
            <w:pPr>
              <w:spacing w:after="0"/>
              <w:rPr>
                <w:sz w:val="20"/>
                <w:szCs w:val="20"/>
                <w:color w:val="auto"/>
              </w:rPr>
            </w:pPr>
          </w:p>
        </w:tc>
      </w:tr>
      <w:tr>
        <w:trPr>
          <w:trHeight w:val="513"/>
        </w:trPr>
        <w:tc>
          <w:tcPr>
            <w:tcW w:w="2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Delaware</w:t>
            </w: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38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340" w:type="dxa"/>
            <w:vAlign w:val="bottom"/>
          </w:tcPr>
          <w:p>
            <w:pPr>
              <w:jc w:val="center"/>
              <w:ind w:right="150"/>
              <w:spacing w:after="0"/>
              <w:rPr>
                <w:sz w:val="20"/>
                <w:szCs w:val="20"/>
                <w:color w:val="auto"/>
              </w:rPr>
            </w:pPr>
            <w:r>
              <w:rPr>
                <w:rFonts w:ascii="Arial" w:cs="Arial" w:eastAsia="Arial" w:hAnsi="Arial"/>
                <w:sz w:val="18"/>
                <w:szCs w:val="18"/>
                <w:color w:val="auto"/>
                <w:w w:val="93"/>
              </w:rPr>
              <w:t>(State or other jurisdiction of</w:t>
            </w:r>
          </w:p>
        </w:tc>
        <w:tc>
          <w:tcPr>
            <w:tcW w:w="506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380" w:type="dxa"/>
            <w:vAlign w:val="bottom"/>
          </w:tcPr>
          <w:p>
            <w:pPr>
              <w:jc w:val="center"/>
              <w:ind w:left="19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340" w:type="dxa"/>
            <w:vAlign w:val="bottom"/>
          </w:tcPr>
          <w:p>
            <w:pPr>
              <w:jc w:val="center"/>
              <w:ind w:right="150"/>
              <w:spacing w:after="0"/>
              <w:rPr>
                <w:sz w:val="20"/>
                <w:szCs w:val="20"/>
                <w:color w:val="auto"/>
              </w:rPr>
            </w:pPr>
            <w:r>
              <w:rPr>
                <w:rFonts w:ascii="Arial" w:cs="Arial" w:eastAsia="Arial" w:hAnsi="Arial"/>
                <w:sz w:val="18"/>
                <w:szCs w:val="18"/>
                <w:color w:val="auto"/>
                <w:w w:val="92"/>
              </w:rPr>
              <w:t>incorporation)</w:t>
            </w:r>
          </w:p>
        </w:tc>
        <w:tc>
          <w:tcPr>
            <w:tcW w:w="5060" w:type="dxa"/>
            <w:vAlign w:val="bottom"/>
          </w:tcPr>
          <w:p>
            <w:pPr>
              <w:spacing w:after="0"/>
              <w:rPr>
                <w:sz w:val="20"/>
                <w:szCs w:val="20"/>
                <w:color w:val="auto"/>
              </w:rPr>
            </w:pP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93"/>
              </w:rPr>
              <w:t>No.)</w:t>
            </w:r>
          </w:p>
        </w:tc>
      </w:tr>
      <w:tr>
        <w:trPr>
          <w:trHeight w:val="526"/>
        </w:trPr>
        <w:tc>
          <w:tcPr>
            <w:tcW w:w="7400" w:type="dxa"/>
            <w:vAlign w:val="bottom"/>
            <w:gridSpan w:val="2"/>
          </w:tcPr>
          <w:p>
            <w:pPr>
              <w:ind w:left="6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380" w:type="dxa"/>
            <w:vAlign w:val="bottom"/>
          </w:tcPr>
          <w:p>
            <w:pPr>
              <w:jc w:val="right"/>
              <w:ind w:right="710"/>
              <w:spacing w:after="0"/>
              <w:rPr>
                <w:sz w:val="20"/>
                <w:szCs w:val="20"/>
                <w:color w:val="auto"/>
              </w:rPr>
            </w:pPr>
            <w:r>
              <w:rPr>
                <w:rFonts w:ascii="Arial" w:cs="Arial" w:eastAsia="Arial" w:hAnsi="Arial"/>
                <w:sz w:val="18"/>
                <w:szCs w:val="18"/>
                <w:b w:val="1"/>
                <w:bCs w:val="1"/>
                <w:color w:val="auto"/>
              </w:rPr>
              <w:t>94080</w:t>
            </w:r>
          </w:p>
        </w:tc>
      </w:tr>
      <w:tr>
        <w:trPr>
          <w:trHeight w:val="256"/>
        </w:trPr>
        <w:tc>
          <w:tcPr>
            <w:tcW w:w="7400" w:type="dxa"/>
            <w:vAlign w:val="bottom"/>
            <w:gridSpan w:val="2"/>
          </w:tcPr>
          <w:p>
            <w:pPr>
              <w:ind w:left="1140"/>
              <w:spacing w:after="0"/>
              <w:rPr>
                <w:sz w:val="20"/>
                <w:szCs w:val="20"/>
                <w:color w:val="auto"/>
              </w:rPr>
            </w:pPr>
            <w:r>
              <w:rPr>
                <w:rFonts w:ascii="Arial" w:cs="Arial" w:eastAsia="Arial" w:hAnsi="Arial"/>
                <w:sz w:val="18"/>
                <w:szCs w:val="18"/>
                <w:color w:val="auto"/>
              </w:rPr>
              <w:t>(Address of principal executive offices)</w:t>
            </w:r>
          </w:p>
        </w:tc>
        <w:tc>
          <w:tcPr>
            <w:tcW w:w="2380" w:type="dxa"/>
            <w:vAlign w:val="bottom"/>
          </w:tcPr>
          <w:p>
            <w:pPr>
              <w:jc w:val="center"/>
              <w:ind w:left="250"/>
              <w:spacing w:after="0"/>
              <w:rPr>
                <w:sz w:val="20"/>
                <w:szCs w:val="20"/>
                <w:color w:val="auto"/>
              </w:rPr>
            </w:pPr>
            <w:r>
              <w:rPr>
                <w:rFonts w:ascii="Arial" w:cs="Arial" w:eastAsia="Arial" w:hAnsi="Arial"/>
                <w:sz w:val="18"/>
                <w:szCs w:val="18"/>
                <w:color w:val="auto"/>
                <w:w w:val="94"/>
              </w:rPr>
              <w:t>(Zip Code)</w:t>
            </w:r>
          </w:p>
        </w:tc>
      </w:tr>
    </w:tbl>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0" w:type="dxa"/>
            <w:vAlign w:val="bottom"/>
          </w:tcPr>
          <w:p>
            <w:pPr>
              <w:spacing w:after="0"/>
              <w:rPr>
                <w:sz w:val="22"/>
                <w:szCs w:val="22"/>
                <w:color w:val="auto"/>
              </w:rPr>
            </w:pPr>
          </w:p>
        </w:tc>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96" w:lineRule="exact"/>
        <w:rPr>
          <w:sz w:val="24"/>
          <w:szCs w:val="24"/>
          <w:color w:val="auto"/>
        </w:rPr>
      </w:pPr>
    </w:p>
    <w:p>
      <w:pPr>
        <w:ind w:left="20" w:right="26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82"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1539240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13, 2020,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Veracyte, Inc. (“</w:t>
      </w:r>
      <w:r>
        <w:rPr>
          <w:rFonts w:ascii="Arial" w:cs="Arial" w:eastAsia="Arial" w:hAnsi="Arial"/>
          <w:sz w:val="18"/>
          <w:szCs w:val="18"/>
          <w:b w:val="1"/>
          <w:bCs w:val="1"/>
          <w:i w:val="1"/>
          <w:iCs w:val="1"/>
          <w:color w:val="auto"/>
        </w:rPr>
        <w:t>Veracyte</w:t>
      </w:r>
      <w:r>
        <w:rPr>
          <w:rFonts w:ascii="Arial" w:cs="Arial" w:eastAsia="Arial" w:hAnsi="Arial"/>
          <w:sz w:val="18"/>
          <w:szCs w:val="18"/>
          <w:color w:val="auto"/>
        </w:rPr>
        <w:t>”) amended and restated Veracyte’s amended and restated bylaws (the “</w:t>
      </w:r>
      <w:r>
        <w:rPr>
          <w:rFonts w:ascii="Arial" w:cs="Arial" w:eastAsia="Arial" w:hAnsi="Arial"/>
          <w:sz w:val="18"/>
          <w:szCs w:val="18"/>
          <w:b w:val="1"/>
          <w:bCs w:val="1"/>
          <w:i w:val="1"/>
          <w:iCs w:val="1"/>
          <w:color w:val="auto"/>
        </w:rPr>
        <w:t>Amended and Restated Bylaws</w:t>
      </w:r>
      <w:r>
        <w:rPr>
          <w:rFonts w:ascii="Arial" w:cs="Arial" w:eastAsia="Arial" w:hAnsi="Arial"/>
          <w:sz w:val="18"/>
          <w:szCs w:val="18"/>
          <w:color w:val="auto"/>
        </w:rPr>
        <w:t xml:space="preserve">”) to adopt a new Article 10, </w:t>
      </w:r>
      <w:r>
        <w:rPr>
          <w:rFonts w:ascii="Arial" w:cs="Arial" w:eastAsia="Arial" w:hAnsi="Arial"/>
          <w:sz w:val="18"/>
          <w:szCs w:val="18"/>
          <w:i w:val="1"/>
          <w:iCs w:val="1"/>
          <w:color w:val="auto"/>
        </w:rPr>
        <w:t>Exclusive Forum</w:t>
      </w:r>
      <w:r>
        <w:rPr>
          <w:rFonts w:ascii="Arial" w:cs="Arial" w:eastAsia="Arial" w:hAnsi="Arial"/>
          <w:sz w:val="18"/>
          <w:szCs w:val="18"/>
          <w:color w:val="auto"/>
        </w:rPr>
        <w:t>, a provision designating the federal district courts of the United States as the exclusive jurisdiction for any litigation arising under the Securities Act of 1933, as amended.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summary and description of the provision of the Amended and Restated Bylaws does not purport to be complete and is qualified in its entirety by reference to the full text of the Amended and Restated Bylaws, a copy of which is filed as Exhibit 3.1 with this Current Report on Form 8-K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926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1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60" w:type="dxa"/>
            <w:vAlign w:val="bottom"/>
            <w:tcBorders>
              <w:bottom w:val="single" w:sz="8" w:color="auto"/>
            </w:tcBorders>
          </w:tcPr>
          <w:p>
            <w:pPr>
              <w:spacing w:after="0"/>
              <w:rPr>
                <w:sz w:val="2"/>
                <w:szCs w:val="2"/>
                <w:color w:val="auto"/>
              </w:rPr>
            </w:pPr>
          </w:p>
        </w:tc>
      </w:tr>
      <w:tr>
        <w:trPr>
          <w:trHeight w:val="331"/>
        </w:trPr>
        <w:tc>
          <w:tcPr>
            <w:tcW w:w="1420" w:type="dxa"/>
            <w:vAlign w:val="bottom"/>
          </w:tcPr>
          <w:p>
            <w:pPr>
              <w:jc w:val="center"/>
              <w:ind w:right="39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3.1</w:t>
              </w:r>
            </w:hyperlink>
          </w:p>
        </w:tc>
        <w:tc>
          <w:tcPr>
            <w:tcW w:w="240" w:type="dxa"/>
            <w:vAlign w:val="bottom"/>
          </w:tcPr>
          <w:p>
            <w:pPr>
              <w:spacing w:after="0"/>
              <w:rPr>
                <w:sz w:val="24"/>
                <w:szCs w:val="24"/>
                <w:color w:val="auto"/>
              </w:rPr>
            </w:pPr>
          </w:p>
        </w:tc>
        <w:tc>
          <w:tcPr>
            <w:tcW w:w="9260" w:type="dxa"/>
            <w:vAlign w:val="bottom"/>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Amended and Restated Bylaws.</w:t>
              </w:r>
            </w:hyperlink>
          </w:p>
        </w:tc>
      </w:tr>
      <w:tr>
        <w:trPr>
          <w:trHeight w:val="257"/>
        </w:trPr>
        <w:tc>
          <w:tcPr>
            <w:tcW w:w="142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2"/>
                <w:szCs w:val="22"/>
                <w:color w:val="auto"/>
              </w:rPr>
            </w:pPr>
          </w:p>
        </w:tc>
        <w:tc>
          <w:tcPr>
            <w:tcW w:w="9260" w:type="dxa"/>
            <w:vAlign w:val="bottom"/>
          </w:tcPr>
          <w:p>
            <w:pPr>
              <w:ind w:left="20"/>
              <w:spacing w:after="0"/>
              <w:rPr>
                <w:sz w:val="20"/>
                <w:szCs w:val="20"/>
                <w:color w:val="auto"/>
              </w:rPr>
            </w:pPr>
            <w:r>
              <w:rPr>
                <w:rFonts w:ascii="Arial" w:cs="Arial" w:eastAsia="Arial" w:hAnsi="Arial"/>
                <w:sz w:val="18"/>
                <w:szCs w:val="18"/>
                <w:color w:val="auto"/>
              </w:rPr>
              <w:t>Cover Page Interactive Data File (the cover page XBRL tags are embedded within the inline XBRL document).</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14, 2020</w:t>
      </w:r>
    </w:p>
    <w:p>
      <w:pPr>
        <w:spacing w:after="0" w:line="27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p>
      <w:pPr>
        <w:ind w:left="430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23495</wp:posOffset>
            </wp:positionV>
            <wp:extent cx="3917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0" w:lineRule="exact"/>
        <w:rPr>
          <w:sz w:val="20"/>
          <w:szCs w:val="20"/>
          <w:color w:val="auto"/>
        </w:rPr>
      </w:pPr>
    </w:p>
    <w:p>
      <w:pPr>
        <w:ind w:left="4300"/>
        <w:spacing w:after="0"/>
        <w:tabs>
          <w:tab w:leader="none" w:pos="51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Keith Kennedy</w:t>
      </w:r>
    </w:p>
    <w:p>
      <w:pPr>
        <w:spacing w:after="0" w:line="63" w:lineRule="exact"/>
        <w:rPr>
          <w:sz w:val="20"/>
          <w:szCs w:val="20"/>
          <w:color w:val="auto"/>
        </w:rPr>
      </w:pPr>
    </w:p>
    <w:p>
      <w:pPr>
        <w:ind w:left="4300"/>
        <w:spacing w:after="0"/>
        <w:tabs>
          <w:tab w:leader="none" w:pos="5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Operating Officer and Chief Financial Officer</w:t>
      </w:r>
    </w:p>
    <w:p>
      <w:pPr>
        <w:spacing w:after="0" w:line="50" w:lineRule="exact"/>
        <w:rPr>
          <w:sz w:val="20"/>
          <w:szCs w:val="20"/>
          <w:color w:val="auto"/>
        </w:rPr>
      </w:pPr>
    </w:p>
    <w:p>
      <w:pPr>
        <w:ind w:left="51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440"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56" w:lineRule="exact"/>
        <w:rPr>
          <w:sz w:val="20"/>
          <w:szCs w:val="20"/>
          <w:color w:val="auto"/>
        </w:rPr>
      </w:pPr>
    </w:p>
    <w:p>
      <w:pPr>
        <w:jc w:val="center"/>
        <w:ind w:right="1120"/>
        <w:spacing w:after="0" w:line="242" w:lineRule="exact"/>
        <w:rPr>
          <w:sz w:val="20"/>
          <w:szCs w:val="20"/>
          <w:color w:val="auto"/>
        </w:rPr>
      </w:pPr>
      <w:r>
        <w:rPr>
          <w:rFonts w:ascii="Arial" w:cs="Arial" w:eastAsia="Arial" w:hAnsi="Arial"/>
          <w:sz w:val="21"/>
          <w:szCs w:val="21"/>
          <w:b w:val="1"/>
          <w:bCs w:val="1"/>
          <w:color w:val="auto"/>
        </w:rPr>
        <w:t xml:space="preserve">AMENDED AND RESTATED </w:t>
      </w:r>
      <w:r>
        <w:rPr>
          <w:rFonts w:ascii="MS PGothic" w:cs="MS PGothic" w:eastAsia="MS PGothic" w:hAnsi="MS PGothic"/>
          <w:sz w:val="21"/>
          <w:szCs w:val="21"/>
          <w:color w:val="auto"/>
        </w:rPr>
        <w:t> </w:t>
      </w:r>
      <w:r>
        <w:rPr>
          <w:rFonts w:ascii="Arial" w:cs="Arial" w:eastAsia="Arial" w:hAnsi="Arial"/>
          <w:sz w:val="21"/>
          <w:szCs w:val="21"/>
          <w:b w:val="1"/>
          <w:bCs w:val="1"/>
          <w:color w:val="auto"/>
        </w:rPr>
        <w:t xml:space="preserve">BYLAWS </w:t>
      </w:r>
      <w:r>
        <w:rPr>
          <w:rFonts w:ascii="MS PGothic" w:cs="MS PGothic" w:eastAsia="MS PGothic" w:hAnsi="MS PGothic"/>
          <w:sz w:val="21"/>
          <w:szCs w:val="21"/>
          <w:color w:val="auto"/>
        </w:rPr>
        <w:t> </w:t>
      </w:r>
      <w:r>
        <w:rPr>
          <w:rFonts w:ascii="Arial" w:cs="Arial" w:eastAsia="Arial" w:hAnsi="Arial"/>
          <w:sz w:val="21"/>
          <w:szCs w:val="21"/>
          <w:b w:val="1"/>
          <w:bCs w:val="1"/>
          <w:color w:val="auto"/>
        </w:rPr>
        <w:t xml:space="preserve">OF </w:t>
      </w:r>
      <w:r>
        <w:rPr>
          <w:rFonts w:ascii="MS PGothic" w:cs="MS PGothic" w:eastAsia="MS PGothic" w:hAnsi="MS PGothic"/>
          <w:sz w:val="21"/>
          <w:szCs w:val="21"/>
          <w:color w:val="auto"/>
        </w:rPr>
        <w:t> </w:t>
      </w:r>
      <w:r>
        <w:rPr>
          <w:rFonts w:ascii="Arial" w:cs="Arial" w:eastAsia="Arial" w:hAnsi="Arial"/>
          <w:sz w:val="21"/>
          <w:szCs w:val="21"/>
          <w:b w:val="1"/>
          <w:bCs w:val="1"/>
          <w:color w:val="auto"/>
        </w:rPr>
        <w:t>VERACYTE, INC.</w:t>
      </w:r>
    </w:p>
    <w:p>
      <w:pPr>
        <w:spacing w:after="0" w:line="7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 Delaware corporation)</w:t>
      </w:r>
    </w:p>
    <w:p>
      <w:pPr>
        <w:sectPr>
          <w:pgSz w:w="11900" w:h="16838" w:orient="portrait"/>
          <w:cols w:equalWidth="0" w:num="1">
            <w:col w:w="10120"/>
          </w:cols>
          <w:pgMar w:left="1440" w:top="1422" w:right="339" w:bottom="1440" w:gutter="0" w:footer="0" w:header="0"/>
        </w:sectPr>
      </w:pPr>
    </w:p>
    <w:bookmarkStart w:id="3" w:name="page4"/>
    <w:bookmarkEnd w:id="3"/>
    <w:p>
      <w:pPr>
        <w:jc w:val="center"/>
        <w:ind w:right="26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400" w:type="dxa"/>
            <w:vAlign w:val="bottom"/>
          </w:tcPr>
          <w:p>
            <w:pPr>
              <w:jc w:val="right"/>
              <w:ind w:right="550"/>
              <w:spacing w:after="0"/>
              <w:rPr>
                <w:sz w:val="20"/>
                <w:szCs w:val="20"/>
                <w:color w:val="auto"/>
              </w:rPr>
            </w:pPr>
            <w:r>
              <w:rPr>
                <w:rFonts w:ascii="Arial" w:cs="Arial" w:eastAsia="Arial" w:hAnsi="Arial"/>
                <w:sz w:val="18"/>
                <w:szCs w:val="18"/>
                <w:b w:val="1"/>
                <w:bCs w:val="1"/>
                <w:color w:val="auto"/>
              </w:rPr>
              <w:t>Page</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ARTICLE 1</w:t>
            </w:r>
          </w:p>
        </w:tc>
        <w:tc>
          <w:tcPr>
            <w:tcW w:w="5720" w:type="dxa"/>
            <w:vAlign w:val="bottom"/>
          </w:tcPr>
          <w:p>
            <w:pPr>
              <w:ind w:left="920"/>
              <w:spacing w:after="0"/>
              <w:rPr>
                <w:sz w:val="20"/>
                <w:szCs w:val="20"/>
                <w:color w:val="auto"/>
              </w:rPr>
            </w:pPr>
            <w:r>
              <w:rPr>
                <w:rFonts w:ascii="Arial" w:cs="Arial" w:eastAsia="Arial" w:hAnsi="Arial"/>
                <w:sz w:val="18"/>
                <w:szCs w:val="18"/>
                <w:color w:val="auto"/>
              </w:rPr>
              <w:t>Offices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1.1 Registered Office</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1.2 Other Offices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ARTICLE 2</w:t>
            </w:r>
          </w:p>
        </w:tc>
        <w:tc>
          <w:tcPr>
            <w:tcW w:w="5720" w:type="dxa"/>
            <w:vAlign w:val="bottom"/>
          </w:tcPr>
          <w:p>
            <w:pPr>
              <w:ind w:left="960"/>
              <w:spacing w:after="0"/>
              <w:rPr>
                <w:sz w:val="20"/>
                <w:szCs w:val="20"/>
                <w:color w:val="auto"/>
              </w:rPr>
            </w:pPr>
            <w:r>
              <w:rPr>
                <w:rFonts w:ascii="Arial" w:cs="Arial" w:eastAsia="Arial" w:hAnsi="Arial"/>
                <w:sz w:val="18"/>
                <w:szCs w:val="18"/>
                <w:color w:val="auto"/>
              </w:rPr>
              <w:t>Meeting of Stockholders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2.1 Place of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2.2 Annual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2.3 Special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2.4 Notice of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2.5 List of Stockholders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2.6 Organization and Conduct of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2.7 Quorum</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2.8 Adjournments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2.9 Voting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440" w:type="dxa"/>
            <w:vAlign w:val="bottom"/>
          </w:tcPr>
          <w:p>
            <w:pPr>
              <w:spacing w:after="0"/>
              <w:rPr>
                <w:sz w:val="23"/>
                <w:szCs w:val="23"/>
                <w:color w:val="auto"/>
              </w:rPr>
            </w:pPr>
          </w:p>
        </w:tc>
        <w:tc>
          <w:tcPr>
            <w:tcW w:w="5720" w:type="dxa"/>
            <w:vAlign w:val="bottom"/>
          </w:tcPr>
          <w:p>
            <w:pPr>
              <w:ind w:left="560"/>
              <w:spacing w:after="0"/>
              <w:rPr>
                <w:sz w:val="20"/>
                <w:szCs w:val="20"/>
                <w:color w:val="auto"/>
              </w:rPr>
            </w:pPr>
            <w:r>
              <w:rPr>
                <w:rFonts w:ascii="Arial" w:cs="Arial" w:eastAsia="Arial" w:hAnsi="Arial"/>
                <w:sz w:val="18"/>
                <w:szCs w:val="18"/>
                <w:color w:val="auto"/>
              </w:rPr>
              <w:t>2.10 Action at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440" w:type="dxa"/>
            <w:vAlign w:val="bottom"/>
          </w:tcPr>
          <w:p>
            <w:pPr>
              <w:spacing w:after="0"/>
              <w:rPr>
                <w:sz w:val="23"/>
                <w:szCs w:val="23"/>
                <w:color w:val="auto"/>
              </w:rPr>
            </w:pPr>
          </w:p>
        </w:tc>
        <w:tc>
          <w:tcPr>
            <w:tcW w:w="5720" w:type="dxa"/>
            <w:vAlign w:val="bottom"/>
          </w:tcPr>
          <w:p>
            <w:pPr>
              <w:ind w:left="560"/>
              <w:spacing w:after="0"/>
              <w:rPr>
                <w:sz w:val="20"/>
                <w:szCs w:val="20"/>
                <w:color w:val="auto"/>
              </w:rPr>
            </w:pPr>
            <w:r>
              <w:rPr>
                <w:rFonts w:ascii="Arial" w:cs="Arial" w:eastAsia="Arial" w:hAnsi="Arial"/>
                <w:sz w:val="18"/>
                <w:szCs w:val="18"/>
                <w:color w:val="auto"/>
              </w:rPr>
              <w:t>2.11 Record Date for Stockholder Notice and Voting</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1440" w:type="dxa"/>
            <w:vAlign w:val="bottom"/>
          </w:tcPr>
          <w:p>
            <w:pPr>
              <w:spacing w:after="0"/>
              <w:rPr>
                <w:sz w:val="23"/>
                <w:szCs w:val="23"/>
                <w:color w:val="auto"/>
              </w:rPr>
            </w:pPr>
          </w:p>
        </w:tc>
        <w:tc>
          <w:tcPr>
            <w:tcW w:w="5720" w:type="dxa"/>
            <w:vAlign w:val="bottom"/>
          </w:tcPr>
          <w:p>
            <w:pPr>
              <w:ind w:left="560"/>
              <w:spacing w:after="0"/>
              <w:rPr>
                <w:sz w:val="20"/>
                <w:szCs w:val="20"/>
                <w:color w:val="auto"/>
              </w:rPr>
            </w:pPr>
            <w:r>
              <w:rPr>
                <w:rFonts w:ascii="Arial" w:cs="Arial" w:eastAsia="Arial" w:hAnsi="Arial"/>
                <w:sz w:val="18"/>
                <w:szCs w:val="18"/>
                <w:color w:val="auto"/>
              </w:rPr>
              <w:t>2.12 Proxies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1440" w:type="dxa"/>
            <w:vAlign w:val="bottom"/>
          </w:tcPr>
          <w:p>
            <w:pPr>
              <w:spacing w:after="0"/>
              <w:rPr>
                <w:sz w:val="23"/>
                <w:szCs w:val="23"/>
                <w:color w:val="auto"/>
              </w:rPr>
            </w:pPr>
          </w:p>
        </w:tc>
        <w:tc>
          <w:tcPr>
            <w:tcW w:w="5720" w:type="dxa"/>
            <w:vAlign w:val="bottom"/>
          </w:tcPr>
          <w:p>
            <w:pPr>
              <w:ind w:left="560"/>
              <w:spacing w:after="0"/>
              <w:rPr>
                <w:sz w:val="20"/>
                <w:szCs w:val="20"/>
                <w:color w:val="auto"/>
              </w:rPr>
            </w:pPr>
            <w:r>
              <w:rPr>
                <w:rFonts w:ascii="Arial" w:cs="Arial" w:eastAsia="Arial" w:hAnsi="Arial"/>
                <w:sz w:val="18"/>
                <w:szCs w:val="18"/>
                <w:color w:val="auto"/>
              </w:rPr>
              <w:t>2.13 Inspectors of Election</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1440" w:type="dxa"/>
            <w:vAlign w:val="bottom"/>
          </w:tcPr>
          <w:p>
            <w:pPr>
              <w:spacing w:after="0"/>
              <w:rPr>
                <w:sz w:val="23"/>
                <w:szCs w:val="23"/>
                <w:color w:val="auto"/>
              </w:rPr>
            </w:pPr>
          </w:p>
        </w:tc>
        <w:tc>
          <w:tcPr>
            <w:tcW w:w="5720" w:type="dxa"/>
            <w:vAlign w:val="bottom"/>
          </w:tcPr>
          <w:p>
            <w:pPr>
              <w:ind w:left="560"/>
              <w:spacing w:after="0"/>
              <w:rPr>
                <w:sz w:val="20"/>
                <w:szCs w:val="20"/>
                <w:color w:val="auto"/>
              </w:rPr>
            </w:pPr>
            <w:r>
              <w:rPr>
                <w:rFonts w:ascii="Arial" w:cs="Arial" w:eastAsia="Arial" w:hAnsi="Arial"/>
                <w:sz w:val="18"/>
                <w:szCs w:val="18"/>
                <w:color w:val="auto"/>
              </w:rPr>
              <w:t>2.14 Action Without a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ARTICLE 3</w:t>
            </w:r>
          </w:p>
        </w:tc>
        <w:tc>
          <w:tcPr>
            <w:tcW w:w="5720" w:type="dxa"/>
            <w:vAlign w:val="bottom"/>
          </w:tcPr>
          <w:p>
            <w:pPr>
              <w:ind w:left="920"/>
              <w:spacing w:after="0"/>
              <w:rPr>
                <w:sz w:val="20"/>
                <w:szCs w:val="20"/>
                <w:color w:val="auto"/>
              </w:rPr>
            </w:pPr>
            <w:r>
              <w:rPr>
                <w:rFonts w:ascii="Arial" w:cs="Arial" w:eastAsia="Arial" w:hAnsi="Arial"/>
                <w:sz w:val="18"/>
                <w:szCs w:val="18"/>
                <w:color w:val="auto"/>
              </w:rPr>
              <w:t>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3.1 Number, Election, Tenure and Qualifications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3.2 Enlargement and Vacancies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3.3 Resignation and Removal</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3.4 Powers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3.5 Chairman of the Board</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3.6 Place of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3.7 Annual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3.8 Regular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3.9 Special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440" w:type="dxa"/>
            <w:vAlign w:val="bottom"/>
          </w:tcPr>
          <w:p>
            <w:pPr>
              <w:spacing w:after="0"/>
              <w:rPr>
                <w:sz w:val="23"/>
                <w:szCs w:val="23"/>
                <w:color w:val="auto"/>
              </w:rPr>
            </w:pPr>
          </w:p>
        </w:tc>
        <w:tc>
          <w:tcPr>
            <w:tcW w:w="5720" w:type="dxa"/>
            <w:vAlign w:val="bottom"/>
          </w:tcPr>
          <w:p>
            <w:pPr>
              <w:ind w:left="560"/>
              <w:spacing w:after="0"/>
              <w:rPr>
                <w:sz w:val="20"/>
                <w:szCs w:val="20"/>
                <w:color w:val="auto"/>
              </w:rPr>
            </w:pPr>
            <w:r>
              <w:rPr>
                <w:rFonts w:ascii="Arial" w:cs="Arial" w:eastAsia="Arial" w:hAnsi="Arial"/>
                <w:sz w:val="18"/>
                <w:szCs w:val="18"/>
                <w:color w:val="auto"/>
              </w:rPr>
              <w:t>3.10 Quorum, Action at Meeting, Adjournments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440" w:type="dxa"/>
            <w:vAlign w:val="bottom"/>
          </w:tcPr>
          <w:p>
            <w:pPr>
              <w:spacing w:after="0"/>
              <w:rPr>
                <w:sz w:val="23"/>
                <w:szCs w:val="23"/>
                <w:color w:val="auto"/>
              </w:rPr>
            </w:pPr>
          </w:p>
        </w:tc>
        <w:tc>
          <w:tcPr>
            <w:tcW w:w="5720" w:type="dxa"/>
            <w:vAlign w:val="bottom"/>
          </w:tcPr>
          <w:p>
            <w:pPr>
              <w:ind w:left="560"/>
              <w:spacing w:after="0"/>
              <w:rPr>
                <w:sz w:val="20"/>
                <w:szCs w:val="20"/>
                <w:color w:val="auto"/>
              </w:rPr>
            </w:pPr>
            <w:r>
              <w:rPr>
                <w:rFonts w:ascii="Arial" w:cs="Arial" w:eastAsia="Arial" w:hAnsi="Arial"/>
                <w:sz w:val="18"/>
                <w:szCs w:val="18"/>
                <w:color w:val="auto"/>
              </w:rPr>
              <w:t>3.11 Action Without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440" w:type="dxa"/>
            <w:vAlign w:val="bottom"/>
          </w:tcPr>
          <w:p>
            <w:pPr>
              <w:spacing w:after="0"/>
              <w:rPr>
                <w:sz w:val="23"/>
                <w:szCs w:val="23"/>
                <w:color w:val="auto"/>
              </w:rPr>
            </w:pPr>
          </w:p>
        </w:tc>
        <w:tc>
          <w:tcPr>
            <w:tcW w:w="5720" w:type="dxa"/>
            <w:vAlign w:val="bottom"/>
          </w:tcPr>
          <w:p>
            <w:pPr>
              <w:ind w:left="560"/>
              <w:spacing w:after="0"/>
              <w:rPr>
                <w:sz w:val="20"/>
                <w:szCs w:val="20"/>
                <w:color w:val="auto"/>
              </w:rPr>
            </w:pPr>
            <w:r>
              <w:rPr>
                <w:rFonts w:ascii="Arial" w:cs="Arial" w:eastAsia="Arial" w:hAnsi="Arial"/>
                <w:sz w:val="18"/>
                <w:szCs w:val="18"/>
                <w:color w:val="auto"/>
              </w:rPr>
              <w:t>3.12 Telephone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440" w:type="dxa"/>
            <w:vAlign w:val="bottom"/>
          </w:tcPr>
          <w:p>
            <w:pPr>
              <w:spacing w:after="0"/>
              <w:rPr>
                <w:sz w:val="23"/>
                <w:szCs w:val="23"/>
                <w:color w:val="auto"/>
              </w:rPr>
            </w:pPr>
          </w:p>
        </w:tc>
        <w:tc>
          <w:tcPr>
            <w:tcW w:w="5720" w:type="dxa"/>
            <w:vAlign w:val="bottom"/>
          </w:tcPr>
          <w:p>
            <w:pPr>
              <w:ind w:left="560"/>
              <w:spacing w:after="0"/>
              <w:rPr>
                <w:sz w:val="20"/>
                <w:szCs w:val="20"/>
                <w:color w:val="auto"/>
              </w:rPr>
            </w:pPr>
            <w:r>
              <w:rPr>
                <w:rFonts w:ascii="Arial" w:cs="Arial" w:eastAsia="Arial" w:hAnsi="Arial"/>
                <w:sz w:val="18"/>
                <w:szCs w:val="18"/>
                <w:color w:val="auto"/>
              </w:rPr>
              <w:t>3.13 Committees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440" w:type="dxa"/>
            <w:vAlign w:val="bottom"/>
          </w:tcPr>
          <w:p>
            <w:pPr>
              <w:spacing w:after="0"/>
              <w:rPr>
                <w:sz w:val="23"/>
                <w:szCs w:val="23"/>
                <w:color w:val="auto"/>
              </w:rPr>
            </w:pPr>
          </w:p>
        </w:tc>
        <w:tc>
          <w:tcPr>
            <w:tcW w:w="5720" w:type="dxa"/>
            <w:vAlign w:val="bottom"/>
          </w:tcPr>
          <w:p>
            <w:pPr>
              <w:ind w:left="560"/>
              <w:spacing w:after="0"/>
              <w:rPr>
                <w:sz w:val="20"/>
                <w:szCs w:val="20"/>
                <w:color w:val="auto"/>
              </w:rPr>
            </w:pPr>
            <w:r>
              <w:rPr>
                <w:rFonts w:ascii="Arial" w:cs="Arial" w:eastAsia="Arial" w:hAnsi="Arial"/>
                <w:sz w:val="18"/>
                <w:szCs w:val="18"/>
                <w:color w:val="auto"/>
              </w:rPr>
              <w:t>3.14 Fees and Compensation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ARTICLE 4</w:t>
            </w:r>
          </w:p>
        </w:tc>
        <w:tc>
          <w:tcPr>
            <w:tcW w:w="5720" w:type="dxa"/>
            <w:vAlign w:val="bottom"/>
          </w:tcPr>
          <w:p>
            <w:pPr>
              <w:ind w:left="920"/>
              <w:spacing w:after="0"/>
              <w:rPr>
                <w:sz w:val="20"/>
                <w:szCs w:val="20"/>
                <w:color w:val="auto"/>
              </w:rPr>
            </w:pPr>
            <w:r>
              <w:rPr>
                <w:rFonts w:ascii="Arial" w:cs="Arial" w:eastAsia="Arial" w:hAnsi="Arial"/>
                <w:sz w:val="18"/>
                <w:szCs w:val="18"/>
                <w:color w:val="auto"/>
              </w:rPr>
              <w:t>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4.1 Officers Designated</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440" w:type="dxa"/>
            <w:vAlign w:val="bottom"/>
          </w:tcPr>
          <w:p>
            <w:pPr>
              <w:spacing w:after="0"/>
              <w:rPr>
                <w:sz w:val="23"/>
                <w:szCs w:val="23"/>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4.2 Election</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p>
    <w:p>
      <w:pPr>
        <w:sectPr>
          <w:pgSz w:w="11900" w:h="16838" w:orient="portrait"/>
          <w:cols w:equalWidth="0" w:num="1">
            <w:col w:w="10620"/>
          </w:cols>
          <w:pgMar w:left="760" w:top="142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620"/>
          </w:cols>
          <w:pgMar w:left="760" w:top="1422" w:right="519" w:bottom="1440" w:gutter="0" w:footer="0" w:header="0"/>
          <w:type w:val="continuous"/>
        </w:sectPr>
      </w:pPr>
    </w:p>
    <w:bookmarkStart w:id="4" w:name="page5"/>
    <w:bookmarkEnd w:id="4"/>
    <w:p>
      <w:pPr>
        <w:spacing w:after="0" w:line="36"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4.3 Tenure</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4.4 Chief Executive Officer</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4.5 President</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4.6 Chief Financial Officer</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4.7 Vice President</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4.8 Secretary</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4.9 Assistant Secretary</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4.1 Treasurer and Assistant Treasurers</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480" w:type="dxa"/>
            <w:vAlign w:val="bottom"/>
          </w:tcPr>
          <w:p>
            <w:pPr>
              <w:spacing w:after="0"/>
              <w:rPr>
                <w:sz w:val="23"/>
                <w:szCs w:val="23"/>
                <w:color w:val="auto"/>
              </w:rPr>
            </w:pPr>
          </w:p>
        </w:tc>
        <w:tc>
          <w:tcPr>
            <w:tcW w:w="6340" w:type="dxa"/>
            <w:vAlign w:val="bottom"/>
          </w:tcPr>
          <w:p>
            <w:pPr>
              <w:ind w:left="520"/>
              <w:spacing w:after="0"/>
              <w:rPr>
                <w:sz w:val="20"/>
                <w:szCs w:val="20"/>
                <w:color w:val="auto"/>
              </w:rPr>
            </w:pPr>
            <w:r>
              <w:rPr>
                <w:rFonts w:ascii="Arial" w:cs="Arial" w:eastAsia="Arial" w:hAnsi="Arial"/>
                <w:sz w:val="18"/>
                <w:szCs w:val="18"/>
                <w:color w:val="auto"/>
              </w:rPr>
              <w:t>4.11 Delegation of Authority</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480" w:type="dxa"/>
            <w:vAlign w:val="bottom"/>
          </w:tcPr>
          <w:p>
            <w:pPr>
              <w:spacing w:after="0"/>
              <w:rPr>
                <w:sz w:val="20"/>
                <w:szCs w:val="20"/>
                <w:color w:val="auto"/>
              </w:rPr>
            </w:pPr>
            <w:r>
              <w:rPr>
                <w:rFonts w:ascii="Arial" w:cs="Arial" w:eastAsia="Arial" w:hAnsi="Arial"/>
                <w:sz w:val="18"/>
                <w:szCs w:val="18"/>
                <w:color w:val="auto"/>
              </w:rPr>
              <w:t>ARTICLE 5</w:t>
            </w:r>
          </w:p>
        </w:tc>
        <w:tc>
          <w:tcPr>
            <w:tcW w:w="6340" w:type="dxa"/>
            <w:vAlign w:val="bottom"/>
          </w:tcPr>
          <w:p>
            <w:pPr>
              <w:ind w:left="880"/>
              <w:spacing w:after="0"/>
              <w:rPr>
                <w:sz w:val="20"/>
                <w:szCs w:val="20"/>
                <w:color w:val="auto"/>
              </w:rPr>
            </w:pPr>
            <w:r>
              <w:rPr>
                <w:rFonts w:ascii="Arial" w:cs="Arial" w:eastAsia="Arial" w:hAnsi="Arial"/>
                <w:sz w:val="18"/>
                <w:szCs w:val="18"/>
                <w:color w:val="auto"/>
              </w:rPr>
              <w:t>Notices</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5.1 Delivery</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5.2 Waiver of Notice</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480" w:type="dxa"/>
            <w:vAlign w:val="bottom"/>
          </w:tcPr>
          <w:p>
            <w:pPr>
              <w:spacing w:after="0"/>
              <w:rPr>
                <w:sz w:val="20"/>
                <w:szCs w:val="20"/>
                <w:color w:val="auto"/>
              </w:rPr>
            </w:pPr>
            <w:r>
              <w:rPr>
                <w:rFonts w:ascii="Arial" w:cs="Arial" w:eastAsia="Arial" w:hAnsi="Arial"/>
                <w:sz w:val="18"/>
                <w:szCs w:val="18"/>
                <w:color w:val="auto"/>
              </w:rPr>
              <w:t>ARTICLE 6</w:t>
            </w:r>
          </w:p>
        </w:tc>
        <w:tc>
          <w:tcPr>
            <w:tcW w:w="6340" w:type="dxa"/>
            <w:vAlign w:val="bottom"/>
          </w:tcPr>
          <w:p>
            <w:pPr>
              <w:ind w:left="880"/>
              <w:spacing w:after="0"/>
              <w:rPr>
                <w:sz w:val="20"/>
                <w:szCs w:val="20"/>
                <w:color w:val="auto"/>
              </w:rPr>
            </w:pPr>
            <w:r>
              <w:rPr>
                <w:rFonts w:ascii="Arial" w:cs="Arial" w:eastAsia="Arial" w:hAnsi="Arial"/>
                <w:sz w:val="18"/>
                <w:szCs w:val="18"/>
                <w:color w:val="auto"/>
              </w:rPr>
              <w:t>Indemnification and Insurance</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6.1 Indemnification</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6.2 Advance Payment</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6.3 Non-Exclusivity and Survival of Rights; Amendments</w:t>
            </w: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6.4 Determination; Claim</w:t>
            </w: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6.5 Insurance</w:t>
            </w: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6.6 Severability</w:t>
            </w: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6.7 Reliance</w:t>
            </w:r>
          </w:p>
        </w:tc>
        <w:tc>
          <w:tcPr>
            <w:tcW w:w="1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6.8 Indemnification of Other Persons</w:t>
            </w:r>
          </w:p>
        </w:tc>
        <w:tc>
          <w:tcPr>
            <w:tcW w:w="1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480" w:type="dxa"/>
            <w:vAlign w:val="bottom"/>
          </w:tcPr>
          <w:p>
            <w:pPr>
              <w:spacing w:after="0"/>
              <w:rPr>
                <w:sz w:val="20"/>
                <w:szCs w:val="20"/>
                <w:color w:val="auto"/>
              </w:rPr>
            </w:pPr>
            <w:r>
              <w:rPr>
                <w:rFonts w:ascii="Arial" w:cs="Arial" w:eastAsia="Arial" w:hAnsi="Arial"/>
                <w:sz w:val="18"/>
                <w:szCs w:val="18"/>
                <w:color w:val="auto"/>
              </w:rPr>
              <w:t>ARTICLE 7</w:t>
            </w:r>
          </w:p>
        </w:tc>
        <w:tc>
          <w:tcPr>
            <w:tcW w:w="6340" w:type="dxa"/>
            <w:vAlign w:val="bottom"/>
          </w:tcPr>
          <w:p>
            <w:pPr>
              <w:ind w:left="880"/>
              <w:spacing w:after="0"/>
              <w:rPr>
                <w:sz w:val="20"/>
                <w:szCs w:val="20"/>
                <w:color w:val="auto"/>
              </w:rPr>
            </w:pPr>
            <w:r>
              <w:rPr>
                <w:rFonts w:ascii="Arial" w:cs="Arial" w:eastAsia="Arial" w:hAnsi="Arial"/>
                <w:sz w:val="18"/>
                <w:szCs w:val="18"/>
                <w:color w:val="auto"/>
              </w:rPr>
              <w:t>Capital Stock</w:t>
            </w:r>
          </w:p>
        </w:tc>
        <w:tc>
          <w:tcPr>
            <w:tcW w:w="1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7.1 Certificates for Shares</w:t>
            </w:r>
          </w:p>
        </w:tc>
        <w:tc>
          <w:tcPr>
            <w:tcW w:w="1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7.2 Signatures on Certificates</w:t>
            </w:r>
          </w:p>
        </w:tc>
        <w:tc>
          <w:tcPr>
            <w:tcW w:w="1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7.3 Transfer of Stock</w:t>
            </w:r>
          </w:p>
        </w:tc>
        <w:tc>
          <w:tcPr>
            <w:tcW w:w="1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7.4 Registered Stockholders</w:t>
            </w:r>
          </w:p>
        </w:tc>
        <w:tc>
          <w:tcPr>
            <w:tcW w:w="1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7.5 Lost, Stolen or Destroyed Certificates</w:t>
            </w:r>
          </w:p>
        </w:tc>
        <w:tc>
          <w:tcPr>
            <w:tcW w:w="1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480" w:type="dxa"/>
            <w:vAlign w:val="bottom"/>
          </w:tcPr>
          <w:p>
            <w:pPr>
              <w:spacing w:after="0"/>
              <w:rPr>
                <w:sz w:val="20"/>
                <w:szCs w:val="20"/>
                <w:color w:val="auto"/>
              </w:rPr>
            </w:pPr>
            <w:r>
              <w:rPr>
                <w:rFonts w:ascii="Arial" w:cs="Arial" w:eastAsia="Arial" w:hAnsi="Arial"/>
                <w:sz w:val="18"/>
                <w:szCs w:val="18"/>
                <w:color w:val="auto"/>
              </w:rPr>
              <w:t>ARTICLE 8</w:t>
            </w:r>
          </w:p>
        </w:tc>
        <w:tc>
          <w:tcPr>
            <w:tcW w:w="6340" w:type="dxa"/>
            <w:vAlign w:val="bottom"/>
          </w:tcPr>
          <w:p>
            <w:pPr>
              <w:ind w:left="880"/>
              <w:spacing w:after="0"/>
              <w:rPr>
                <w:sz w:val="20"/>
                <w:szCs w:val="20"/>
                <w:color w:val="auto"/>
              </w:rPr>
            </w:pPr>
            <w:r>
              <w:rPr>
                <w:rFonts w:ascii="Arial" w:cs="Arial" w:eastAsia="Arial" w:hAnsi="Arial"/>
                <w:sz w:val="18"/>
                <w:szCs w:val="18"/>
                <w:color w:val="auto"/>
              </w:rPr>
              <w:t>General Provisions</w:t>
            </w:r>
          </w:p>
        </w:tc>
        <w:tc>
          <w:tcPr>
            <w:tcW w:w="1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8.1 Dividends</w:t>
            </w:r>
          </w:p>
        </w:tc>
        <w:tc>
          <w:tcPr>
            <w:tcW w:w="1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8.2 Checks</w:t>
            </w:r>
          </w:p>
        </w:tc>
        <w:tc>
          <w:tcPr>
            <w:tcW w:w="1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8.3 Corporate Seal</w:t>
            </w:r>
          </w:p>
        </w:tc>
        <w:tc>
          <w:tcPr>
            <w:tcW w:w="1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8.4 Execution of Corporate Contracts and Instruments</w:t>
            </w:r>
          </w:p>
        </w:tc>
        <w:tc>
          <w:tcPr>
            <w:tcW w:w="1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48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Arial" w:cs="Arial" w:eastAsia="Arial" w:hAnsi="Arial"/>
                <w:sz w:val="18"/>
                <w:szCs w:val="18"/>
                <w:color w:val="auto"/>
              </w:rPr>
              <w:t>8.5 Representation of Shares of Other Corporations</w:t>
            </w:r>
          </w:p>
        </w:tc>
        <w:tc>
          <w:tcPr>
            <w:tcW w:w="1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480" w:type="dxa"/>
            <w:vAlign w:val="bottom"/>
          </w:tcPr>
          <w:p>
            <w:pPr>
              <w:spacing w:after="0"/>
              <w:rPr>
                <w:sz w:val="20"/>
                <w:szCs w:val="20"/>
                <w:color w:val="auto"/>
              </w:rPr>
            </w:pPr>
            <w:r>
              <w:rPr>
                <w:rFonts w:ascii="Arial" w:cs="Arial" w:eastAsia="Arial" w:hAnsi="Arial"/>
                <w:sz w:val="18"/>
                <w:szCs w:val="18"/>
                <w:color w:val="auto"/>
              </w:rPr>
              <w:t>ARTICLE 9</w:t>
            </w:r>
          </w:p>
        </w:tc>
        <w:tc>
          <w:tcPr>
            <w:tcW w:w="6340" w:type="dxa"/>
            <w:vAlign w:val="bottom"/>
          </w:tcPr>
          <w:p>
            <w:pPr>
              <w:ind w:left="880"/>
              <w:spacing w:after="0"/>
              <w:rPr>
                <w:sz w:val="20"/>
                <w:szCs w:val="20"/>
                <w:color w:val="auto"/>
              </w:rPr>
            </w:pPr>
            <w:r>
              <w:rPr>
                <w:rFonts w:ascii="Arial" w:cs="Arial" w:eastAsia="Arial" w:hAnsi="Arial"/>
                <w:sz w:val="18"/>
                <w:szCs w:val="18"/>
                <w:color w:val="auto"/>
              </w:rPr>
              <w:t>Amendments</w:t>
            </w:r>
          </w:p>
        </w:tc>
        <w:tc>
          <w:tcPr>
            <w:tcW w:w="1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540"/>
        </w:trPr>
        <w:tc>
          <w:tcPr>
            <w:tcW w:w="1480" w:type="dxa"/>
            <w:vAlign w:val="bottom"/>
          </w:tcPr>
          <w:p>
            <w:pPr>
              <w:spacing w:after="0"/>
              <w:rPr>
                <w:sz w:val="20"/>
                <w:szCs w:val="20"/>
                <w:color w:val="auto"/>
              </w:rPr>
            </w:pPr>
            <w:r>
              <w:rPr>
                <w:rFonts w:ascii="Arial" w:cs="Arial" w:eastAsia="Arial" w:hAnsi="Arial"/>
                <w:sz w:val="18"/>
                <w:szCs w:val="18"/>
                <w:color w:val="auto"/>
              </w:rPr>
              <w:t>ARTICLE 10</w:t>
            </w:r>
          </w:p>
        </w:tc>
        <w:tc>
          <w:tcPr>
            <w:tcW w:w="6340" w:type="dxa"/>
            <w:vAlign w:val="bottom"/>
          </w:tcPr>
          <w:p>
            <w:pPr>
              <w:ind w:left="880"/>
              <w:spacing w:after="0"/>
              <w:rPr>
                <w:sz w:val="20"/>
                <w:szCs w:val="20"/>
                <w:color w:val="auto"/>
              </w:rPr>
            </w:pPr>
            <w:r>
              <w:rPr>
                <w:rFonts w:ascii="Arial" w:cs="Arial" w:eastAsia="Arial" w:hAnsi="Arial"/>
                <w:sz w:val="18"/>
                <w:szCs w:val="18"/>
                <w:color w:val="auto"/>
              </w:rPr>
              <w:t>Exclusive Forum</w:t>
            </w:r>
          </w:p>
        </w:tc>
        <w:tc>
          <w:tcPr>
            <w:tcW w:w="17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620"/>
          </w:cols>
          <w:pgMar w:left="760" w:top="1440" w:right="519" w:bottom="1440" w:gutter="0" w:footer="0" w:header="0"/>
        </w:sectPr>
      </w:pPr>
    </w:p>
    <w:bookmarkStart w:id="5" w:name="page6"/>
    <w:bookmarkEnd w:id="5"/>
    <w:p>
      <w:pPr>
        <w:ind w:left="2640"/>
        <w:spacing w:after="0" w:line="253" w:lineRule="exact"/>
        <w:rPr>
          <w:sz w:val="20"/>
          <w:szCs w:val="20"/>
          <w:color w:val="auto"/>
        </w:rPr>
      </w:pPr>
      <w:r>
        <w:rPr>
          <w:rFonts w:ascii="Arial" w:cs="Arial" w:eastAsia="Arial" w:hAnsi="Arial"/>
          <w:sz w:val="22"/>
          <w:szCs w:val="22"/>
          <w:b w:val="1"/>
          <w:bCs w:val="1"/>
          <w:color w:val="auto"/>
        </w:rPr>
        <w:t xml:space="preserve">AMENDED AND RESTATED </w:t>
      </w:r>
      <w:r>
        <w:rPr>
          <w:rFonts w:ascii="MS PGothic" w:cs="MS PGothic" w:eastAsia="MS PGothic" w:hAnsi="MS PGothic"/>
          <w:sz w:val="22"/>
          <w:szCs w:val="22"/>
          <w:color w:val="auto"/>
        </w:rPr>
        <w:t> </w:t>
      </w:r>
      <w:r>
        <w:rPr>
          <w:rFonts w:ascii="Arial" w:cs="Arial" w:eastAsia="Arial" w:hAnsi="Arial"/>
          <w:sz w:val="22"/>
          <w:szCs w:val="22"/>
          <w:b w:val="1"/>
          <w:bCs w:val="1"/>
          <w:color w:val="auto"/>
        </w:rPr>
        <w:t xml:space="preserve">BYLAWS </w:t>
      </w:r>
      <w:r>
        <w:rPr>
          <w:rFonts w:ascii="MS PGothic" w:cs="MS PGothic" w:eastAsia="MS PGothic" w:hAnsi="MS PGothic"/>
          <w:sz w:val="22"/>
          <w:szCs w:val="22"/>
          <w:color w:val="auto"/>
        </w:rPr>
        <w:t> </w:t>
      </w:r>
      <w:r>
        <w:rPr>
          <w:rFonts w:ascii="Arial" w:cs="Arial" w:eastAsia="Arial" w:hAnsi="Arial"/>
          <w:sz w:val="22"/>
          <w:szCs w:val="22"/>
          <w:b w:val="1"/>
          <w:bCs w:val="1"/>
          <w:color w:val="auto"/>
        </w:rPr>
        <w:t xml:space="preserve">OF </w:t>
      </w:r>
      <w:r>
        <w:rPr>
          <w:rFonts w:ascii="MS PGothic" w:cs="MS PGothic" w:eastAsia="MS PGothic" w:hAnsi="MS PGothic"/>
          <w:sz w:val="22"/>
          <w:szCs w:val="22"/>
          <w:color w:val="auto"/>
        </w:rPr>
        <w:t> </w:t>
      </w:r>
      <w:r>
        <w:rPr>
          <w:rFonts w:ascii="Arial" w:cs="Arial" w:eastAsia="Arial" w:hAnsi="Arial"/>
          <w:sz w:val="22"/>
          <w:szCs w:val="22"/>
          <w:b w:val="1"/>
          <w:bCs w:val="1"/>
          <w:color w:val="auto"/>
        </w:rPr>
        <w:t>VERACYTE, INC.</w:t>
      </w:r>
    </w:p>
    <w:p>
      <w:pPr>
        <w:spacing w:after="0" w:line="254"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(a Delaware corporation)</w:t>
      </w:r>
    </w:p>
    <w:p>
      <w:pPr>
        <w:spacing w:after="0" w:line="22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ARTICLE 1</w:t>
      </w:r>
      <w:r>
        <w:rPr>
          <w:rFonts w:ascii="Arial" w:cs="Arial" w:eastAsia="Arial" w:hAnsi="Arial"/>
          <w:sz w:val="22"/>
          <w:szCs w:val="22"/>
          <w:u w:val="single" w:color="auto"/>
          <w:color w:val="auto"/>
        </w:rPr>
        <w:t>Offices</w:t>
      </w:r>
    </w:p>
    <w:p>
      <w:pPr>
        <w:spacing w:after="0" w:line="220"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Registered Office</w:t>
      </w:r>
      <w:r>
        <w:rPr>
          <w:rFonts w:ascii="Arial" w:cs="Arial" w:eastAsia="Arial" w:hAnsi="Arial"/>
          <w:sz w:val="22"/>
          <w:szCs w:val="22"/>
          <w:color w:val="auto"/>
        </w:rPr>
        <w:t>. The registered office of the corporation shall be set forth in the certificate of incorporation of the corporation (the “Certificate of Incorporation”).</w:t>
      </w:r>
    </w:p>
    <w:p>
      <w:pPr>
        <w:spacing w:after="0" w:line="175" w:lineRule="exact"/>
        <w:rPr>
          <w:sz w:val="20"/>
          <w:szCs w:val="20"/>
          <w:color w:val="auto"/>
        </w:rPr>
      </w:pPr>
    </w:p>
    <w:p>
      <w:pPr>
        <w:ind w:right="620" w:firstLine="648"/>
        <w:spacing w:after="0" w:line="25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Other Offices</w:t>
      </w:r>
      <w:r>
        <w:rPr>
          <w:rFonts w:ascii="Arial" w:cs="Arial" w:eastAsia="Arial" w:hAnsi="Arial"/>
          <w:sz w:val="22"/>
          <w:szCs w:val="22"/>
          <w:color w:val="auto"/>
        </w:rPr>
        <w:t>. The corporation may also have offices at such other places, either within or without the State of Delaware, as the board of directors of the corporation (the “Board”) may from time to time designate or the business of the corporation may require.</w:t>
      </w:r>
    </w:p>
    <w:p>
      <w:pPr>
        <w:spacing w:after="0" w:line="185" w:lineRule="exact"/>
        <w:rPr>
          <w:sz w:val="20"/>
          <w:szCs w:val="20"/>
          <w:color w:val="auto"/>
        </w:rPr>
      </w:pPr>
    </w:p>
    <w:p>
      <w:pPr>
        <w:ind w:left="3980"/>
        <w:spacing w:after="0" w:line="253" w:lineRule="exact"/>
        <w:rPr>
          <w:sz w:val="20"/>
          <w:szCs w:val="20"/>
          <w:color w:val="auto"/>
        </w:rPr>
      </w:pPr>
      <w:r>
        <w:rPr>
          <w:rFonts w:ascii="Arial" w:cs="Arial" w:eastAsia="Arial" w:hAnsi="Arial"/>
          <w:sz w:val="22"/>
          <w:szCs w:val="22"/>
          <w:color w:val="auto"/>
        </w:rPr>
        <w:t>ARTICLE 2 Meeting</w:t>
      </w:r>
      <w:r>
        <w:rPr>
          <w:rFonts w:ascii="MS PGothic" w:cs="MS PGothic" w:eastAsia="MS PGothic" w:hAnsi="MS PGothic"/>
          <w:sz w:val="17"/>
          <w:szCs w:val="17"/>
          <w:color w:val="auto"/>
        </w:rPr>
        <w:t> </w:t>
      </w:r>
      <w:r>
        <w:rPr>
          <w:rFonts w:ascii="Arial" w:cs="Arial" w:eastAsia="Arial" w:hAnsi="Arial"/>
          <w:sz w:val="22"/>
          <w:szCs w:val="22"/>
          <w:color w:val="auto"/>
        </w:rPr>
        <w:t xml:space="preserve">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-17780</wp:posOffset>
            </wp:positionV>
            <wp:extent cx="13563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20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Place of Meeting</w:t>
      </w:r>
      <w:r>
        <w:rPr>
          <w:rFonts w:ascii="Arial" w:cs="Arial" w:eastAsia="Arial" w:hAnsi="Arial"/>
          <w:sz w:val="19"/>
          <w:szCs w:val="19"/>
          <w:color w:val="auto"/>
        </w:rPr>
        <w:t>. Meetings of stockholders may be held at such place, either within or without the State of Delaware, as may be designated by or in the manner provided in these bylaws, or, if not so designated, at the principal executive offices of the corporation. In lieu of holding a meeting of stockholders at a designated place, the Board, in its sole discretion, may determine that any meeting of stockholders may be held solely by means of remote communication.</w:t>
      </w:r>
    </w:p>
    <w:p>
      <w:pPr>
        <w:spacing w:after="0" w:line="142"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Annual Meeting</w:t>
      </w:r>
      <w:r>
        <w:rPr>
          <w:rFonts w:ascii="Arial" w:cs="Arial" w:eastAsia="Arial" w:hAnsi="Arial"/>
          <w:sz w:val="22"/>
          <w:szCs w:val="22"/>
          <w:color w:val="auto"/>
        </w:rPr>
        <w:t>. Annual meetings of stockholders shall be held each year at such date and time as shall be designated from time to time by the Board and stated in the notice of the meeting. At each such annual meeting, the stockholders shall elect the number of directors equal to the number of directors of the class whose term expires at such meeting (or, if fewer, the number of directors properly nominated and qualified for election) to hold office until the third succeeding annual meeting of stockholders after their election. The stockholders shall also transact such other business as may properly be brought before the meeting.</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To be properly brought before the annual meeting, business must be (a) specified in the notice of meeting (or any supplement thereto) given by or at the direction of the Board, (b) otherwise properly brought before the meeting by or at the direction of the Board, or (c) otherwise properly brought before the meeting by a stockholder who is a stockholder of record of the corporation at the time of giving of the notice provided for in this Section and at the time of the annual meeting, who is entitled to vote at the meeting, and who complies with the notice procedures set forth in this Section. The requirements of this Section shall apply to any business to be brought before an annual meeting by a stockholder, other than (i) the nomination of a person for election as a director, which must be made in compliance with, and shall be exclusively governed by, Section 3.1 of these bylaws, and (ii) matters properly brought under Rule 14a-8 (or any successor rule or regulation) promulgated under the Securities Exchange Act of 1934 (the “Exchange Act”) and included in the corporation’s notice of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26" w:right="339" w:bottom="1440" w:gutter="0" w:footer="0" w:header="0"/>
        </w:sectPr>
      </w:pPr>
    </w:p>
    <w:bookmarkStart w:id="6" w:name="page7"/>
    <w:bookmarkEnd w:id="6"/>
    <w:p>
      <w:pPr>
        <w:jc w:val="both"/>
        <w:ind w:firstLine="648"/>
        <w:spacing w:after="0" w:line="286" w:lineRule="auto"/>
        <w:rPr>
          <w:sz w:val="20"/>
          <w:szCs w:val="20"/>
          <w:color w:val="auto"/>
        </w:rPr>
      </w:pPr>
      <w:r>
        <w:rPr>
          <w:rFonts w:ascii="Arial" w:cs="Arial" w:eastAsia="Arial" w:hAnsi="Arial"/>
          <w:sz w:val="19"/>
          <w:szCs w:val="19"/>
          <w:color w:val="auto"/>
        </w:rPr>
        <w:t>For business to be properly brought before an annual meeting by a stockholder, the stockholder must have given timely notice to the Secretary of the corporation in proper written form of the stockholder’s intent to propose such business and the business proposed must be otherwise proper to be brought before the meeting. To be timely, the stockholder’s notice must be delivered by a nationally recognized courier service or mailed by first class United States mail, postage or delivery charges prepaid, and received at the principal executive offices of the corporation addressed to the attention of the Secretary of the corporation not more than 120 days nor less than 90 days prior to the first anniversary date of the preceding year’s annual meeting of stockholders; provided, however, that in the event that no annual meeting was held in the preceding year or the annual meeting is called for a date that is more than 30 days before or more than 60 days after the first anniversary date of the preceding year’s annual meeting of stockholders, notice by the stockholder to be timely must be so received by the Secretary of the corporation not later than the close of business on the later of (x) the 90th day prior to the date of such scheduled annual meeting and (y) the 10th day following the earlier to occur of the day on which notice of the date of the scheduled annual meeting was mailed or the day on which public announcement (as defined below) of the date of such scheduled annual meeting was first made. In no event shall any adjournment or postponement of an annual meeting or the announcement thereof commence a new time period (or extend any time period) for the giving of the stockholder’s notice as described above.</w:t>
      </w:r>
    </w:p>
    <w:p>
      <w:pPr>
        <w:spacing w:after="0" w:line="16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A stockholder’s notice to the Secretary shall set forth the following as to each matter the stockholder proposes to bring before the annual meeting: (i) a brief description of the business desired to be brought before the annual meeting, the text of the proposal or business (including the text of any resolutions proposed for consideration and, in the event that such business includes a proposal to amend these bylaws, the language of the proposed amendment), and the reasons for conducting such business at the annual meeting; (ii) as to the stockholder giving the notice and the beneficial owner, if any, on whose behalf the business is being proposed, (A) the name and address, as they appear on the corporation’s books, of the stockholder, the name and address of the beneficial owner, if any, and the name and address of any person who is an associated person (as defined below) of the stockholder or the beneficial owner, (B) the class, series and number of shares of the corporation that are held of record by the stockholder, the beneficial owner, if any, and any person who is an associated person of the stockholder or the beneficial owner as of the date of the notice, and a representation that the stockholder will provide the corporation in writing the information required by this clause (B) updated as of the record date for the meeting promptly following the later of the record date or the date on which public announcement of the record date was first made, (C) any material interest in such business of the stockholder, the beneficial owner, if any, and any person who is an associated person of the stockholder or the beneficial owner,</w:t>
      </w:r>
    </w:p>
    <w:p>
      <w:pPr>
        <w:spacing w:after="0" w:line="3" w:lineRule="exact"/>
        <w:rPr>
          <w:sz w:val="20"/>
          <w:szCs w:val="20"/>
          <w:color w:val="auto"/>
        </w:rPr>
      </w:pPr>
    </w:p>
    <w:p>
      <w:pPr>
        <w:jc w:val="both"/>
        <w:ind w:firstLine="8"/>
        <w:spacing w:after="0" w:line="281" w:lineRule="auto"/>
        <w:tabs>
          <w:tab w:leader="none" w:pos="368" w:val="left"/>
        </w:tabs>
        <w:numPr>
          <w:ilvl w:val="0"/>
          <w:numId w:val="2"/>
        </w:numPr>
        <w:rPr>
          <w:rFonts w:ascii="Arial" w:cs="Arial" w:eastAsia="Arial" w:hAnsi="Arial"/>
          <w:sz w:val="19"/>
          <w:szCs w:val="19"/>
          <w:color w:val="auto"/>
        </w:rPr>
      </w:pPr>
      <w:r>
        <w:rPr>
          <w:rFonts w:ascii="Arial" w:cs="Arial" w:eastAsia="Arial" w:hAnsi="Arial"/>
          <w:sz w:val="19"/>
          <w:szCs w:val="19"/>
          <w:color w:val="auto"/>
        </w:rPr>
        <w:t>a representation as to whether the stockholder or the beneficial owner, if any, intends, or is or intends to be part of a group that intends, to deliver a proxy statement and/or form of proxy to holders of at least the percentage of the corporation’s outstanding shares that, together with shares owned by the stockholder or the beneficial owner and any such group, would be required to approve or adopt such business and/or otherwise to solicit proxies from stockholders in support of such business, and</w:t>
      </w:r>
    </w:p>
    <w:p>
      <w:pPr>
        <w:spacing w:after="0" w:line="2" w:lineRule="exact"/>
        <w:rPr>
          <w:rFonts w:ascii="Arial" w:cs="Arial" w:eastAsia="Arial" w:hAnsi="Arial"/>
          <w:sz w:val="19"/>
          <w:szCs w:val="19"/>
          <w:color w:val="auto"/>
        </w:rPr>
      </w:pPr>
    </w:p>
    <w:p>
      <w:pPr>
        <w:jc w:val="both"/>
        <w:ind w:firstLine="8"/>
        <w:spacing w:after="0" w:line="295" w:lineRule="auto"/>
        <w:tabs>
          <w:tab w:leader="none" w:pos="339" w:val="left"/>
        </w:tabs>
        <w:numPr>
          <w:ilvl w:val="0"/>
          <w:numId w:val="2"/>
        </w:numPr>
        <w:rPr>
          <w:rFonts w:ascii="Arial" w:cs="Arial" w:eastAsia="Arial" w:hAnsi="Arial"/>
          <w:sz w:val="19"/>
          <w:szCs w:val="19"/>
          <w:color w:val="auto"/>
        </w:rPr>
      </w:pPr>
      <w:r>
        <w:rPr>
          <w:rFonts w:ascii="Arial" w:cs="Arial" w:eastAsia="Arial" w:hAnsi="Arial"/>
          <w:sz w:val="19"/>
          <w:szCs w:val="19"/>
          <w:color w:val="auto"/>
        </w:rPr>
        <w:t>any other information that would be required to be provided by the stockholder, the beneficial owner, if any, and any person who is an associated person of the stockholder or the beneficial owner pursuant to the Section 14 of the Exchange Act and the rules and regulations promulgated thereunder assuming that the stockholder or the beneficial owner were to request that the corporation include such business in the corporation’s proxy statement as a stockholder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266" w:right="339" w:bottom="1440" w:gutter="0" w:footer="0" w:header="0"/>
        </w:sectPr>
      </w:pPr>
    </w:p>
    <w:bookmarkStart w:id="7" w:name="page8"/>
    <w:bookmarkEnd w:id="7"/>
    <w:p>
      <w:pPr>
        <w:jc w:val="both"/>
        <w:ind w:firstLine="8"/>
        <w:spacing w:after="0" w:line="285" w:lineRule="auto"/>
        <w:tabs>
          <w:tab w:leader="none" w:pos="384" w:val="left"/>
        </w:tabs>
        <w:numPr>
          <w:ilvl w:val="0"/>
          <w:numId w:val="3"/>
        </w:numPr>
        <w:rPr>
          <w:rFonts w:ascii="Arial" w:cs="Arial" w:eastAsia="Arial" w:hAnsi="Arial"/>
          <w:sz w:val="19"/>
          <w:szCs w:val="19"/>
          <w:color w:val="auto"/>
        </w:rPr>
      </w:pPr>
      <w:r>
        <w:rPr>
          <w:rFonts w:ascii="Arial" w:cs="Arial" w:eastAsia="Arial" w:hAnsi="Arial"/>
          <w:sz w:val="19"/>
          <w:szCs w:val="19"/>
          <w:color w:val="auto"/>
        </w:rPr>
        <w:t>as to the stockholder giving the notice or, if the notice is given on behalf of a beneficial owner on whose behalf the business is being proposed, as to the beneficial owner, (A) the class, series and number of shares of the corporation that are owned beneficially by the stockholder or beneficial owner and any associated person thereof as of the date of the notice, (B) any derivative or short positions held or beneficially held by the stockholder or beneficial owner and any associated person thereof and whether and the extent to which any hedging or other transaction or series of transactions has been entered into by or on behalf of, or any other agreement, arrangement or understanding (including any profit interests, options, and borrowed or loaned shares) has been made, the effect or intent of which is to mitigate loss to, manage the risk or benefit of share price changes for, or increase or decrease the voting power of, the stockholder or beneficial owner or any associated person thereof with respect to the corporation’s securities, (C) a representation that the stockholder will provide the corporation in writing the information required by the preceding clauses (A) and (B) updated as of the record date for the meeting promptly following the later of the record date or the date on which public announcement of the record date was first made, and (D) a description of any agreement, arrangement or understanding with respect to such business between or among the stockholder or beneficial owner and any associated person thereof, and any others (including their names) acting in concert with any of the foregoing (including any agreement that would be required to be disclosed pursuant to Item 5 or Item 6 of Schedule 13D under the Exchange Act (or any successor schedule), regardless of whether the requirement to file a Schedule 13D is applicable to the stockholder or beneficial owner), and a representation that the stockholder or beneficial owner will provide the corporation in writing the information required by this clause (D) updated as of the record date for the meeting promptly following the later of the record date or the date on which public announcement of the record date was first made; and (iv) a representation that the stockholder (or a qualified representative of the stockholder) intends to appear in person or by proxy at the meeting to propose such business.</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Notwithstanding anything in these bylaws to the contrary, (a) no business shall be conducted at the annual meeting except in accordance with the procedures set forth in this Section; provided, however, that nothing in this Section shall be deemed to preclude discussion by any stockholder of any business properly brought before the annual meeting; and (b) unless otherwise required by law, if a stockholder intending to propose business at an annual meeting pursuant to the preceding paragraph does not provide the updated information required under clauses (ii) and (iii) of the preceding paragraph to the corporation promptly following the later of the record date or the date on which public announcement of the record date was first made, or the stockholder (or a qualified representative of the stockholder) does not appear at the meeting to present the proposed business, such business shall not be transacted, notwithstanding that proxies in respect of such business may have been received by the corporation. For purposes of this Section, to be considered a qualified 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proposing of the business at the meeting by the stockholder stating that the person is authorized to act for the stockholder as proxy at the meeting of stockholders. Notwithstanding the foregoing provisions of this Section, a stockholder shall also comply with all applicable requirements of the Exchange Act and the rules and regulations thereunder with respect to the matters set forth in this Section; provided, however, that any references in this Section to the Exchange Act or the rules and regulations thereunder are not intended to and shall not limit the requirements applicable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66"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21"/>
          <w:szCs w:val="21"/>
          <w:color w:val="auto"/>
        </w:rPr>
        <w:t>proposals as to any business to be considered pursuant to the preceding paragraph. The requirements set forth in the preceding paragraph of this Section are intended to provide the corporation with notice of a stockholder’s intention to bring business before an annual meeting and related information and shall in no event be construed as imposing upon any stockholder the requirement to seek approval from the corporation as a condition precedent to bringing any such business before an annual meeting. Nothing in this Section shall be deemed to affect any rights (i) of stockholders to request inclusion of proposals in the corporation’s proxy statement pursuant to Rule 14a-8 (or any successor rule or regulation) promulgated under the Exchange Act or (ii) of the holders of any class or series of stock having a preference over the common stock as to dividends or upon liquidation to make nominations of persons for election to the Board if and to the extent provided for under law, the Certificate of Incorporation, or these bylaws.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Chairman of the Board (or such other person presiding at the meeting in accordance with these bylaws) shall, if the facts warrant, determine and declare to the meeting that business was not properly brought before the meeting in accordance with the provisions of this Section, and if he or she should so determine, he or she shall so declare to the meeting and any such business not properly brought before the meeting shall not be transacted.</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For purposes of these bylaws, (1) “public announcement” shall mean disclosure (A) in a press release issued through Business Wire or PR Newswire or reported by the Dow Jones News Service, Associated Press or a comparable national news service or (B) in a document publicly filed by the corporation with the Securities and Exchange Commission pursuant to Section 13, 14 or 15(d) of the Exchange Act, (2) “associated person” of a person shall mean any person controlling, controlled by or under common control with, directly or indirectly, or acting in concert with, such person, and (3) “group” shall have the meaning ascribed to such term under Section 13(d)(3) of the Exchange Act .</w:t>
      </w:r>
    </w:p>
    <w:p>
      <w:pPr>
        <w:spacing w:after="0" w:line="179"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Special Meetings</w:t>
      </w:r>
      <w:r>
        <w:rPr>
          <w:rFonts w:ascii="Arial" w:cs="Arial" w:eastAsia="Arial" w:hAnsi="Arial"/>
          <w:sz w:val="19"/>
          <w:szCs w:val="19"/>
          <w:color w:val="auto"/>
        </w:rPr>
        <w:t>. Special meetings of the stockholders may be called for any purpose or purposes, unless otherwise prescribed by statute or by the Certificate of Incorporation, by the Secretary only at (a) the written request of the Chairman of the Board or the Chief Executive Officer or (b) by a resolution duly adopted by the affirmative vote of a majority of the Board. Such written request or resolution shall state the purpose or purposes of the special meeting. Business transacted at any special meeting shall be limited to matters relating to the purpose or purposes stated in the notice of meeting.</w:t>
      </w:r>
    </w:p>
    <w:p>
      <w:pPr>
        <w:spacing w:after="0" w:line="147" w:lineRule="exact"/>
        <w:rPr>
          <w:sz w:val="20"/>
          <w:szCs w:val="20"/>
          <w:color w:val="auto"/>
        </w:rPr>
      </w:pPr>
    </w:p>
    <w:p>
      <w:pPr>
        <w:ind w:right="260" w:firstLine="648"/>
        <w:spacing w:after="0" w:line="297"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Notice of Meetings</w:t>
      </w:r>
      <w:r>
        <w:rPr>
          <w:rFonts w:ascii="Arial" w:cs="Arial" w:eastAsia="Arial" w:hAnsi="Arial"/>
          <w:sz w:val="19"/>
          <w:szCs w:val="19"/>
          <w:color w:val="auto"/>
        </w:rPr>
        <w:t>. Except as otherwise provided by law, written notice of each meeting of stockholders, annual or special, stating the place, if any, date and time of the meeting, the means of remote communications, if any, by which stockholders and proxy holders may be deemed to be present in person and vote at such meeting, and, in the case of a special meeting, the purpose or purposes for which such special meeting is called, shall be given to each stockholder entitled to vote at such meeting not less than 10 nor more than 60 days before the date of the meeting.</w:t>
      </w:r>
    </w:p>
    <w:p>
      <w:pPr>
        <w:spacing w:after="0" w:line="147"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List of Stockholders</w:t>
      </w:r>
      <w:r>
        <w:rPr>
          <w:rFonts w:ascii="Arial" w:cs="Arial" w:eastAsia="Arial" w:hAnsi="Arial"/>
          <w:sz w:val="22"/>
          <w:szCs w:val="22"/>
          <w:color w:val="auto"/>
        </w:rPr>
        <w:t>. The officer in charge of the stock ledger of the corporation or the transfer agent shall prepare and make, at least 10 days before every meeting of stockholders, a complete list of the stockholders entitled to vote at the meeting, arranged in alphabetical order, and showing the address of each stockholder and the number of shares registered in the name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66" w:right="339" w:bottom="1440" w:gutter="0" w:footer="0" w:header="0"/>
        </w:sectPr>
      </w:pPr>
    </w:p>
    <w:bookmarkStart w:id="9" w:name="page10"/>
    <w:bookmarkEnd w:id="9"/>
    <w:p>
      <w:pPr>
        <w:ind w:right="80"/>
        <w:spacing w:after="0" w:line="290" w:lineRule="auto"/>
        <w:rPr>
          <w:sz w:val="20"/>
          <w:szCs w:val="20"/>
          <w:color w:val="auto"/>
        </w:rPr>
      </w:pPr>
      <w:r>
        <w:rPr>
          <w:rFonts w:ascii="Arial" w:cs="Arial" w:eastAsia="Arial" w:hAnsi="Arial"/>
          <w:sz w:val="19"/>
          <w:szCs w:val="19"/>
          <w:color w:val="auto"/>
        </w:rPr>
        <w:t>stockholder. Such list shall be open to the examination of any stockholder, for any purpose germane to the meeting, for a period of at least ten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gain access to such list shall be provided with the notice of the meeting.</w:t>
      </w:r>
    </w:p>
    <w:p>
      <w:pPr>
        <w:spacing w:after="0" w:line="156"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Organization and Conduct of Business</w:t>
      </w:r>
      <w:r>
        <w:rPr>
          <w:rFonts w:ascii="Arial" w:cs="Arial" w:eastAsia="Arial" w:hAnsi="Arial"/>
          <w:sz w:val="19"/>
          <w:szCs w:val="19"/>
          <w:color w:val="auto"/>
        </w:rPr>
        <w:t>. The Chairman of the Board or, in his or her absence, the Chief Executive Officer or President of the corporation or, in their absence, such person as the Board may have designated or, in the absence of such a person, such person as may be chosen by the holders of a majority of the shares entitled to vote who are present, in person or by proxy, shall call to order any meeting of the stockholders and act as chair of the meeting. In the absence of the Secretary of the corporation, the secretary of the meeting shall be such person as the chair of the meeting appoints.</w:t>
      </w:r>
    </w:p>
    <w:p>
      <w:pPr>
        <w:spacing w:after="0" w:line="147"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The chair of any meeting of stockholders shall determine the order of business and the procedure at the meeting, including such regulation of the manner of voting and the conduct of discussion as seems to him or her in order.</w:t>
      </w:r>
    </w:p>
    <w:p>
      <w:pPr>
        <w:spacing w:after="0" w:line="151"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Quorum</w:t>
      </w:r>
      <w:r>
        <w:rPr>
          <w:rFonts w:ascii="Arial" w:cs="Arial" w:eastAsia="Arial" w:hAnsi="Arial"/>
          <w:sz w:val="19"/>
          <w:szCs w:val="19"/>
          <w:color w:val="auto"/>
        </w:rPr>
        <w:t>. Except where otherwise provided by law or the Certificate of Incorporation or these bylaws, the holders of a majority of the voting power of the capital stock issued and outstanding and entitled to vote, present in person or represented by proxy, shall constitute a quorum for the transaction of business at all meetings of the stockholders.</w:t>
      </w:r>
    </w:p>
    <w:p>
      <w:pPr>
        <w:spacing w:after="0" w:line="133"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Adjournments</w:t>
      </w:r>
      <w:r>
        <w:rPr>
          <w:rFonts w:ascii="Arial" w:cs="Arial" w:eastAsia="Arial" w:hAnsi="Arial"/>
          <w:sz w:val="19"/>
          <w:szCs w:val="19"/>
          <w:color w:val="auto"/>
        </w:rPr>
        <w:t>. Any meeting of stockholders may be adjourned from time to time to any other time and to any other place at which a meeting of stockholders may be held under these bylaws, which time and place shall be announced at the meeting. At such adjourned meeting at which a quorum shall be present or represented, any business may be transacted which might have been transacted at the original meeting. When a meeting is adjourned to another place, date or time, notice need not be given of the adjourned meeting if the place, date and time thereof are announced at the meeting at which the adjournment is taken; provided, however, that if the date of any adjourned meeting is more than 30 days after the date for which the meeting was originally noticed, or if a new record date is fixed for the adjourned meeting, written notice of the place, if any, date, time and means of remote communications, if any, of the adjourned meeting shall be given in conformity herewith.</w:t>
      </w:r>
    </w:p>
    <w:p>
      <w:pPr>
        <w:spacing w:after="0" w:line="156" w:lineRule="exact"/>
        <w:rPr>
          <w:sz w:val="20"/>
          <w:szCs w:val="20"/>
          <w:color w:val="auto"/>
        </w:rPr>
      </w:pPr>
    </w:p>
    <w:p>
      <w:pPr>
        <w:ind w:right="180" w:firstLine="648"/>
        <w:spacing w:after="0" w:line="343" w:lineRule="auto"/>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u w:val="single" w:color="auto"/>
          <w:color w:val="auto"/>
        </w:rPr>
        <w:t>Voting Rights</w:t>
      </w:r>
      <w:r>
        <w:rPr>
          <w:rFonts w:ascii="Arial" w:cs="Arial" w:eastAsia="Arial" w:hAnsi="Arial"/>
          <w:sz w:val="19"/>
          <w:szCs w:val="19"/>
          <w:color w:val="auto"/>
        </w:rPr>
        <w:t>. Unless otherwise provided in the Certificate of Incorporation, each stockholder shall at every meeting of the stockholders be entitled to one vote for each share of the capital stock having voting power held by such stockholder.</w:t>
      </w:r>
    </w:p>
    <w:p>
      <w:pPr>
        <w:spacing w:after="0" w:line="104"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u w:val="single" w:color="auto"/>
          <w:color w:val="auto"/>
        </w:rPr>
        <w:t>Action at Meetings</w:t>
      </w:r>
      <w:r>
        <w:rPr>
          <w:rFonts w:ascii="Arial" w:cs="Arial" w:eastAsia="Arial" w:hAnsi="Arial"/>
          <w:sz w:val="22"/>
          <w:szCs w:val="22"/>
          <w:color w:val="auto"/>
        </w:rPr>
        <w:t>. When a quorum is present at any meeting, the vote of the holders of a majority of the voting power of the capital stock present in person or represented by proxy and entitled to vote on the question shall decide any question brought before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266" w:right="339" w:bottom="1440" w:gutter="0" w:footer="0" w:header="0"/>
        </w:sectPr>
      </w:pPr>
    </w:p>
    <w:bookmarkStart w:id="10" w:name="page11"/>
    <w:bookmarkEnd w:id="10"/>
    <w:p>
      <w:pPr>
        <w:ind w:right="460"/>
        <w:spacing w:after="0" w:line="343" w:lineRule="auto"/>
        <w:rPr>
          <w:sz w:val="20"/>
          <w:szCs w:val="20"/>
          <w:color w:val="auto"/>
        </w:rPr>
      </w:pPr>
      <w:r>
        <w:rPr>
          <w:rFonts w:ascii="Arial" w:cs="Arial" w:eastAsia="Arial" w:hAnsi="Arial"/>
          <w:sz w:val="19"/>
          <w:szCs w:val="19"/>
          <w:color w:val="auto"/>
        </w:rPr>
        <w:t>unless the question is one upon which by express provision of law or of the Certificate of Incorporation or of these bylaws, a different vote is required, in which case such express provision shall govern and control the decision of such question.</w:t>
      </w:r>
    </w:p>
    <w:p>
      <w:pPr>
        <w:spacing w:after="0" w:line="104"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Record Date</w:t>
      </w:r>
      <w:r>
        <w:rPr>
          <w:rFonts w:ascii="Arial" w:cs="Arial" w:eastAsia="Arial" w:hAnsi="Arial"/>
          <w:sz w:val="19"/>
          <w:szCs w:val="19"/>
          <w:color w:val="auto"/>
        </w:rPr>
        <w:t xml:space="preserve"> for Stockholder Notice and Voting. For purposes of determining the stockholders entitled to notice of, or to vote at, any meeting of stockholders or any adjournment thereof, or entitled to receive payment of any dividend or other distribution or allotment of any rights, or entitled to exercise any right in respect of any change, conversion or exchange of stock or for the purpose of any other lawful action, the Board may fix, in advance, a record date, which shall not be more than 60 days nor fewer than 10 days before the date of any such meeting nor more than 60 days before any other action to which the record date relates. A determination of stockholders of record entitled to notice of or to vote at a meeting of stockholders shall apply to any adjournment of the meeting; provided, however, that the Board may fix a new record date for the adjourned meeting. If the Board does not so fix a record date, (a)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(b) the record date for determining stockholders for any other purpose shall be at the close of business on the day on which the Board adopts the resolution relating to such purpose.</w:t>
      </w:r>
    </w:p>
    <w:p>
      <w:pPr>
        <w:spacing w:after="0" w:line="200" w:lineRule="exact"/>
        <w:rPr>
          <w:sz w:val="20"/>
          <w:szCs w:val="20"/>
          <w:color w:val="auto"/>
        </w:rPr>
      </w:pPr>
    </w:p>
    <w:p>
      <w:pPr>
        <w:spacing w:after="0" w:line="220" w:lineRule="exact"/>
        <w:rPr>
          <w:sz w:val="20"/>
          <w:szCs w:val="20"/>
          <w:color w:val="auto"/>
        </w:rPr>
      </w:pPr>
    </w:p>
    <w:p>
      <w:pPr>
        <w:ind w:right="40" w:firstLine="648"/>
        <w:spacing w:after="0" w:line="289"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Proxies</w:t>
      </w:r>
      <w:r>
        <w:rPr>
          <w:rFonts w:ascii="Arial" w:cs="Arial" w:eastAsia="Arial" w:hAnsi="Arial"/>
          <w:sz w:val="19"/>
          <w:szCs w:val="19"/>
          <w:color w:val="auto"/>
        </w:rPr>
        <w:t>. Each stockholder entitled to vote at a meeting of stockholders may authorize another person or persons to act for such stockholder by proxy, but no such proxy shall be voted or acted upon after three years from its date, unless the proxy provides for a longer period. All proxies must be filed with the Secretary of the corporation or the inspector of election for the meeting at the beginning of such meeting in order to be counted in any vote at the meeting. Subject to the limitation set forth in the last clause of the first sentence of this Section 2.12, a duly executed proxy that does not state that it is irrevocable shall continue in full force and effect unless (i) revoked by the person executing it, before the vote pursuant to that proxy, by a writing delivered to the corporation stating that the proxy is revoked or by a subsequent proxy executed by, or attendance at the meeting and voting in person by, the person executing the proxy, or (ii) written notice of the death or incapacity of the maker of that proxy is received by the corporation before the vote pursuant to that proxy is counted.</w:t>
      </w:r>
    </w:p>
    <w:p>
      <w:pPr>
        <w:spacing w:after="0" w:line="157"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 xml:space="preserve">2.13 </w:t>
      </w:r>
      <w:r>
        <w:rPr>
          <w:rFonts w:ascii="Arial" w:cs="Arial" w:eastAsia="Arial" w:hAnsi="Arial"/>
          <w:sz w:val="21"/>
          <w:szCs w:val="21"/>
          <w:u w:val="single" w:color="auto"/>
          <w:color w:val="auto"/>
        </w:rPr>
        <w:t>Inspectors of Election</w:t>
      </w:r>
      <w:r>
        <w:rPr>
          <w:rFonts w:ascii="Arial" w:cs="Arial" w:eastAsia="Arial" w:hAnsi="Arial"/>
          <w:sz w:val="21"/>
          <w:szCs w:val="21"/>
          <w:color w:val="auto"/>
        </w:rPr>
        <w:t>. The corporation shall, in advance of any meeting of stockholders, appoint one or more inspectors of election to act at the meeting and make a written report thereof. The corporation may designate one or more persons to act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w:t>
      </w:r>
    </w:p>
    <w:p>
      <w:pPr>
        <w:spacing w:after="0" w:line="179"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 xml:space="preserve">2.14 </w:t>
      </w:r>
      <w:r>
        <w:rPr>
          <w:rFonts w:ascii="Arial" w:cs="Arial" w:eastAsia="Arial" w:hAnsi="Arial"/>
          <w:sz w:val="22"/>
          <w:szCs w:val="22"/>
          <w:u w:val="single" w:color="auto"/>
          <w:color w:val="auto"/>
        </w:rPr>
        <w:t>Action Without a Meeting</w:t>
      </w:r>
      <w:r>
        <w:rPr>
          <w:rFonts w:ascii="Arial" w:cs="Arial" w:eastAsia="Arial" w:hAnsi="Arial"/>
          <w:sz w:val="22"/>
          <w:szCs w:val="22"/>
          <w:color w:val="auto"/>
        </w:rPr>
        <w:t>. Except as otherwise provided for or fixed pursuant to the provisions of the Certificate of Incorporation relating to the rights of holders of any series of Preferred Stock to act by written consent, no action required or permitted to be taken at any annual or special meeting of the stockholders of the corporation may be taken without a meeting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26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power of the stockholders to consent in writing, without a meeting, to the taking of any action is specifically denied.</w:t>
      </w:r>
    </w:p>
    <w:p>
      <w:pPr>
        <w:spacing w:after="0" w:line="220" w:lineRule="exact"/>
        <w:rPr>
          <w:sz w:val="20"/>
          <w:szCs w:val="20"/>
          <w:color w:val="auto"/>
        </w:rPr>
      </w:pPr>
    </w:p>
    <w:p>
      <w:pPr>
        <w:ind w:left="4640"/>
        <w:spacing w:after="0" w:line="253" w:lineRule="exact"/>
        <w:rPr>
          <w:sz w:val="20"/>
          <w:szCs w:val="20"/>
          <w:color w:val="auto"/>
        </w:rPr>
      </w:pPr>
      <w:r>
        <w:rPr>
          <w:rFonts w:ascii="Arial" w:cs="Arial" w:eastAsia="Arial" w:hAnsi="Arial"/>
          <w:sz w:val="22"/>
          <w:szCs w:val="22"/>
          <w:color w:val="auto"/>
        </w:rPr>
        <w:t xml:space="preserve">ARTICLE 3 </w:t>
      </w:r>
      <w:r>
        <w:rPr>
          <w:rFonts w:ascii="Arial" w:cs="Arial" w:eastAsia="Arial" w:hAnsi="Arial"/>
          <w:sz w:val="22"/>
          <w:szCs w:val="22"/>
          <w:u w:val="single" w:color="auto"/>
          <w:color w:val="auto"/>
        </w:rPr>
        <w:t>Directors</w:t>
      </w:r>
      <w:r>
        <w:rPr>
          <w:rFonts w:ascii="MS PGothic" w:cs="MS PGothic" w:eastAsia="MS PGothic" w:hAnsi="MS PGothic"/>
          <w:sz w:val="17"/>
          <w:szCs w:val="17"/>
          <w:color w:val="auto"/>
        </w:rPr>
        <w:t> </w:t>
      </w:r>
    </w:p>
    <w:p>
      <w:pPr>
        <w:spacing w:after="0" w:line="22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Number, Election,</w:t>
      </w:r>
      <w:r>
        <w:rPr>
          <w:rFonts w:ascii="Arial" w:cs="Arial" w:eastAsia="Arial" w:hAnsi="Arial"/>
          <w:sz w:val="19"/>
          <w:szCs w:val="19"/>
          <w:color w:val="auto"/>
        </w:rPr>
        <w:t xml:space="preserve"> Tenure and Qualifications. The authorized number of directors shall be determined from time to time by resolution adopted by the Board, provided the Board shall consist of at least one member. No decrease in the number of authorized directors shall have the effect of removing any director before that director’s term of office expires. The classes of directors that shall constitute the entire Board shall be as provided in the Certificate of Incorporation.</w:t>
      </w:r>
    </w:p>
    <w:p>
      <w:pPr>
        <w:spacing w:after="0" w:line="1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At each annual meeting of the stockholders, directors shall be elected for that class of directors whose terms are then expiring, except as otherwise provided in Section 3.2, and each director so elected shall hold office until such director’s successor is duly elected and qualified or until such director’s earlier resignation, removal, death or incapacity.</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Only persons who are nominated in accordance with the following procedures shall be eligible for election as directors. Subject to the rights of holders of any class or series of stock having a preference over the common stock as to dividends or upon liquidation, nominations of persons for election to the Board at the annual meeting may be made (i) by or at the direction of the Board (or any duly authorized committee thereof) or (ii) by a stockholder who is a stockholder of record at the time of giving of the notice provided for in this Section and at the time of the annual meeting, who is entitled to vote for the election of directors at the meeting, and who complies with the notice procedures set forth in this Section. A stockholder may make such a nomination only if such stockholder has given timely notice to the Secretary of the corporation in proper written form of the stockholder’s intent to make such a nomination.</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To be timely, with respect to an annual meeting of stockholders, the stockholder’s notice must be delivered by a nationally recognized courier service or mailed by first class United States mail, postage or delivery charges prepaid, and received at the principal executive offices of the corporation, addressed to the attention of the Secretary of the corporation, not more than 120 days nor less than 90 days prior to the first anniversary date of the preceding year’s annual meeting of stockholders; provided, however, that in the event that no annual meeting was held in the preceding year or the annual meeting is called for a date that is more than 30 days before or more than 60 days after the first anniversary date of the preceding year’s annual meeting of stockholders, notice by the stockholder to be timely must be so received by the Secretary of the corporation not later than the close of business on the later of (x) the 90th day prior to the date of such scheduled annual meeting and (y) the 10th day following the earlier to occur of the day on which notice of the date of the scheduled annual meeting was mailed or the day on which public announcement of the date of such scheduled annual meeting was first made. In no event shall any adjournment or postponement of an annual meeting or the announcement thereof commence a new time period (or extend any time period) for the giving of the stockholder’s notice as described above.</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 stockholder’s notice to the Secretary shall set forth the following: (i) as to each person whom the stockholder proposes to nominate for election or reelection as a director, (A) the name, age, business address and residence address of the person, (B) the principal occupation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266" w:right="339" w:bottom="1440" w:gutter="0" w:footer="0" w:header="0"/>
        </w:sectPr>
      </w:pPr>
    </w:p>
    <w:bookmarkStart w:id="12" w:name="page13"/>
    <w:bookmarkEnd w:id="12"/>
    <w:p>
      <w:pPr>
        <w:jc w:val="both"/>
        <w:spacing w:after="0" w:line="283" w:lineRule="auto"/>
        <w:rPr>
          <w:sz w:val="20"/>
          <w:szCs w:val="20"/>
          <w:color w:val="auto"/>
        </w:rPr>
      </w:pPr>
      <w:r>
        <w:rPr>
          <w:rFonts w:ascii="Arial" w:cs="Arial" w:eastAsia="Arial" w:hAnsi="Arial"/>
          <w:sz w:val="19"/>
          <w:szCs w:val="19"/>
          <w:color w:val="auto"/>
        </w:rPr>
        <w:t>employment of the person, (C) the class, series and number of shares of capital stock of the corporation that are owned of record and beneficially by the person, (D) a statement as to the person’s citizenship, (E) a description of all direct and indirect compensation and other material monetary agreements, arrangements and understandings during the past three years, and any other material relationships, between or among the stockholder, the beneficial owner on whose behalf the nomination is being made, if any, or any person who is an associated person of the stockholder or the beneficial owner, on the one hand, and the person, and such person’s respective affiliates and associates, or others (including their names) acting in concert therewith, on the other hand, including all information that would be required to be disclosed pursuant to Item 404 of Regulation S-K promulgated by the Securities and Exchange Commission assuming for this purpose that the stockholder, the beneficial owner on whose behalf the nomination is being made, if any, and any person who is an associated person of the stockholder or the beneficial owner were the “registrant” and such person were a director or executive officer of such registrant, (F) any other information relating to the person that is required to be disclosed in solicitations for proxies for election of directors in a contested election pursuant to Section 14 of the Exchange Act and the rules and regulations promulgated thereunder, and (G) the person’s written consent to being named in the proxy statement as a nominee and to serving as a director if elected; (ii) as to the stockholder giving the notice and the beneficial owner, if any, on whose behalf the nomination is being made, (A) the name and address, as they appear on the corporation’s books, of the stockholder, the name and address of the beneficial owner, if any, and the name and address of any person who is an associated person of the stockholder or the beneficial owner, (B) the class, series and number of shares of the corporation that are held of record by the stockholder, the beneficial owner, if any, and any person who is an associated person of the stockholder or the beneficial owner as of the date of the notice, and a representation that the stockholder will provide the corporation in writing the information required by this clause (B) updated as of the record date for the meeting promptly following the later of the record date or the date on which public announcement of the record date was first made, (C) a representation as to whether the stockholder or the beneficial owner, if any, intends, or is or intends to be part of a group that intends, to deliver a proxy statement and/or form of proxy to holders of at least the percentage of the corporation’s outstanding shares that, together with the shares owned by the stockholder or the beneficial owner and any such group, would be required to approve the nomination or otherwise to solicit proxies from stockholders in support of the nomination, and (D) any other information relating to the stockholder, the beneficial owner, if any, and any person who is an associated person of the stockholder or the beneficial owner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(iii) as to the stockholder giving the notice or, if the notice is given on behalf of a beneficial owner on whose behalf the nomination is being made, as to the beneficial owner, (A) the class, series and number of shares of the corporation that are owned beneficially by the stockholder or beneficial owner and any person who is an associated person thereof as of the date of the notice, (B) any derivative or short positions held or beneficially held by the stockholder or beneficial owner and any person who is an associated person thereof and whether and the extent to which any hedging or other transaction or series of transactions has been entered into by or on behalf of, or any other agreement, arrangement or understanding (including any profit interests, options, and borrowed or loaned shares) has been made, the effect or intent of which is to mitigate loss to, manage the risk or benefit of share price changes for, or increase or decrease the voting power of, the stockholder or beneficial owner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266" w:right="339" w:bottom="1440" w:gutter="0" w:footer="0" w:header="0"/>
        </w:sectPr>
      </w:pPr>
    </w:p>
    <w:bookmarkStart w:id="13" w:name="page14"/>
    <w:bookmarkEnd w:id="13"/>
    <w:p>
      <w:pPr>
        <w:jc w:val="both"/>
        <w:spacing w:after="0" w:line="285" w:lineRule="auto"/>
        <w:rPr>
          <w:sz w:val="20"/>
          <w:szCs w:val="20"/>
          <w:color w:val="auto"/>
        </w:rPr>
      </w:pPr>
      <w:r>
        <w:rPr>
          <w:rFonts w:ascii="Arial" w:cs="Arial" w:eastAsia="Arial" w:hAnsi="Arial"/>
          <w:sz w:val="19"/>
          <w:szCs w:val="19"/>
          <w:color w:val="auto"/>
        </w:rPr>
        <w:t>person who is an associated person thereof with respect to the corporation’s securities, (C) a representation that the stockholder will provide the corporation in writing the information required by the preceding clauses (A) and (B) updated as of the record date for the meeting promptly following the later of the record date or the date on which public announcement of the record date was first made, and (D) a description of any agreement, arrangement or understanding with respect to the nomination between or among the stockholder or beneficial owner and any person who is an associated person thereof, and any others (including their names) acting in concert with any of the foregoing (including any agreement that would be required to be disclosed pursuant to Item 5 or Item 6 of Schedule 13D under the Exchange Act, regardless of whether the requirement to file a Schedule 13D is applicable to the stockholder or beneficial owner), and a representation that the stockholder or beneficial owner will provide the corporation in writing the information required by this clause (D) updated as of the record date for the meeting promptly following the later of the record date or the date on which public announcement of the record date was first made; and (iv) a representation that the stockholder giving the notice (or a qualified representative of the stockholder) intends to appear in person or by proxy at the meeting to nominate the person or persons specified in the notice.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No person shall be eligible for election as a director of the corporation unless nominated in accordance with the procedures set forth herein. Notwithstanding the foregoing provisions of this Section, a stockholder shall also comply with all applicable requirements of the Exchange Act and the rules and regulations thereunder with respect to the matters set forth in this Section; provided, however, that any references in this Section to the Exchange Act or the rules and regulations thereunder are not intended to and shall not limit the requirements applicable to proposals as to any nomination to be considered pursuant to this Section.</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In connection with any annual meeting of the stockholders, the Chairman of the Board (or such other person presiding at such meeting in accordance with these bylaws) shall, if the facts warrant, determine and declare to the meeting that a nomination was not made in accordance with the foregoing procedure, and if he or she should so determine, he or she shall so declare to the meeting and the defective nomination shall be disregarded. Notwithstanding anything in these bylaws to the contrary, unless otherwise required by law, if a stockholder intending to make a nomination at an annual meeting pursuant to the preceding paragraph does not provide the updated information required under clauses (ii) and (iii) of the preceding paragraph to the corporation promptly following the later of the record date or the date on which public announcement of the record date was first made, or the stockholder giving the notice (or a qualified representative of the stockholder) does not appear at the meeting to present the nomination, such nomination shall be disregarded, notwithstanding that proxies in respect of such nomination may have been received by the corporation. For purposes of this Section, to be considered a qualified 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proposing of the nomination at the meeting by the stockholder giving the notice stating that the person is authorized to act for the stockholder as proxy at the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266" w:right="339" w:bottom="1440" w:gutter="0" w:footer="0" w:header="0"/>
        </w:sectPr>
      </w:pPr>
    </w:p>
    <w:bookmarkStart w:id="14" w:name="page15"/>
    <w:bookmarkEnd w:id="14"/>
    <w:p>
      <w:pPr>
        <w:ind w:right="60" w:firstLine="648"/>
        <w:spacing w:after="0" w:line="288"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Enlargement and Vacancies</w:t>
      </w:r>
      <w:r>
        <w:rPr>
          <w:rFonts w:ascii="Arial" w:cs="Arial" w:eastAsia="Arial" w:hAnsi="Arial"/>
          <w:sz w:val="19"/>
          <w:szCs w:val="19"/>
          <w:color w:val="auto"/>
        </w:rPr>
        <w:t>. The number of members of the Board may be increased at any time as provided in Section 3.1 above. Except as may otherwise be provided in the Certificate of Incorporation with respect to the rights of the holders of any series of preferred stock to elect directors, the sole power to fill vacancies and newly created directorships resulting from any increase in the authorized number of directors shall be vested in the Board through action by a majority of the directors then in office, even though less than a quorum, or by a sole remaining director, and each director so chosen shall hold office for the remainder of the full term of the class of directors in which the new directorship was created or in which the vacancy occurred, and until such director’s successor is duly elected and qualified or until such director’s earlier death, resignation or removal from office. If there are no directors in office, then an election of directors may be held in the manner provided by statute. In the event of a vacancy in the Board, the remaining directors, except as otherwise provided by law or these bylaws, may exercise the powers of the full Board until the vacancy is filled.</w:t>
      </w:r>
    </w:p>
    <w:p>
      <w:pPr>
        <w:spacing w:after="0" w:line="159"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Resignation and Removal</w:t>
      </w:r>
      <w:r>
        <w:rPr>
          <w:rFonts w:ascii="Arial" w:cs="Arial" w:eastAsia="Arial" w:hAnsi="Arial"/>
          <w:sz w:val="22"/>
          <w:szCs w:val="22"/>
          <w:color w:val="auto"/>
        </w:rPr>
        <w:t>. Any director may resign at any time upon written notice to the corporation at its principal place of business addressed to the attention of the Chief Executive Officer or the Secretary. Such resignation shall be effective upon receipt of such notice unless the notice specifies such resignation to be effective at some other time or upon the happening of some other event. Any director or the entire Board may be removed, but only for cause, by the holders of sixty-six and two-thirds percent of the voting power of all of the then outstanding shares of the shares of the capital stock of the corporation entitled to vote generally in the election of directors, voting as a single class, unless otherwise specified by law or the Certificate of Incorporation.</w:t>
      </w:r>
    </w:p>
    <w:p>
      <w:pPr>
        <w:spacing w:after="0" w:line="196" w:lineRule="exact"/>
        <w:rPr>
          <w:sz w:val="20"/>
          <w:szCs w:val="20"/>
          <w:color w:val="auto"/>
        </w:rPr>
      </w:pPr>
    </w:p>
    <w:p>
      <w:pPr>
        <w:ind w:right="80" w:firstLine="648"/>
        <w:spacing w:after="0" w:line="271"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Powers</w:t>
      </w:r>
      <w:r>
        <w:rPr>
          <w:rFonts w:ascii="Arial" w:cs="Arial" w:eastAsia="Arial" w:hAnsi="Arial"/>
          <w:sz w:val="21"/>
          <w:szCs w:val="21"/>
          <w:color w:val="auto"/>
        </w:rPr>
        <w:t>. The business of the corporation shall be managed by or under the direction of the Board, which may exercise all such powers of the corporation and do all such lawful acts and things as are not by statute or by the Certificate of Incorporation or by these bylaws directed or required to be exercised or done by the stockholders.</w:t>
      </w:r>
    </w:p>
    <w:p>
      <w:pPr>
        <w:spacing w:after="0" w:line="16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Chairman of the Board</w:t>
      </w:r>
      <w:r>
        <w:rPr>
          <w:rFonts w:ascii="Arial" w:cs="Arial" w:eastAsia="Arial" w:hAnsi="Arial"/>
          <w:sz w:val="19"/>
          <w:szCs w:val="19"/>
          <w:color w:val="auto"/>
        </w:rPr>
        <w:t>. If the Board appoints a Chairman of the Board, such Chair shall, when present, preside at all meetings of the stockholders and the Board. The Chair shall perform such duties and possess such powers as are customarily vested in the office of the Chairman of the Board or as may be vested in the Chair by the Board.</w:t>
      </w:r>
    </w:p>
    <w:p>
      <w:pPr>
        <w:spacing w:after="0" w:line="133" w:lineRule="exact"/>
        <w:rPr>
          <w:sz w:val="20"/>
          <w:szCs w:val="20"/>
          <w:color w:val="auto"/>
        </w:rPr>
      </w:pPr>
    </w:p>
    <w:p>
      <w:pPr>
        <w:ind w:right="600" w:firstLine="648"/>
        <w:spacing w:after="0" w:line="263"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Place of Meetings</w:t>
      </w:r>
      <w:r>
        <w:rPr>
          <w:rFonts w:ascii="Arial" w:cs="Arial" w:eastAsia="Arial" w:hAnsi="Arial"/>
          <w:sz w:val="22"/>
          <w:szCs w:val="22"/>
          <w:color w:val="auto"/>
        </w:rPr>
        <w:t>. The Board may hold meetings, both regular and special, either within or without the State of Delaware.</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 xml:space="preserve">3.7 </w:t>
      </w:r>
      <w:r>
        <w:rPr>
          <w:rFonts w:ascii="Arial" w:cs="Arial" w:eastAsia="Arial" w:hAnsi="Arial"/>
          <w:sz w:val="21"/>
          <w:szCs w:val="21"/>
          <w:u w:val="single" w:color="auto"/>
          <w:color w:val="auto"/>
        </w:rPr>
        <w:t>Annual Meetings</w:t>
      </w:r>
      <w:r>
        <w:rPr>
          <w:rFonts w:ascii="Arial" w:cs="Arial" w:eastAsia="Arial" w:hAnsi="Arial"/>
          <w:sz w:val="21"/>
          <w:szCs w:val="21"/>
          <w:color w:val="auto"/>
        </w:rPr>
        <w:t>. The annual meetings of the Board shall be held immediately following the annual meeting of stockholders, and no notice of such meeting shall be necessary to the Board, provided a quorum shall be present, or shall be held at the next regularly scheduled meeting of the Board or at such other date, time and place as shall be designated from time to time by the Board and stated in the notice of the meeting. The annual meetings shall be for the purposes of organization, and an election of officers and the transaction of other business.</w:t>
      </w:r>
    </w:p>
    <w:p>
      <w:pPr>
        <w:spacing w:after="0" w:line="175"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u w:val="single" w:color="auto"/>
          <w:color w:val="auto"/>
        </w:rPr>
        <w:t>Regular Meetings</w:t>
      </w:r>
      <w:r>
        <w:rPr>
          <w:rFonts w:ascii="Arial" w:cs="Arial" w:eastAsia="Arial" w:hAnsi="Arial"/>
          <w:sz w:val="22"/>
          <w:szCs w:val="22"/>
          <w:color w:val="auto"/>
        </w:rPr>
        <w:t>. Regular meetings of the Board may be held without notice at such time and place as may be determined from time to time by the Board; provided that any director who is absent when such a determination is made shall be given prompt notice of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266" w:right="359" w:bottom="1440" w:gutter="0" w:footer="0" w:header="0"/>
        </w:sectPr>
      </w:pPr>
    </w:p>
    <w:bookmarkStart w:id="15" w:name="page16"/>
    <w:bookmarkEnd w:id="15"/>
    <w:p>
      <w:pPr>
        <w:ind w:right="180" w:firstLine="648"/>
        <w:spacing w:after="0" w:line="289"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u w:val="single" w:color="auto"/>
          <w:color w:val="auto"/>
        </w:rPr>
        <w:t>Special Meetings</w:t>
      </w:r>
      <w:r>
        <w:rPr>
          <w:rFonts w:ascii="Arial" w:cs="Arial" w:eastAsia="Arial" w:hAnsi="Arial"/>
          <w:sz w:val="19"/>
          <w:szCs w:val="19"/>
          <w:color w:val="auto"/>
        </w:rPr>
        <w:t>. Special meetings of the Board may be called by the Chairman of the Board, the Chief Executive Officer (if a director), or on the written request of two or more directors, or by one director in the event that there is only one director in office. Notice of the time and place, if any, of special meetings shall be delivered personally or by telephone to each director, or sent by first-class mail or commercial delivery service, facsimile transmission, or by electronic mail or other electronic means, charges prepaid, sent to such director’s business or home address as they appear upon the records of the corporation. In case such notice is mailed, it shall be deposited in the United States mail at least four days prior to the time of holding of the meeting. In case such notice is delivered personally or by telephone or by commercial delivery service, facsimile transmission, or electronic mail or other electronic means, it shall be so delivered at least twenty-four hours prior to the time of the holding of the meeting. A notice or waiver of notice of a meeting of the Board need not specify the purposes of the meeting.</w:t>
      </w:r>
    </w:p>
    <w:p>
      <w:pPr>
        <w:spacing w:after="0" w:line="157"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 xml:space="preserve">3.10 </w:t>
      </w:r>
      <w:r>
        <w:rPr>
          <w:rFonts w:ascii="Arial" w:cs="Arial" w:eastAsia="Arial" w:hAnsi="Arial"/>
          <w:sz w:val="21"/>
          <w:szCs w:val="21"/>
          <w:u w:val="single" w:color="auto"/>
          <w:color w:val="auto"/>
        </w:rPr>
        <w:t>Quorum, Action at Meeting, Adjournments</w:t>
      </w:r>
      <w:r>
        <w:rPr>
          <w:rFonts w:ascii="Arial" w:cs="Arial" w:eastAsia="Arial" w:hAnsi="Arial"/>
          <w:sz w:val="21"/>
          <w:szCs w:val="21"/>
          <w:color w:val="auto"/>
        </w:rPr>
        <w:t>. At all meetings of the Board, a majority of directors then in office, but in no event less than one-third of the entire Board, shall constitute a quorum for the transaction of business and the act of a majority of the directors present at any meeting at which there is a quorum shall be the act of the Board, except as may be otherwise specifically provided by law or by the Certificate of Incorporation. For purposes of this Section, the term “entire Board” shall mean the number of directors last fixed by directors in accordance with these bylaws; provided, however, that if fewer than all the number of directors so fixed have been elected (by the stockholders or the Board), the “entire Board” shall mean the greatest number of directors so elected to hold office at any one time pursuant to such authorization. The act of a majority of the directors present at any meeting at which there is a quorum shall be the act of the Board, except as may be otherwise specifically provided by law or by the Certificate of Incorporation. If a quorum shall not be present at any meeting of the Board, a majority of the directors present thereat may adjourn the meeting from time to time, without notice other than announcement at the meeting, until a quorum shall be present.</w:t>
      </w:r>
    </w:p>
    <w:p>
      <w:pPr>
        <w:spacing w:after="0" w:line="182"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Action Without Meeting</w:t>
      </w:r>
      <w:r>
        <w:rPr>
          <w:rFonts w:ascii="Arial" w:cs="Arial" w:eastAsia="Arial" w:hAnsi="Arial"/>
          <w:sz w:val="19"/>
          <w:szCs w:val="19"/>
          <w:color w:val="auto"/>
        </w:rPr>
        <w:t>.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w:t>
      </w:r>
    </w:p>
    <w:p>
      <w:pPr>
        <w:spacing w:after="0" w:line="142"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u w:val="single" w:color="auto"/>
          <w:color w:val="auto"/>
        </w:rPr>
        <w:t>Telephone Meetings.</w:t>
      </w:r>
      <w:r>
        <w:rPr>
          <w:rFonts w:ascii="Arial" w:cs="Arial" w:eastAsia="Arial" w:hAnsi="Arial"/>
          <w:sz w:val="19"/>
          <w:szCs w:val="19"/>
          <w:color w:val="auto"/>
        </w:rPr>
        <w:t xml:space="preserve"> Unless otherwise restricted by the Certificate of Incorporation or these bylaws, any member of the Board or any committee thereof may participate in a meeting of the Board or of any committee, as the case may be, by means of conference telephone or by any form of communications equipment by means of which all persons participating in the meeting can hear each other, and such participation in a meeting shall constitute presence in person at the meeting.</w:t>
      </w:r>
    </w:p>
    <w:p>
      <w:pPr>
        <w:spacing w:after="0" w:line="14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9"/>
          <w:szCs w:val="19"/>
          <w:color w:val="auto"/>
        </w:rPr>
        <w:t xml:space="preserve">3.13 </w:t>
      </w:r>
      <w:r>
        <w:rPr>
          <w:rFonts w:ascii="Arial" w:cs="Arial" w:eastAsia="Arial" w:hAnsi="Arial"/>
          <w:sz w:val="19"/>
          <w:szCs w:val="19"/>
          <w:u w:val="single" w:color="auto"/>
          <w:color w:val="auto"/>
        </w:rPr>
        <w:t>Committees</w:t>
      </w:r>
      <w:r>
        <w:rPr>
          <w:rFonts w:ascii="Arial" w:cs="Arial" w:eastAsia="Arial" w:hAnsi="Arial"/>
          <w:sz w:val="19"/>
          <w:szCs w:val="19"/>
          <w:color w:val="auto"/>
        </w:rPr>
        <w:t>. The Board may, by resolution,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266" w:right="339" w:bottom="1440" w:gutter="0" w:footer="0" w:header="0"/>
        </w:sectPr>
      </w:pPr>
    </w:p>
    <w:bookmarkStart w:id="16" w:name="page17"/>
    <w:bookmarkEnd w:id="16"/>
    <w:p>
      <w:pPr>
        <w:spacing w:after="0" w:line="287" w:lineRule="auto"/>
        <w:rPr>
          <w:sz w:val="20"/>
          <w:szCs w:val="20"/>
          <w:color w:val="auto"/>
        </w:rPr>
      </w:pPr>
      <w:r>
        <w:rPr>
          <w:rFonts w:ascii="Arial" w:cs="Arial" w:eastAsia="Arial" w:hAnsi="Arial"/>
          <w:sz w:val="19"/>
          <w:szCs w:val="19"/>
          <w:color w:val="auto"/>
        </w:rPr>
        <w:t>voting, whether or not the member or members present constitute a quorum, may unanimously appoint another member of the Board to act at the meeting in the place of any such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expressly required by the General Corporation Law of the State of Delaware (the “DGCL”) to be submitted to stockholders for approval or (ii) adopting, amending or repealing any of these bylaws. Such committee or committees shall have such name or names as may be determined from time to time by resolution adopted by the Board. Each committee shall keep regular minutes of its meetings and make such reports to the Board as the Board may request. Except as the Board may otherwise determine, any committee may make rules for the conduct of its business, but unless otherwise provided by the directors or in such rules, its business shall be conducted as nearly as possible in the same manner as is provided in these bylaws for the conduct of its business by the Board.</w:t>
      </w:r>
    </w:p>
    <w:p>
      <w:pPr>
        <w:spacing w:after="0" w:line="159"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 xml:space="preserve">3.14 </w:t>
      </w:r>
      <w:r>
        <w:rPr>
          <w:rFonts w:ascii="Arial" w:cs="Arial" w:eastAsia="Arial" w:hAnsi="Arial"/>
          <w:sz w:val="22"/>
          <w:szCs w:val="22"/>
          <w:u w:val="single" w:color="auto"/>
          <w:color w:val="auto"/>
        </w:rPr>
        <w:t>Fees and Compensation of Directors</w:t>
      </w:r>
      <w:r>
        <w:rPr>
          <w:rFonts w:ascii="Arial" w:cs="Arial" w:eastAsia="Arial" w:hAnsi="Arial"/>
          <w:sz w:val="22"/>
          <w:szCs w:val="22"/>
          <w:color w:val="auto"/>
        </w:rPr>
        <w:t>. Unless otherwise restricted by the Certificate of Incorporation or these bylaws, the Board shall have the authority to fix the compensation of directors. The directors may be paid their expenses, if any, of attendance at each meeting of the Board and may be paid a fixed sum for attendance at each meeting of the Board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93" w:lineRule="exact"/>
        <w:rPr>
          <w:sz w:val="20"/>
          <w:szCs w:val="20"/>
          <w:color w:val="auto"/>
        </w:rPr>
      </w:pPr>
    </w:p>
    <w:p>
      <w:pPr>
        <w:jc w:val="center"/>
        <w:ind w:right="-19"/>
        <w:spacing w:after="0" w:line="253" w:lineRule="exact"/>
        <w:rPr>
          <w:sz w:val="20"/>
          <w:szCs w:val="20"/>
          <w:color w:val="auto"/>
        </w:rPr>
      </w:pPr>
      <w:r>
        <w:rPr>
          <w:rFonts w:ascii="Arial" w:cs="Arial" w:eastAsia="Arial" w:hAnsi="Arial"/>
          <w:sz w:val="22"/>
          <w:szCs w:val="22"/>
          <w:color w:val="auto"/>
        </w:rPr>
        <w:t xml:space="preserve">ARTICLE 4 </w:t>
      </w:r>
      <w:r>
        <w:rPr>
          <w:rFonts w:ascii="Arial" w:cs="Arial" w:eastAsia="Arial" w:hAnsi="Arial"/>
          <w:sz w:val="22"/>
          <w:szCs w:val="22"/>
          <w:u w:val="single" w:color="auto"/>
          <w:color w:val="auto"/>
        </w:rPr>
        <w:t>Officers</w:t>
      </w:r>
      <w:r>
        <w:rPr>
          <w:rFonts w:ascii="MS PGothic" w:cs="MS PGothic" w:eastAsia="MS PGothic" w:hAnsi="MS PGothic"/>
          <w:sz w:val="17"/>
          <w:szCs w:val="17"/>
          <w:color w:val="auto"/>
        </w:rPr>
        <w:t> </w:t>
      </w:r>
    </w:p>
    <w:p>
      <w:pPr>
        <w:spacing w:after="0" w:line="220"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Officers Designated</w:t>
      </w:r>
      <w:r>
        <w:rPr>
          <w:rFonts w:ascii="Arial" w:cs="Arial" w:eastAsia="Arial" w:hAnsi="Arial"/>
          <w:sz w:val="19"/>
          <w:szCs w:val="19"/>
          <w:color w:val="auto"/>
        </w:rPr>
        <w:t>. The officers of the corporation shall be a Chief Executive Officer and/or President, a Secretary and a Chief Financial Officer, each of whom shall be appointed by the Board. The Board may also appoint one or more Vice Presidents, a Treasurer, and one or more assistant Secretaries or assistant Treasurers and such other officers as the Board may deem desirable or appropriate and may give any of them such further designations or alternate titles as it considers desirable. Any number of offices may be held by the same person, unless the Certificate of Incorporation or these bylaws otherwise provide.</w:t>
      </w:r>
    </w:p>
    <w:p>
      <w:pPr>
        <w:spacing w:after="0" w:line="147"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Election.</w:t>
      </w:r>
      <w:r>
        <w:rPr>
          <w:rFonts w:ascii="Arial" w:cs="Arial" w:eastAsia="Arial" w:hAnsi="Arial"/>
          <w:sz w:val="22"/>
          <w:szCs w:val="22"/>
          <w:color w:val="auto"/>
        </w:rPr>
        <w:t xml:space="preserve"> The Board at its first meeting after each annual meeting of stockholders shall appoint a Chief Executive Officer and/or President, a Secretary and a Chief Financial Officer. Other officers may be appointed by the Board of Directors at such meeting, at any other meeting, or by written consent.</w:t>
      </w:r>
    </w:p>
    <w:p>
      <w:pPr>
        <w:spacing w:after="0" w:line="185"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Tenure</w:t>
      </w:r>
      <w:r>
        <w:rPr>
          <w:rFonts w:ascii="Arial" w:cs="Arial" w:eastAsia="Arial" w:hAnsi="Arial"/>
          <w:sz w:val="22"/>
          <w:szCs w:val="22"/>
          <w:color w:val="auto"/>
        </w:rPr>
        <w:t>. Each officer of the corporation shall hold office until such officer’s successor is elected and qualified, unless a different term is specified in the vote choosing or appointing such officer, or until such officer’s earlier death, resignation or removal. Any officer may be removed with or without cause at any time by the affirmative vote of a majority of the Board or a committee of the Board duly authorized to do so. Designation of an officer shall not of itself create any contractual rights. Any vacancy occurring in any office of the corporation may be filled by the Board, at its discretion. Any officer may resign by delivering such officer’s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266" w:right="359" w:bottom="1440" w:gutter="0" w:footer="0" w:header="0"/>
        </w:sectPr>
      </w:pPr>
    </w:p>
    <w:bookmarkStart w:id="17" w:name="page18"/>
    <w:bookmarkEnd w:id="17"/>
    <w:p>
      <w:pPr>
        <w:spacing w:after="0" w:line="343" w:lineRule="auto"/>
        <w:rPr>
          <w:sz w:val="20"/>
          <w:szCs w:val="20"/>
          <w:color w:val="auto"/>
        </w:rPr>
      </w:pPr>
      <w:r>
        <w:rPr>
          <w:rFonts w:ascii="Arial" w:cs="Arial" w:eastAsia="Arial" w:hAnsi="Arial"/>
          <w:sz w:val="19"/>
          <w:szCs w:val="19"/>
          <w:color w:val="auto"/>
        </w:rPr>
        <w:t>resignation to the corporation at its principal place of business or to the Chief Executive Officer or the Secretary. Such resignation shall be effective upon receipt unless it is specified to be effective at some other time or upon the happening of some other event.</w:t>
      </w:r>
    </w:p>
    <w:p>
      <w:pPr>
        <w:spacing w:after="0" w:line="104"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Chief Executive Officer</w:t>
      </w:r>
      <w:r>
        <w:rPr>
          <w:rFonts w:ascii="Arial" w:cs="Arial" w:eastAsia="Arial" w:hAnsi="Arial"/>
          <w:sz w:val="19"/>
          <w:szCs w:val="19"/>
          <w:color w:val="auto"/>
        </w:rPr>
        <w:t>. The Chief Executive Officer shall, subject to the control of the Board, have general executive charge, management and control of the business of the corporation and its officers and see that all orders and resolutions of the Board are carried into effect. In addition, the Chief Executive Officer shall perform such other duties and have such other powers as may from time to time be prescribed by the Board or as are set forth in the Certificate of Incorporation or these bylaws. If the Board of Directors has not elected or appointed a President or the office of the President is otherwise vacant, and no officer otherwise functions with the powers and duties of the President, then, unless otherwise determined by the Board of Directors, the Chief Executive Officer shall also have all the powers and duties of the President.</w:t>
      </w:r>
    </w:p>
    <w:p>
      <w:pPr>
        <w:spacing w:after="0" w:line="151" w:lineRule="exact"/>
        <w:rPr>
          <w:sz w:val="20"/>
          <w:szCs w:val="20"/>
          <w:color w:val="auto"/>
        </w:rPr>
      </w:pPr>
    </w:p>
    <w:p>
      <w:pPr>
        <w:ind w:right="340" w:firstLine="648"/>
        <w:spacing w:after="0" w:line="248"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President</w:t>
      </w:r>
      <w:r>
        <w:rPr>
          <w:rFonts w:ascii="Arial" w:cs="Arial" w:eastAsia="Arial" w:hAnsi="Arial"/>
          <w:sz w:val="22"/>
          <w:szCs w:val="22"/>
          <w:color w:val="auto"/>
        </w:rPr>
        <w:t>. The President shall, in the event there be no Chief Executive Officer or in the absence of the Chief Executive Officer or in the event of his or her inability or refusal to act, perform the duties of the Chief Executive Officer, and when so acting, shall have the powers of and be subject to all the restrictions upon the Chief Executive Officer. The President shall perform such other duties and have such other powers as may from time to time be prescribed by the Board, the Chief Executive Officer or these bylaws.</w:t>
      </w:r>
    </w:p>
    <w:p>
      <w:pPr>
        <w:spacing w:after="0" w:line="192" w:lineRule="exact"/>
        <w:rPr>
          <w:sz w:val="20"/>
          <w:szCs w:val="20"/>
          <w:color w:val="auto"/>
        </w:rPr>
      </w:pPr>
    </w:p>
    <w:p>
      <w:pPr>
        <w:ind w:right="120" w:firstLine="648"/>
        <w:spacing w:after="0" w:line="258"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u w:val="single" w:color="auto"/>
          <w:color w:val="auto"/>
        </w:rPr>
        <w:t>Chief Financial Officer</w:t>
      </w:r>
      <w:r>
        <w:rPr>
          <w:rFonts w:ascii="Arial" w:cs="Arial" w:eastAsia="Arial" w:hAnsi="Arial"/>
          <w:sz w:val="21"/>
          <w:szCs w:val="21"/>
          <w:color w:val="auto"/>
        </w:rPr>
        <w:t>. The Chief Financial Officer shall supervise the corporation’s treasury functions and financial reporting to external bodies. The Chief Financial Officer shall have the custody of the corporate funds and securities and shall keep, or cause to be kept, full and accurate accounts of receipts and disbursements in books belonging to the corporation and shall deposit, or cause to be deposited, all moneys and other valuable effects in the name and to the credit of the corporation in such depositories as may be designated by the Board. The Chief Financial Officer shall disburse, or cause to be disbursed, the funds of the corporation as may be ordered by the Board, taking proper vouchers for such disbursements, and shall render to the Chief Executive Officer and the Board, at its regular meetings, or when the Board so requires, an account of all his or her transactions as Chief Financial Officer and of the financial condition of the corporation. The Chief Financial Officer shall perform such other duties and have other powers as may from time to time be prescribed by the Board, the Chief Executive Officer, the President or these bylaws.</w:t>
      </w:r>
    </w:p>
    <w:p>
      <w:pPr>
        <w:spacing w:after="0" w:line="185" w:lineRule="exact"/>
        <w:rPr>
          <w:sz w:val="20"/>
          <w:szCs w:val="20"/>
          <w:color w:val="auto"/>
        </w:rPr>
      </w:pPr>
    </w:p>
    <w:p>
      <w:pPr>
        <w:ind w:right="320" w:firstLine="648"/>
        <w:spacing w:after="0" w:line="312"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Vice President</w:t>
      </w:r>
      <w:r>
        <w:rPr>
          <w:rFonts w:ascii="Arial" w:cs="Arial" w:eastAsia="Arial" w:hAnsi="Arial"/>
          <w:sz w:val="19"/>
          <w:szCs w:val="19"/>
          <w:color w:val="auto"/>
        </w:rPr>
        <w:t>. Each Vice President, if any are elected, of whom one or more may be designated an Executive Vice President or Senior Vice President, shall perform such other duties and have such other powers as may from time to time be prescribed for him or her by the Board, the Chief Executive Officer, the President, or these bylaws.</w:t>
      </w:r>
    </w:p>
    <w:p>
      <w:pPr>
        <w:spacing w:after="0" w:line="133" w:lineRule="exact"/>
        <w:rPr>
          <w:sz w:val="20"/>
          <w:szCs w:val="20"/>
          <w:color w:val="auto"/>
        </w:rPr>
      </w:pPr>
    </w:p>
    <w:p>
      <w:pPr>
        <w:ind w:right="200" w:firstLine="648"/>
        <w:spacing w:after="0" w:line="246"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Secretary</w:t>
      </w:r>
      <w:r>
        <w:rPr>
          <w:rFonts w:ascii="Arial" w:cs="Arial" w:eastAsia="Arial" w:hAnsi="Arial"/>
          <w:sz w:val="22"/>
          <w:szCs w:val="22"/>
          <w:color w:val="auto"/>
        </w:rPr>
        <w:t>. The Secretary shall keep or cause to be kept minutes of all meetings and actions of the Board, committees of the Board and the stockholders. The Secretary shall give, or cause to be given, notice of all meetings of stockholders and special meetings of the Board required by these bylaws or otherwise. The Secretary shall keep, or cause to be kept, at the principal executive office of the corporation or at the office of the corporation’s transfer agent or registrar, a share register, or a duplicate share register, showing the names of all stockholders and their addresses, the number and classes of shares held by each, the number and date of certificates issued for the same and the number and date of cancellation of every certificate surrendered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266" w:right="339" w:bottom="1440" w:gutter="0" w:footer="0" w:header="0"/>
        </w:sectPr>
      </w:pPr>
    </w:p>
    <w:bookmarkStart w:id="18" w:name="page19"/>
    <w:bookmarkEnd w:id="18"/>
    <w:p>
      <w:pPr>
        <w:ind w:right="200"/>
        <w:spacing w:after="0" w:line="263" w:lineRule="auto"/>
        <w:rPr>
          <w:sz w:val="20"/>
          <w:szCs w:val="20"/>
          <w:color w:val="auto"/>
        </w:rPr>
      </w:pPr>
      <w:r>
        <w:rPr>
          <w:rFonts w:ascii="Arial" w:cs="Arial" w:eastAsia="Arial" w:hAnsi="Arial"/>
          <w:sz w:val="22"/>
          <w:szCs w:val="22"/>
          <w:color w:val="auto"/>
        </w:rPr>
        <w:t>cancellation. The Secretary shall perform such other duties and have such other powers as may from time to time be prescribed by the Board, the Chief Executive Officer, the President or these bylaws.</w:t>
      </w:r>
    </w:p>
    <w:p>
      <w:pPr>
        <w:spacing w:after="0" w:line="175" w:lineRule="exact"/>
        <w:rPr>
          <w:sz w:val="20"/>
          <w:szCs w:val="20"/>
          <w:color w:val="auto"/>
        </w:rPr>
      </w:pPr>
    </w:p>
    <w:p>
      <w:pPr>
        <w:ind w:right="280" w:firstLine="648"/>
        <w:spacing w:after="0" w:line="248" w:lineRule="auto"/>
        <w:rPr>
          <w:sz w:val="20"/>
          <w:szCs w:val="20"/>
          <w:color w:val="auto"/>
        </w:rPr>
      </w:pPr>
      <w:r>
        <w:rPr>
          <w:rFonts w:ascii="Arial" w:cs="Arial" w:eastAsia="Arial" w:hAnsi="Arial"/>
          <w:sz w:val="22"/>
          <w:szCs w:val="22"/>
          <w:color w:val="auto"/>
        </w:rPr>
        <w:t xml:space="preserve">4.9 </w:t>
      </w:r>
      <w:r>
        <w:rPr>
          <w:rFonts w:ascii="Arial" w:cs="Arial" w:eastAsia="Arial" w:hAnsi="Arial"/>
          <w:sz w:val="22"/>
          <w:szCs w:val="22"/>
          <w:u w:val="single" w:color="auto"/>
          <w:color w:val="auto"/>
        </w:rPr>
        <w:t>Assistant Secretary</w:t>
      </w:r>
      <w:r>
        <w:rPr>
          <w:rFonts w:ascii="Arial" w:cs="Arial" w:eastAsia="Arial" w:hAnsi="Arial"/>
          <w:sz w:val="22"/>
          <w:szCs w:val="22"/>
          <w:color w:val="auto"/>
        </w:rPr>
        <w:t>. The Assistant Secretary, or if there be more than one, any Assistant Secretaries in the order designated by the Board (or in the absence of any designation, in the order of their election) shall assist the Secretary in the performance of his or her duties and, in the absence of the Secretary or in the event of his or her inability or refusal to act, perform the duties and exercise the powers of the Secretary and shall perform such other duties and have such other powers as may from time to time be prescribed by the Board.</w:t>
      </w:r>
    </w:p>
    <w:p>
      <w:pPr>
        <w:spacing w:after="0" w:line="192" w:lineRule="exact"/>
        <w:rPr>
          <w:sz w:val="20"/>
          <w:szCs w:val="20"/>
          <w:color w:val="auto"/>
        </w:rPr>
      </w:pPr>
    </w:p>
    <w:p>
      <w:pPr>
        <w:ind w:right="40" w:firstLine="648"/>
        <w:spacing w:after="0" w:line="247" w:lineRule="auto"/>
        <w:rPr>
          <w:sz w:val="20"/>
          <w:szCs w:val="20"/>
          <w:color w:val="auto"/>
        </w:rPr>
      </w:pPr>
      <w:r>
        <w:rPr>
          <w:rFonts w:ascii="Arial" w:cs="Arial" w:eastAsia="Arial" w:hAnsi="Arial"/>
          <w:sz w:val="22"/>
          <w:szCs w:val="22"/>
          <w:color w:val="auto"/>
        </w:rPr>
        <w:t xml:space="preserve">4.10 </w:t>
      </w:r>
      <w:r>
        <w:rPr>
          <w:rFonts w:ascii="Arial" w:cs="Arial" w:eastAsia="Arial" w:hAnsi="Arial"/>
          <w:sz w:val="22"/>
          <w:szCs w:val="22"/>
          <w:u w:val="single" w:color="auto"/>
          <w:color w:val="auto"/>
        </w:rPr>
        <w:t>Treasurer and Assistant Treasurers</w:t>
      </w:r>
      <w:r>
        <w:rPr>
          <w:rFonts w:ascii="Arial" w:cs="Arial" w:eastAsia="Arial" w:hAnsi="Arial"/>
          <w:sz w:val="22"/>
          <w:szCs w:val="22"/>
          <w:color w:val="auto"/>
        </w:rPr>
        <w:t>. The Treasurer (if one is appointed) shall have such duties as may be specified by the Chief Financial Officer to assist the Chief Financial Officer in the performance of his or her duties and shall perform such other duties and have other powers as may from time to time be prescribed by the Board, the Chief Executive Officer or the President. It shall be the duty of any Assistant Treasurers to assist the Treasurer in the performance of his or her duties and to perform such other duties and have such other powers as may from time to time be prescribed by the Board, the Chief Executive Officer or the President.</w:t>
      </w:r>
    </w:p>
    <w:p>
      <w:pPr>
        <w:spacing w:after="0" w:line="193"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u w:val="single" w:color="auto"/>
          <w:color w:val="auto"/>
        </w:rPr>
        <w:t>Delegation of Authority</w:t>
      </w:r>
      <w:r>
        <w:rPr>
          <w:rFonts w:ascii="Arial" w:cs="Arial" w:eastAsia="Arial" w:hAnsi="Arial"/>
          <w:sz w:val="22"/>
          <w:szCs w:val="22"/>
          <w:color w:val="auto"/>
        </w:rPr>
        <w:t>. The Board may from time to time delegate the powers or duties of any officer to any other officers or agents, notwithstanding any provision hereof.</w:t>
      </w:r>
    </w:p>
    <w:p>
      <w:pPr>
        <w:spacing w:after="0" w:line="175" w:lineRule="exact"/>
        <w:rPr>
          <w:sz w:val="20"/>
          <w:szCs w:val="20"/>
          <w:color w:val="auto"/>
        </w:rPr>
      </w:pPr>
    </w:p>
    <w:p>
      <w:pPr>
        <w:jc w:val="center"/>
        <w:ind w:right="-59"/>
        <w:spacing w:after="0" w:line="253" w:lineRule="exact"/>
        <w:rPr>
          <w:sz w:val="20"/>
          <w:szCs w:val="20"/>
          <w:color w:val="auto"/>
        </w:rPr>
      </w:pPr>
      <w:r>
        <w:rPr>
          <w:rFonts w:ascii="Arial" w:cs="Arial" w:eastAsia="Arial" w:hAnsi="Arial"/>
          <w:sz w:val="22"/>
          <w:szCs w:val="22"/>
          <w:color w:val="auto"/>
        </w:rPr>
        <w:t xml:space="preserve">ARTICLE 5 </w:t>
      </w:r>
      <w:r>
        <w:rPr>
          <w:rFonts w:ascii="Arial" w:cs="Arial" w:eastAsia="Arial" w:hAnsi="Arial"/>
          <w:sz w:val="22"/>
          <w:szCs w:val="22"/>
          <w:u w:val="single" w:color="auto"/>
          <w:color w:val="auto"/>
        </w:rPr>
        <w:t>Notices</w:t>
      </w:r>
      <w:r>
        <w:rPr>
          <w:rFonts w:ascii="MS PGothic" w:cs="MS PGothic" w:eastAsia="MS PGothic" w:hAnsi="MS PGothic"/>
          <w:sz w:val="17"/>
          <w:szCs w:val="17"/>
          <w:color w:val="auto"/>
        </w:rPr>
        <w:t> </w:t>
      </w:r>
    </w:p>
    <w:p>
      <w:pPr>
        <w:spacing w:after="0" w:line="22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Delivery</w:t>
      </w:r>
      <w:r>
        <w:rPr>
          <w:rFonts w:ascii="Arial" w:cs="Arial" w:eastAsia="Arial" w:hAnsi="Arial"/>
          <w:sz w:val="19"/>
          <w:szCs w:val="19"/>
          <w:color w:val="auto"/>
        </w:rPr>
        <w:t>. Whenever, under the provisions of law, or of the Certificate of Incorporation or these bylaws, written notice is required to be given to any director or stockholder, such notice may be given by mail, addressed to such director or stockholder, at such person’s address as it appears on the records of the corporation, with postage thereon prepaid, and such notice shall be deemed to be given at the time when the same shall be deposited in the United States mail or delivered to a nationally recognized courier service. Unless written notice by mail is required by law, written notice may also be given by commercial delivery service, facsimile transmission, electronic mail or similar electronic means addressed to such director or stockholder at such person’s address as it appears on the records of the corporation, in which case such notice shall be deemed to be given when delivered into the control of the persons charged with effecting such transmission, or when actually transmitted by the person giving the notice by facsimile or electronic mail or similar electronic means to the recipient. Oral notice or other in-hand delivery, in person or by telephone, shall be deemed given at the time it is actually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20" w:top="1266" w:right="379" w:bottom="1440" w:gutter="0" w:footer="0" w:header="0"/>
        </w:sectPr>
      </w:pPr>
    </w:p>
    <w:bookmarkStart w:id="19" w:name="page20"/>
    <w:bookmarkEnd w:id="19"/>
    <w:p>
      <w:pPr>
        <w:ind w:right="20" w:firstLine="648"/>
        <w:spacing w:after="0" w:line="290" w:lineRule="auto"/>
        <w:rPr>
          <w:sz w:val="20"/>
          <w:szCs w:val="20"/>
          <w:color w:val="auto"/>
        </w:rPr>
      </w:pPr>
      <w:r>
        <w:rPr>
          <w:rFonts w:ascii="Arial" w:cs="Arial" w:eastAsia="Arial" w:hAnsi="Arial"/>
          <w:sz w:val="19"/>
          <w:szCs w:val="19"/>
          <w:color w:val="auto"/>
        </w:rPr>
        <w:t>5.2 Waiver of Notice. Whenever any notice is required to be given under the provisions of law or of the Certificate of Incorporation or of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or these bylaws.</w:t>
      </w:r>
    </w:p>
    <w:p>
      <w:pPr>
        <w:spacing w:after="0" w:line="156" w:lineRule="exact"/>
        <w:rPr>
          <w:sz w:val="20"/>
          <w:szCs w:val="20"/>
          <w:color w:val="auto"/>
        </w:rPr>
      </w:pPr>
    </w:p>
    <w:p>
      <w:pPr>
        <w:ind w:left="3720"/>
        <w:spacing w:after="0" w:line="253" w:lineRule="exact"/>
        <w:rPr>
          <w:sz w:val="20"/>
          <w:szCs w:val="20"/>
          <w:color w:val="auto"/>
        </w:rPr>
      </w:pPr>
      <w:r>
        <w:rPr>
          <w:rFonts w:ascii="Arial" w:cs="Arial" w:eastAsia="Arial" w:hAnsi="Arial"/>
          <w:sz w:val="22"/>
          <w:szCs w:val="22"/>
          <w:color w:val="auto"/>
        </w:rPr>
        <w:t>ARTICLE 6 Indemnification</w:t>
      </w:r>
      <w:r>
        <w:rPr>
          <w:rFonts w:ascii="MS PGothic" w:cs="MS PGothic" w:eastAsia="MS PGothic" w:hAnsi="MS PGothic"/>
          <w:sz w:val="17"/>
          <w:szCs w:val="17"/>
          <w:color w:val="auto"/>
        </w:rPr>
        <w:t> </w:t>
      </w:r>
      <w:r>
        <w:rPr>
          <w:rFonts w:ascii="Arial" w:cs="Arial" w:eastAsia="Arial" w:hAnsi="Arial"/>
          <w:sz w:val="22"/>
          <w:szCs w:val="22"/>
          <w:color w:val="auto"/>
        </w:rPr>
        <w:t xml:space="preserve"> and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-17780</wp:posOffset>
            </wp:positionV>
            <wp:extent cx="1675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75765" cy="8255"/>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Indemnification.</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Each person who was or is made a party or is threatened to be made a party to or is involved (including, without limitation, as a witness) in any actual or threatened action, suit or proceeding, whether civil, criminal, administrative or investigative (hereinafter a “proceeding”), by reason of the fact that he or she or a person of whom he or she is the legal representative is or was a director or officer of the corporation (or any predecessor), or is or was serving at the request of the corporation (or any predecessor) as a director, officer, employee or agent of another corporation or of a partnership, limited liability company, joint venture, trust, employee benefit plan sponsored or maintained by the corporation, or other enterprise (or any predecessor of any of such entities) (hereinafter an “Indemnitee”),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or by other applicable law as then in effect, against all expense, liability and loss (including attorneys’ fees and related disbursements, judgments, fines, excise taxes or penalties under the Employee Retirement Income Security Act of 1974, as amended from time to time, penalties and amounts paid or to be paid in settlement) actually and reasonably incurred or suffered by such Indemnitee in connection therewith. Each director or officer of the corporation (or any predecessor) who is or was serving as a director, officer, employee or agent of a subsidiary of the corporation shall be deemed to be serving, or have served, at the request of the corporation (or any predecessor). The corporation shall not be required to indemnify or make advances pursuant to Section 6.2 below to a person (A) in connection with a proceeding (or part thereof) initiated by such person unless such proceeding (or part thereof) was authorized by the Board, either generally or in the specific instance or (B) if the obligation to indemnify or make advances under the circumstances is specifically limited by the terms of any agreement between such person and the corporation. The right to indemnification conferred in this Section 6.1 shall be a contract right.</w:t>
      </w:r>
    </w:p>
    <w:p>
      <w:pPr>
        <w:spacing w:after="0" w:line="200" w:lineRule="exact"/>
        <w:rPr>
          <w:sz w:val="20"/>
          <w:szCs w:val="20"/>
          <w:color w:val="auto"/>
        </w:rPr>
      </w:pPr>
    </w:p>
    <w:p>
      <w:pPr>
        <w:spacing w:after="0" w:line="216"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Advance Payment</w:t>
      </w:r>
      <w:r>
        <w:rPr>
          <w:rFonts w:ascii="Arial" w:cs="Arial" w:eastAsia="Arial" w:hAnsi="Arial"/>
          <w:sz w:val="22"/>
          <w:szCs w:val="22"/>
          <w:color w:val="auto"/>
        </w:rPr>
        <w:t>. The right to indemnification under this Article 6 shall include the right to be paid by the corporation the expenses incurred by an Indemnitee in defending any such proceeding in advance of its final disposition, such advances to be paid by the corporation within 30 days after the receipt by the corporation of a statement or statements from the claimant requesting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266" w:right="339" w:bottom="1440" w:gutter="0" w:footer="0" w:header="0"/>
        </w:sectPr>
      </w:pPr>
    </w:p>
    <w:bookmarkStart w:id="20" w:name="page21"/>
    <w:bookmarkEnd w:id="20"/>
    <w:p>
      <w:pPr>
        <w:ind w:right="160"/>
        <w:spacing w:after="0" w:line="294" w:lineRule="auto"/>
        <w:rPr>
          <w:sz w:val="20"/>
          <w:szCs w:val="20"/>
          <w:color w:val="auto"/>
        </w:rPr>
      </w:pPr>
      <w:r>
        <w:rPr>
          <w:rFonts w:ascii="Arial" w:cs="Arial" w:eastAsia="Arial" w:hAnsi="Arial"/>
          <w:sz w:val="19"/>
          <w:szCs w:val="19"/>
          <w:color w:val="auto"/>
        </w:rPr>
        <w:t>such advance or advances from time to time; provided, however, that if the DGCL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receipt by the corporation of a written undertaking by or on behalf of such director or officer to repay all amounts so advanced if it shall ultimately be determined that such director or officer is not entitled to be indemnified under Section 6.1 or otherwise.</w:t>
      </w:r>
    </w:p>
    <w:p>
      <w:pPr>
        <w:spacing w:after="0" w:line="149" w:lineRule="exact"/>
        <w:rPr>
          <w:sz w:val="20"/>
          <w:szCs w:val="20"/>
          <w:color w:val="auto"/>
        </w:rPr>
      </w:pPr>
    </w:p>
    <w:p>
      <w:pPr>
        <w:ind w:right="120" w:firstLine="648"/>
        <w:spacing w:after="0" w:line="259"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Non-Exclusivity and Survival of Rights; Amendments</w:t>
      </w:r>
      <w:r>
        <w:rPr>
          <w:rFonts w:ascii="Arial" w:cs="Arial" w:eastAsia="Arial" w:hAnsi="Arial"/>
          <w:sz w:val="21"/>
          <w:szCs w:val="21"/>
          <w:color w:val="auto"/>
        </w:rPr>
        <w:t>. The right to indemnification and the payment of expenses incurred in defending a proceeding in advance of its final disposition conferred in this Article 6 shall not be deemed exclusive of any other right which any person may have or hereafter acquire under any statute, provision of the Certificate of Incorporation, bylaws, agreement, vote of stockholders or otherwise, and shall continue as to a person who has ceased to be a director, officer, employee or agent of the corporation and shall inure to the benefit of the heirs, executors and administrators of such a person. Any repeal or modification of the provisions of this Article 6 shall not in any way diminish or adversely affect the rights of any director, officer, employee or agent of the corporation hereunder in respect of any occurrence or matter arising prior to any such repeal or modification.</w:t>
      </w:r>
    </w:p>
    <w:p>
      <w:pPr>
        <w:spacing w:after="0" w:line="183"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Determination; Claim</w:t>
      </w:r>
      <w:r>
        <w:rPr>
          <w:rFonts w:ascii="Arial" w:cs="Arial" w:eastAsia="Arial" w:hAnsi="Arial"/>
          <w:sz w:val="19"/>
          <w:szCs w:val="19"/>
          <w:color w:val="auto"/>
        </w:rPr>
        <w:t>. If a claim for indemnification (following the final disposition of a proceeding) or advancement of expenses is not paid in full within 60 days (30 days in the case of a claim for advancement of expenses) after a written claim therefor has been received by the corporation, the Indemnitee may at any time thereafter bring suit against the corporation to recover the unpaid amount of such claim and, if successful in whole or in part, shall be entitled to be paid the expense of prosecuting such suit to the fullest extent permitted by law. In any such action, the corporation shall have the burden of proving that the Indemnitee was not entitled to the requested indemnification or payment of expenses under applicable law.</w:t>
      </w:r>
    </w:p>
    <w:p>
      <w:pPr>
        <w:spacing w:after="0" w:line="149"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Insurance</w:t>
      </w:r>
      <w:r>
        <w:rPr>
          <w:rFonts w:ascii="Arial" w:cs="Arial" w:eastAsia="Arial" w:hAnsi="Arial"/>
          <w:sz w:val="21"/>
          <w:szCs w:val="21"/>
          <w:color w:val="auto"/>
        </w:rPr>
        <w:t>. The corporation may purchase and maintain insurance on its own behalf and on behalf of any person who is or was a director, officer, employee or agent of the corporation, or is or was serving at the request of the corporation as a director, officer, employee or agent of another corporation, partnership, joint venture, trust, employee benefit plan or other enterprise against any expense, liability or loss asserted against such person and incurred by such person in any such capacity, or arising out of such person’s status as such, whether or not the corporation would have the power to indemnify such person against such expense, liability or loss under the provisions of the DGCL.</w:t>
      </w:r>
    </w:p>
    <w:p>
      <w:pPr>
        <w:spacing w:after="0" w:line="179" w:lineRule="exact"/>
        <w:rPr>
          <w:sz w:val="20"/>
          <w:szCs w:val="20"/>
          <w:color w:val="auto"/>
        </w:rPr>
      </w:pPr>
    </w:p>
    <w:p>
      <w:pPr>
        <w:ind w:right="100" w:firstLine="648"/>
        <w:spacing w:after="0" w:line="246"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word, clause, provision or provisions of this Article 6 shall be held to be invalid, illegal or unenforceable for any reason whatsoever: (i) the validity, legality and enforceability of the remaining provisions of this Article 6 (including, without limitation, each portion of any section or paragraph of this Article 6 containing any such provision held to be invalid, illegal or unenforceable, that is not itself held to be invalid, illegal or unenforceable) shall not in any way be affected or impaired thereby; and (ii) to the fullest extent possible, the provisions of this Article 6 (including, without limitation, each such portion of any section or paragraph of this Article 6 containing any such provision held to be invalid, illegal or unenforceable)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266"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color w:val="auto"/>
        </w:rPr>
        <w:t>construed so as to give effect to the intent manifested by the provision held invalid, illegal or unenforceable.</w:t>
      </w:r>
    </w:p>
    <w:p>
      <w:pPr>
        <w:spacing w:after="0" w:line="220" w:lineRule="exact"/>
        <w:rPr>
          <w:sz w:val="20"/>
          <w:szCs w:val="20"/>
          <w:color w:val="auto"/>
        </w:rPr>
      </w:pPr>
    </w:p>
    <w:p>
      <w:pPr>
        <w:ind w:right="380" w:firstLine="648"/>
        <w:spacing w:after="0" w:line="263"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u w:val="single" w:color="auto"/>
          <w:color w:val="auto"/>
        </w:rPr>
        <w:t>Reliance</w:t>
      </w:r>
      <w:r>
        <w:rPr>
          <w:rFonts w:ascii="Arial" w:cs="Arial" w:eastAsia="Arial" w:hAnsi="Arial"/>
          <w:sz w:val="21"/>
          <w:szCs w:val="21"/>
          <w:color w:val="auto"/>
        </w:rPr>
        <w:t>. Persons who after the date of the adoption of this provision become or remain directors or officers of the corporation shall be conclusively presumed to have relied on the rights to indemnity, advance of expenses and other rights contained in this Article 6 in entering into or continuing such service. The rights to indemnification and to the advance of expenses conferred in this Article 6 shall apply to claims made against an Indemnitee arising out of acts or omissions that occurred or occur both prior and subsequent to the adoption hereof.</w:t>
      </w:r>
    </w:p>
    <w:p>
      <w:pPr>
        <w:spacing w:after="0" w:line="175"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 xml:space="preserve">6.8 </w:t>
      </w:r>
      <w:r>
        <w:rPr>
          <w:rFonts w:ascii="Arial" w:cs="Arial" w:eastAsia="Arial" w:hAnsi="Arial"/>
          <w:sz w:val="21"/>
          <w:szCs w:val="21"/>
          <w:u w:val="single" w:color="auto"/>
          <w:color w:val="auto"/>
        </w:rPr>
        <w:t>Indemnification of Other Persons</w:t>
      </w:r>
      <w:r>
        <w:rPr>
          <w:rFonts w:ascii="Arial" w:cs="Arial" w:eastAsia="Arial" w:hAnsi="Arial"/>
          <w:sz w:val="21"/>
          <w:szCs w:val="21"/>
          <w:color w:val="auto"/>
        </w:rPr>
        <w:t>. This Article 6 shall not limit the right of the corporation, to the extent and in the manner permitted by law, to indemnify and to advance expenses to persons other than those persons identified in Section 6.1 when and as authorized by the Board or by the action of a committee of the Board or designated officers of the corporation established by or designated in resolutions approved by the Board ; provided, however, that the payment of expenses incurred by such a person in advance of the final disposition of the proceeding shall be made only upon receipt by the corporation of a written undertaking by such person to repay all amounts so advanced if it shall ultimately be determined that such person is not entitled to be indemnified under this Article 6 or otherwise.</w:t>
      </w:r>
    </w:p>
    <w:p>
      <w:pPr>
        <w:spacing w:after="0" w:line="180" w:lineRule="exact"/>
        <w:rPr>
          <w:sz w:val="20"/>
          <w:szCs w:val="20"/>
          <w:color w:val="auto"/>
        </w:rPr>
      </w:pPr>
    </w:p>
    <w:p>
      <w:pPr>
        <w:ind w:left="4480"/>
        <w:spacing w:after="0" w:line="253" w:lineRule="exact"/>
        <w:rPr>
          <w:sz w:val="20"/>
          <w:szCs w:val="20"/>
          <w:color w:val="auto"/>
        </w:rPr>
      </w:pPr>
      <w:r>
        <w:rPr>
          <w:rFonts w:ascii="Arial" w:cs="Arial" w:eastAsia="Arial" w:hAnsi="Arial"/>
          <w:sz w:val="22"/>
          <w:szCs w:val="22"/>
          <w:color w:val="auto"/>
        </w:rPr>
        <w:t>ARTICLE 7 Capital</w:t>
      </w:r>
      <w:r>
        <w:rPr>
          <w:rFonts w:ascii="MS PGothic" w:cs="MS PGothic" w:eastAsia="MS PGothic" w:hAnsi="MS PGothic"/>
          <w:sz w:val="17"/>
          <w:szCs w:val="17"/>
          <w:color w:val="auto"/>
        </w:rPr>
        <w:t> </w:t>
      </w:r>
      <w:r>
        <w:rPr>
          <w:rFonts w:ascii="Arial" w:cs="Arial" w:eastAsia="Arial" w:hAnsi="Arial"/>
          <w:sz w:val="22"/>
          <w:szCs w:val="22"/>
          <w:color w:val="auto"/>
        </w:rPr>
        <w:t xml:space="preserv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-17780</wp:posOffset>
            </wp:positionV>
            <wp:extent cx="742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200" w:lineRule="exact"/>
        <w:rPr>
          <w:sz w:val="20"/>
          <w:szCs w:val="20"/>
          <w:color w:val="auto"/>
        </w:rPr>
      </w:pPr>
    </w:p>
    <w:p>
      <w:pPr>
        <w:ind w:right="180" w:firstLine="648"/>
        <w:spacing w:after="0" w:line="261"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Certificates for Shares</w:t>
      </w:r>
      <w:r>
        <w:rPr>
          <w:rFonts w:ascii="Arial" w:cs="Arial" w:eastAsia="Arial" w:hAnsi="Arial"/>
          <w:sz w:val="21"/>
          <w:szCs w:val="21"/>
          <w:color w:val="auto"/>
        </w:rPr>
        <w:t>. The shares of the corporation shall be represented by certificates or shall be uncertificated. Certificates for shares, if any, shall be signed by, or in the name of the corporation by, the Chief Executive Officer, the President or a Vice President and by the Chief Financial Officer, the Treasurer or an Assistant Treasurer, or the Secretary or an Assistant Secretary of the corporation. 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Within a reasonable time after the issuance or transfer of uncertificated stock, the corporation shall send or cause to be sent to the registered owner thereof a written notice containing the information required by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92"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Signatures on Certificates</w:t>
      </w:r>
      <w:r>
        <w:rPr>
          <w:rFonts w:ascii="Arial" w:cs="Arial" w:eastAsia="Arial" w:hAnsi="Arial"/>
          <w:sz w:val="22"/>
          <w:szCs w:val="22"/>
          <w:color w:val="auto"/>
        </w:rPr>
        <w:t>.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88"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Transfer of Stock</w:t>
      </w:r>
      <w:r>
        <w:rPr>
          <w:rFonts w:ascii="Arial" w:cs="Arial" w:eastAsia="Arial" w:hAnsi="Arial"/>
          <w:sz w:val="22"/>
          <w:szCs w:val="22"/>
          <w:color w:val="auto"/>
        </w:rPr>
        <w:t>. Shares of stock of the corporation shall be transferable in the manner prescribed by law and in these bylaws. Shares of stock of the corporation shall be transferred on the books of the corporation only by the holder of record thereof or by such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266" w:right="339" w:bottom="1440" w:gutter="0" w:footer="0" w:header="0"/>
        </w:sectPr>
      </w:pPr>
    </w:p>
    <w:bookmarkStart w:id="22" w:name="page23"/>
    <w:bookmarkEnd w:id="22"/>
    <w:p>
      <w:pPr>
        <w:ind w:right="60"/>
        <w:spacing w:after="0" w:line="290" w:lineRule="auto"/>
        <w:rPr>
          <w:sz w:val="20"/>
          <w:szCs w:val="20"/>
          <w:color w:val="auto"/>
        </w:rPr>
      </w:pPr>
      <w:r>
        <w:rPr>
          <w:rFonts w:ascii="Arial" w:cs="Arial" w:eastAsia="Arial" w:hAnsi="Arial"/>
          <w:sz w:val="19"/>
          <w:szCs w:val="19"/>
          <w:color w:val="auto"/>
        </w:rPr>
        <w:t>attorney duly authorized in writing, upon surrender to the corporation or the transfer agent of the corporation of a certificate or certificates representing such shares duly endorsed or accompanied by proper evidence of succession, assignment or authority to transfer, and proper evidence of compliance with other conditions to rightful transfer as the corporation may reasonably require. Upon receipt of proper transfer instructions and proper evidence of compliance of other conditions to rightful transfer as the corporation may reasonably require from the registered owner of uncertificated shares, such uncertificated shares shall be canceled and issuance of new equivalent uncertificated shares or certificated shares shall be made to the person entitled thereto. No transfer of stock shall be valid as against the corporation for any purposes until it shall have been entered in the stock records of the corporation by an entry showing the names of the persons from and to whom it was transferred.</w:t>
      </w:r>
    </w:p>
    <w:p>
      <w:pPr>
        <w:spacing w:after="0" w:line="156"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Registered Stockholders</w:t>
      </w:r>
      <w:r>
        <w:rPr>
          <w:rFonts w:ascii="Arial" w:cs="Arial" w:eastAsia="Arial" w:hAnsi="Arial"/>
          <w:sz w:val="22"/>
          <w:szCs w:val="22"/>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 xml:space="preserve">7.5 </w:t>
      </w:r>
      <w:r>
        <w:rPr>
          <w:rFonts w:ascii="Arial" w:cs="Arial" w:eastAsia="Arial" w:hAnsi="Arial"/>
          <w:sz w:val="21"/>
          <w:szCs w:val="21"/>
          <w:u w:val="single" w:color="auto"/>
          <w:color w:val="auto"/>
        </w:rPr>
        <w:t>Lost, Stolen or Destroyed Certificates</w:t>
      </w:r>
      <w:r>
        <w:rPr>
          <w:rFonts w:ascii="Arial" w:cs="Arial" w:eastAsia="Arial" w:hAnsi="Arial"/>
          <w:sz w:val="21"/>
          <w:szCs w:val="21"/>
          <w:color w:val="auto"/>
        </w:rPr>
        <w:t>. The corporation may direct that a new certificate or certificates be issued to replace any certificate or certificates theretofore issued by the corporation alleged to have been lost, stolen or destroyed, upon the making of an affidavit of that fact by the person claiming the certificate of stock to be lost, stolen or destroyed and on such terms and conditions as the corporation may require. When authorizing the issue of a new certificate or certificates, the corporation may, in its discretion and as a condition precedent to the issuance thereof, require the owner of the lost, stolen or destroyed certificate or certificates, or his or her legal representative, to advertise the same in such manner as it shall require, to indemnify the corporation in such manner as it may require, and/or to give the corporation a bond or other adequate security in such sum as it may direct as indemnity against any claim that may be made against the corporation with respect to the certificate alleged to have been lost, stolen or destroyed.</w:t>
      </w:r>
    </w:p>
    <w:p>
      <w:pPr>
        <w:spacing w:after="0" w:line="179" w:lineRule="exact"/>
        <w:rPr>
          <w:sz w:val="20"/>
          <w:szCs w:val="20"/>
          <w:color w:val="auto"/>
        </w:rPr>
      </w:pPr>
    </w:p>
    <w:p>
      <w:pPr>
        <w:ind w:left="4220"/>
        <w:spacing w:after="0" w:line="253" w:lineRule="exact"/>
        <w:rPr>
          <w:sz w:val="20"/>
          <w:szCs w:val="20"/>
          <w:color w:val="auto"/>
        </w:rPr>
      </w:pPr>
      <w:r>
        <w:rPr>
          <w:rFonts w:ascii="Arial" w:cs="Arial" w:eastAsia="Arial" w:hAnsi="Arial"/>
          <w:sz w:val="22"/>
          <w:szCs w:val="22"/>
          <w:color w:val="auto"/>
        </w:rPr>
        <w:t>ARTICLE 8 General</w:t>
      </w:r>
      <w:r>
        <w:rPr>
          <w:rFonts w:ascii="MS PGothic" w:cs="MS PGothic" w:eastAsia="MS PGothic" w:hAnsi="MS PGothic"/>
          <w:sz w:val="17"/>
          <w:szCs w:val="17"/>
          <w:color w:val="auto"/>
        </w:rPr>
        <w:t> </w:t>
      </w:r>
      <w:r>
        <w:rPr>
          <w:rFonts w:ascii="Arial" w:cs="Arial" w:eastAsia="Arial" w:hAnsi="Arial"/>
          <w:sz w:val="22"/>
          <w:szCs w:val="22"/>
          <w:color w:val="auto"/>
        </w:rPr>
        <w:t xml:space="preserv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-17780</wp:posOffset>
            </wp:positionV>
            <wp:extent cx="10477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200"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Dividends</w:t>
      </w:r>
      <w:r>
        <w:rPr>
          <w:rFonts w:ascii="Arial" w:cs="Arial" w:eastAsia="Arial" w:hAnsi="Arial"/>
          <w:sz w:val="22"/>
          <w:szCs w:val="22"/>
          <w:color w:val="auto"/>
        </w:rPr>
        <w:t>. Dividends upon the capital stock of the corporation, subject to any restrictions contained in the DGCL or the provisions of the Certificate of Incorporation, if any, may be declared by the Board at any regular or special meeting or by unanimous written consent. Dividends may be paid in cash, in property or in shares of capital stock, subject to the provisions of the Certificate of Incorporation.</w:t>
      </w:r>
    </w:p>
    <w:p>
      <w:pPr>
        <w:spacing w:after="0" w:line="188"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Checks</w:t>
      </w:r>
      <w:r>
        <w:rPr>
          <w:rFonts w:ascii="Arial" w:cs="Arial" w:eastAsia="Arial" w:hAnsi="Arial"/>
          <w:sz w:val="22"/>
          <w:szCs w:val="22"/>
          <w:color w:val="auto"/>
        </w:rPr>
        <w:t>. All checks or demands for money and notes of the corporation shall be signed by such officer or officers or such other person or persons as the Board, or such officers of the corporation as may be designated by the Board to make such designation, may from time to time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00"/>
          </w:cols>
          <w:pgMar w:left="320" w:top="1266" w:right="379" w:bottom="1440" w:gutter="0" w:footer="0" w:header="0"/>
        </w:sectPr>
      </w:pPr>
    </w:p>
    <w:bookmarkStart w:id="23" w:name="page24"/>
    <w:bookmarkEnd w:id="23"/>
    <w:p>
      <w:pPr>
        <w:ind w:right="120" w:firstLine="648"/>
        <w:spacing w:after="0" w:line="312"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Corporate Seal</w:t>
      </w:r>
      <w:r>
        <w:rPr>
          <w:rFonts w:ascii="Arial" w:cs="Arial" w:eastAsia="Arial" w:hAnsi="Arial"/>
          <w:sz w:val="19"/>
          <w:szCs w:val="19"/>
          <w:color w:val="auto"/>
        </w:rPr>
        <w:t>. The Board may, by resolution, adopt a corporate seal. The corporate seal shall have inscribed thereon the name of the corporation, the year of its organization and the word “Delaware.” The seal may be used by causing it or a facsimile thereof to be impressed or affixed or otherwise reproduced. The seal may be altered from time to time by the Board.</w:t>
      </w:r>
    </w:p>
    <w:p>
      <w:pPr>
        <w:spacing w:after="0" w:line="133"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Execution of Corporate Contracts and Instruments</w:t>
      </w:r>
      <w:r>
        <w:rPr>
          <w:rFonts w:ascii="Arial" w:cs="Arial" w:eastAsia="Arial" w:hAnsi="Arial"/>
          <w:sz w:val="19"/>
          <w:szCs w:val="19"/>
          <w:color w:val="auto"/>
        </w:rPr>
        <w:t>. 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47"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Representation of Shares of Other Corporations</w:t>
      </w:r>
      <w:r>
        <w:rPr>
          <w:rFonts w:ascii="Arial" w:cs="Arial" w:eastAsia="Arial" w:hAnsi="Arial"/>
          <w:sz w:val="19"/>
          <w:szCs w:val="19"/>
          <w:color w:val="auto"/>
        </w:rPr>
        <w:t>. The Chief Executive Officer, the President or any Vice President, the Chief Financial Officer or the Treasurer or any Assistant Treasurer, or the Secretary or any Assistant Secretary of the corporation is authorized to vote, represent and exercise on behalf of the corporation all rights incident to any and all shares of any corporation or corporations or similar ownership interests of other business entities standing in the name of the corporation. The authority herein granted to said officers to vote or represent on behalf of the corporation any and all shares or similar ownership interests held by the corporation in any other corporation or corporations or other business entities may be exercised either by such officers in person or by any other person authorized so to do by proxy or power of attorney duly executed by said officers.</w:t>
      </w:r>
    </w:p>
    <w:p>
      <w:pPr>
        <w:spacing w:after="0" w:line="151" w:lineRule="exact"/>
        <w:rPr>
          <w:sz w:val="20"/>
          <w:szCs w:val="20"/>
          <w:color w:val="auto"/>
        </w:rPr>
      </w:pPr>
    </w:p>
    <w:p>
      <w:pPr>
        <w:ind w:left="4500"/>
        <w:spacing w:after="0" w:line="253" w:lineRule="exact"/>
        <w:rPr>
          <w:sz w:val="20"/>
          <w:szCs w:val="20"/>
          <w:color w:val="auto"/>
        </w:rPr>
      </w:pPr>
      <w:r>
        <w:rPr>
          <w:rFonts w:ascii="Arial" w:cs="Arial" w:eastAsia="Arial" w:hAnsi="Arial"/>
          <w:sz w:val="22"/>
          <w:szCs w:val="22"/>
          <w:color w:val="auto"/>
        </w:rPr>
        <w:t xml:space="preserve">ARTICLE 9 </w:t>
      </w:r>
      <w:r>
        <w:rPr>
          <w:rFonts w:ascii="Arial" w:cs="Arial" w:eastAsia="Arial" w:hAnsi="Arial"/>
          <w:sz w:val="22"/>
          <w:szCs w:val="22"/>
          <w:u w:val="single" w:color="auto"/>
          <w:color w:val="auto"/>
        </w:rPr>
        <w:t>Amendments</w:t>
      </w:r>
      <w:r>
        <w:rPr>
          <w:rFonts w:ascii="MS PGothic" w:cs="MS PGothic" w:eastAsia="MS PGothic" w:hAnsi="MS PGothic"/>
          <w:sz w:val="17"/>
          <w:szCs w:val="17"/>
          <w:color w:val="auto"/>
        </w:rPr>
        <w:t> </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Board is expressly empowered to adopt, amend or repeal these bylaws; provided, however, that any adoption, amendment or repeal of these bylaws by the Board shall require the approval of at least a majority of the directors of the corporation then in office, including the affirmative vote of at least one director from each class of the Board if the Board shall then be divided into classes. The stockholders shall also have power to adopt, amend or repeal these bylaws; provided, however, that in addition to any vote of the holders of any class or series of stock of the corporation required by law or by the Certificate of Incorporation, the affirmative vote of the holders of at least sixty-six and two-thirds percent of the voting power of all of the then outstanding shares of the capital stock of the corporation entitled to vote generally in the election of directors, voting together as a single class, shall be required for such adoption, amendment or repeal by the stockholders of any provision of these bylaws and notice of such adoption, amendment or repeal shall be contained in the notice of such meeting; and provided further, however, that the affirmative vote of the holders representing only a majority of the voting power of the shares of the capital stock of the corporation entitled to vote in the election of directors, voting as one class, shall be required if such adoption, amendment or repeal of the bylaws has been previously approved by the affirmative vote of at least two-thirds of the directors of the corporation then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266" w:right="339" w:bottom="1440" w:gutter="0" w:footer="0" w:header="0"/>
        </w:sectPr>
      </w:pPr>
    </w:p>
    <w:bookmarkStart w:id="24" w:name="page25"/>
    <w:bookmarkEnd w:id="24"/>
    <w:p>
      <w:pPr>
        <w:ind w:left="4260"/>
        <w:spacing w:after="0" w:line="253" w:lineRule="exact"/>
        <w:rPr>
          <w:sz w:val="20"/>
          <w:szCs w:val="20"/>
          <w:color w:val="auto"/>
        </w:rPr>
      </w:pPr>
      <w:r>
        <w:rPr>
          <w:rFonts w:ascii="Arial" w:cs="Arial" w:eastAsia="Arial" w:hAnsi="Arial"/>
          <w:sz w:val="22"/>
          <w:szCs w:val="22"/>
          <w:color w:val="auto"/>
        </w:rPr>
        <w:t>ARTICLE 10 Exclusive</w:t>
      </w:r>
      <w:r>
        <w:rPr>
          <w:rFonts w:ascii="MS PGothic" w:cs="MS PGothic" w:eastAsia="MS PGothic" w:hAnsi="MS PGothic"/>
          <w:sz w:val="17"/>
          <w:szCs w:val="17"/>
          <w:color w:val="auto"/>
        </w:rPr>
        <w:t> </w:t>
      </w:r>
      <w:r>
        <w:rPr>
          <w:rFonts w:ascii="Arial" w:cs="Arial" w:eastAsia="Arial" w:hAnsi="Arial"/>
          <w:sz w:val="22"/>
          <w:szCs w:val="22"/>
          <w:color w:val="auto"/>
        </w:rPr>
        <w:t xml:space="preserve">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3500120</wp:posOffset>
            </wp:positionH>
            <wp:positionV relativeFrom="paragraph">
              <wp:posOffset>-17780</wp:posOffset>
            </wp:positionV>
            <wp:extent cx="9410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the corporation consents in writing to the selection of an alternative forum, to the fullest extent permitted by law, the federal district courts of the United States shall be the exclusive forum for the resolution of any complaint asserting a cause of action arising under the Securities Act of 1933, as amended.</w:t>
      </w:r>
    </w:p>
    <w:p>
      <w:pPr>
        <w:spacing w:after="0" w:line="185"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Any person or entity purchasing or otherwise acquiring or holding any interest in any security of the corporation shall be deemed to have notice of and consented to the provisions of this Article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20</w:t>
      </w:r>
    </w:p>
    <w:sectPr>
      <w:pgSz w:w="11900" w:h="16838" w:orient="portrait"/>
      <w:cols w:equalWidth="0" w:num="1">
        <w:col w:w="11240"/>
      </w:cols>
      <w:pgMar w:left="320" w:top="1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4"/>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2020-04-14T16:16:59Z</dcterms:created>
  <dcterms:modified xsi:type="dcterms:W3CDTF">2020-04-14T16:16:59Z</dcterms:modified>
</cp:coreProperties>
</file>