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2579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257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4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74,687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83,687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8,835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92,522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19,336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6.45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111,858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121,233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9,844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131,077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55,970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33.3674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75,107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33.7762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74,634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14.34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8.86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8,835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8,835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6.45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19,336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19,336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9.05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9,375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5.98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9,844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-4168140</wp:posOffset>
            </wp:positionV>
            <wp:extent cx="7033895" cy="43072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307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11,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$32.72 to $33.71.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weighted average sales price. Sale prices for the transactions range from $33.77 to $33.81. Detailed information regarding the number of shares sold at each separate price will be provided to the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SEC, the issuer or a shareholder upon request.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2"/>
        <w:spacing w:after="0" w:line="248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2, 2019, and the remaining shares vest at a rate of 1/48th of the total number of shares subject to the award for each month of continuous service thereafter.</w:t>
      </w:r>
    </w:p>
    <w:p>
      <w:pPr>
        <w:ind w:left="65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09/01/2020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-26670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5561330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120" w:firstLine="2"/>
        <w:spacing w:after="0" w:line="334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560"/>
      </w:cols>
      <w:pgMar w:left="500" w:top="131" w:right="8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112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2020-09-01T16:10:16Z</dcterms:created>
  <dcterms:modified xsi:type="dcterms:W3CDTF">2020-09-01T16:10:16Z</dcterms:modified>
</cp:coreProperties>
</file>