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5,748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312,935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1,483, 1,792 and 2,473 shares of common stock to satisfy the reporting person's tax withholding obligations in connection with the vesting of 2,926, 3,534 and 4,878 Restricted Stock Units granted on June 1, 2021, March 3,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2024-12-04T16:01:05Z</dcterms:created>
  <dcterms:modified xsi:type="dcterms:W3CDTF">2024-12-04T16:01:05Z</dcterms:modified>
</cp:coreProperties>
</file>