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5.jpeg" ContentType="image/jpeg"/>
  <Override PartName="/word/media/image21.gif" ContentType="image/gif"/>
  <Override PartName="/word/media/image19.gif" ContentType="image/gif"/>
  <Override PartName="/word/media/image20.gif" ContentType="image/gif"/>
  <Override PartName="/word/media/image54.jpeg" ContentType="image/jpeg"/>
  <Override PartName="/word/media/image18.gif" ContentType="image/gif"/>
  <Override PartName="/word/media/image17.gif" ContentType="image/gif"/>
  <Override PartName="/word/media/image16.gif" ContentType="image/gif"/>
  <Override PartName="/word/media/image14.gif" ContentType="image/gif"/>
  <Override PartName="/word/media/image23.jpeg" ContentType="image/jpeg"/>
  <Override PartName="/word/media/image2.jpeg" ContentType="image/jpeg"/>
  <Override PartName="/word/media/image26.gif" ContentType="image/gif"/>
  <Override PartName="/word/media/image3.gif" ContentType="image/gif"/>
  <Override PartName="/word/media/image33.gif" ContentType="image/gif"/>
  <Override PartName="/word/media/image27.gif" ContentType="image/gif"/>
  <Override PartName="/word/media/image22.jpeg" ContentType="image/jpeg"/>
  <Override PartName="/word/media/image46.gif" ContentType="image/gif"/>
  <Override PartName="/word/media/image1.jpeg" ContentType="image/jpeg"/>
  <Override PartName="/word/media/image4.gif" ContentType="image/gif"/>
  <Override PartName="/word/media/image34.gif" ContentType="image/gif"/>
  <Override PartName="/word/media/image28.gif" ContentType="image/gif"/>
  <Override PartName="/word/media/image5.gif" ContentType="image/gif"/>
  <Override PartName="/word/media/image7.jpeg" ContentType="image/jpeg"/>
  <Override PartName="/word/media/image35.gif" ContentType="image/gif"/>
  <Override PartName="/word/media/image38.jpeg" ContentType="image/jpeg"/>
  <Override PartName="/word/media/image41.gif" ContentType="image/gif"/>
  <Override PartName="/word/media/image39.jpeg" ContentType="image/jpeg"/>
  <Override PartName="/word/media/image45.gif" ContentType="image/gif"/>
  <Override PartName="/word/media/image37.jpeg" ContentType="image/jpeg"/>
  <Override PartName="/word/media/image31.gif" ContentType="image/gif"/>
  <Override PartName="/word/media/image29.gif" ContentType="image/gif"/>
  <Override PartName="/word/media/image42.gif" ContentType="image/gif"/>
  <Override PartName="/word/media/image43.gif" ContentType="image/gif"/>
  <Override PartName="/word/media/image50.gif" ContentType="image/gif"/>
  <Override PartName="/word/media/image13.gif" ContentType="image/gif"/>
  <Override PartName="/word/media/image40.jpeg" ContentType="image/jpeg"/>
  <Override PartName="/word/media/image51.gif" ContentType="image/gif"/>
  <Override PartName="/word/media/image52.jpeg" ContentType="image/jpeg"/>
  <Override PartName="/word/media/image32.gif" ContentType="image/gif"/>
  <Override PartName="/word/media/image44.gif" ContentType="image/gif"/>
  <Override PartName="/word/media/image56.jpeg" ContentType="image/jpeg"/>
  <Override PartName="/word/media/image8.gif" ContentType="image/gif"/>
  <Override PartName="/word/media/image30.gif" ContentType="image/gif"/>
  <Override PartName="/word/media/image55.jpeg" ContentType="image/jpeg"/>
  <Override PartName="/word/media/image49.gif" ContentType="image/gif"/>
  <Override PartName="/word/media/image12.gif" ContentType="image/gif"/>
  <Override PartName="/word/media/image24.jpeg" ContentType="image/jpeg"/>
  <Override PartName="/word/media/image9.gif" ContentType="image/gif"/>
  <Override PartName="/word/media/image15.gif" ContentType="image/gif"/>
  <Override PartName="/word/media/image48.gif" ContentType="image/gif"/>
  <Override PartName="/word/media/image11.gif" ContentType="image/gif"/>
  <Override PartName="/word/media/image6.gif" ContentType="image/gif"/>
  <Override PartName="/word/media/image36.gif" ContentType="image/gif"/>
  <Override PartName="/word/media/image10.gif" ContentType="image/gif"/>
  <Override PartName="/word/media/image47.gif" ContentType="image/gif"/>
  <Override PartName="/word/media/image5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(AMENDMENT NO.  )</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w:t>
      </w:r>
    </w:p>
    <w:tbl>
      <w:tblPr>
        <w:tblW w:w="8598" w:type="dxa"/>
        <w:jc w:val="center"/>
        <w:tblInd w:w="0" w:type="dxa"/>
        <w:tblLayout w:type="fixed"/>
        <w:tblCellMar>
          <w:top w:w="28" w:type="dxa"/>
          <w:left w:w="28" w:type="dxa"/>
          <w:bottom w:w="28" w:type="dxa"/>
          <w:right w:w="28" w:type="dxa"/>
        </w:tblCellMar>
      </w:tblPr>
      <w:tblGrid>
        <w:gridCol w:w="644"/>
        <w:gridCol w:w="565"/>
        <w:gridCol w:w="565"/>
        <w:gridCol w:w="1983"/>
        <w:gridCol w:w="1983"/>
        <w:gridCol w:w="2858"/>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859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1D1D1D"/>
                <w:sz w:val="20"/>
              </w:rPr>
              <w:t xml:space="preserve">Filed by the Registrant </w:t>
            </w:r>
            <w:r>
              <w:rPr>
                <w:rFonts w:ascii="Wingdings;sans-serif" w:hAnsi="Wingdings;sans-serif"/>
                <w:b w:val="false"/>
                <w:color w:val="1D1D1D"/>
                <w:sz w:val="20"/>
              </w:rPr>
              <w:t>x</w:t>
            </w:r>
          </w:p>
        </w:tc>
      </w:tr>
      <w:tr>
        <w:trPr/>
        <w:tc>
          <w:tcPr>
            <w:tcW w:w="859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1D1D1D"/>
                <w:sz w:val="20"/>
              </w:rPr>
              <w:t xml:space="preserve">Filed by a Party other than the Registrant </w:t>
            </w:r>
            <w:r>
              <w:rPr>
                <w:rFonts w:ascii="Wingdings;sans-serif" w:hAnsi="Wingdings;sans-serif"/>
                <w:b w:val="false"/>
                <w:color w:val="1D1D1D"/>
                <w:sz w:val="20"/>
              </w:rPr>
              <w:t>o</w:t>
            </w:r>
          </w:p>
        </w:tc>
      </w:tr>
      <w:tr>
        <w:trPr/>
        <w:tc>
          <w:tcPr>
            <w:tcW w:w="85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1D1D1D"/>
                <w:sz w:val="20"/>
              </w:rPr>
            </w:pPr>
            <w:r>
              <w:rPr>
                <w:rFonts w:ascii="Times New Roman;sans-serif" w:hAnsi="Times New Roman;sans-serif"/>
                <w:b w:val="false"/>
                <w:color w:val="1D1D1D"/>
                <w:sz w:val="20"/>
              </w:rPr>
              <w:t>Check the appropriate box:</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1D1D1D"/>
                <w:sz w:val="20"/>
              </w:rPr>
            </w:pPr>
            <w:r>
              <w:rPr>
                <w:rFonts w:ascii="Wingdings;sans-serif" w:hAnsi="Wingdings;sans-serif"/>
                <w:b w:val="false"/>
                <w:color w:val="1D1D1D"/>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1D1D1D"/>
                <w:sz w:val="20"/>
              </w:rPr>
            </w:pPr>
            <w:r>
              <w:rPr>
                <w:rFonts w:ascii="Times New Roman;sans-serif" w:hAnsi="Times New Roman;sans-serif"/>
                <w:b w:val="false"/>
                <w:color w:val="1D1D1D"/>
                <w:sz w:val="20"/>
              </w:rPr>
              <w:t>Preliminary Proxy Statement</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1D1D1D"/>
                <w:sz w:val="20"/>
              </w:rPr>
            </w:pPr>
            <w:r>
              <w:rPr>
                <w:rFonts w:ascii="Wingdings;sans-serif" w:hAnsi="Wingdings;sans-serif"/>
                <w:b w:val="false"/>
                <w:color w:val="1D1D1D"/>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1D1D1D"/>
                <w:sz w:val="20"/>
              </w:rPr>
            </w:pPr>
            <w:r>
              <w:rPr>
                <w:rFonts w:ascii="Times New Roman;sans-serif" w:hAnsi="Times New Roman;sans-serif"/>
                <w:b/>
                <w:color w:val="1D1D1D"/>
                <w:sz w:val="20"/>
              </w:rPr>
              <w:t>Confidential, for Use of the Commission Only (as permitted by Rule 14a-6(e)(2))</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1D1D1D"/>
                <w:sz w:val="20"/>
              </w:rPr>
            </w:pPr>
            <w:r>
              <w:rPr>
                <w:rFonts w:ascii="Wingdings;sans-serif" w:hAnsi="Wingdings;sans-serif"/>
                <w:b w:val="false"/>
                <w:color w:val="1D1D1D"/>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1D1D1D"/>
                <w:sz w:val="20"/>
              </w:rPr>
            </w:pPr>
            <w:r>
              <w:rPr>
                <w:rFonts w:ascii="Times New Roman;sans-serif" w:hAnsi="Times New Roman;sans-serif"/>
                <w:b w:val="false"/>
                <w:color w:val="1D1D1D"/>
                <w:sz w:val="20"/>
              </w:rPr>
              <w:t>Definitive Proxy Statement</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1D1D1D"/>
                <w:sz w:val="20"/>
              </w:rPr>
            </w:pPr>
            <w:r>
              <w:rPr>
                <w:rFonts w:ascii="Wingdings;sans-serif" w:hAnsi="Wingdings;sans-serif"/>
                <w:b w:val="false"/>
                <w:color w:val="1D1D1D"/>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1D1D1D"/>
                <w:sz w:val="20"/>
              </w:rPr>
            </w:pPr>
            <w:r>
              <w:rPr>
                <w:rFonts w:ascii="Times New Roman;sans-serif" w:hAnsi="Times New Roman;sans-serif"/>
                <w:b w:val="false"/>
                <w:color w:val="1D1D1D"/>
                <w:sz w:val="20"/>
              </w:rPr>
              <w:t>Definitive Additional Materials</w:t>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1D1D1D"/>
                <w:sz w:val="20"/>
              </w:rPr>
            </w:pPr>
            <w:r>
              <w:rPr>
                <w:rFonts w:ascii="Wingdings;sans-serif" w:hAnsi="Wingdings;sans-serif"/>
                <w:b w:val="false"/>
                <w:color w:val="1D1D1D"/>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1D1D1D"/>
                <w:sz w:val="20"/>
              </w:rPr>
            </w:pPr>
            <w:r>
              <w:rPr>
                <w:rFonts w:ascii="Times New Roman;sans-serif" w:hAnsi="Times New Roman;sans-serif"/>
                <w:b w:val="false"/>
                <w:color w:val="1D1D1D"/>
                <w:sz w:val="20"/>
              </w:rPr>
              <w:t>Soliciting Material under §240.14a-12</w:t>
            </w:r>
          </w:p>
        </w:tc>
      </w:tr>
    </w:tbl>
    <w:tbl>
      <w:tblPr>
        <w:tblW w:w="10205" w:type="dxa"/>
        <w:jc w:val="center"/>
        <w:tblInd w:w="0" w:type="dxa"/>
        <w:tblLayout w:type="fixed"/>
        <w:tblCellMar>
          <w:top w:w="28" w:type="dxa"/>
          <w:left w:w="28" w:type="dxa"/>
          <w:bottom w:w="28" w:type="dxa"/>
          <w:right w:w="28" w:type="dxa"/>
        </w:tblCellMar>
      </w:tblPr>
      <w:tblGrid>
        <w:gridCol w:w="698"/>
        <w:gridCol w:w="612"/>
        <w:gridCol w:w="612"/>
        <w:gridCol w:w="1285"/>
        <w:gridCol w:w="1285"/>
        <w:gridCol w:w="1285"/>
        <w:gridCol w:w="1285"/>
        <w:gridCol w:w="1285"/>
        <w:gridCol w:w="1858"/>
      </w:tblGrid>
      <w:tr>
        <w:trPr/>
        <w:tc>
          <w:tcPr>
            <w:tcW w:w="69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1D1D1D"/>
                <w:sz w:val="36"/>
              </w:rPr>
            </w:pPr>
            <w:r>
              <w:rPr>
                <w:rFonts w:ascii="Times New Roman;sans-serif" w:hAnsi="Times New Roman;sans-serif"/>
                <w:b/>
                <w:color w:val="1D1D1D"/>
                <w:sz w:val="36"/>
              </w:rPr>
              <w:t>VERACYTE, INC.</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1D1D1D"/>
                <w:sz w:val="20"/>
              </w:rPr>
            </w:pPr>
            <w:r>
              <w:rPr>
                <w:rFonts w:ascii="Times New Roman;sans-serif" w:hAnsi="Times New Roman;sans-serif"/>
                <w:b w:val="false"/>
                <w:color w:val="1D1D1D"/>
                <w:sz w:val="20"/>
              </w:rPr>
              <w:t>(Name of Registrant as Specified in its Charter)</w:t>
              <w:br/>
              <w:t>_____________________________</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1D1D1D"/>
                <w:sz w:val="20"/>
              </w:rPr>
            </w:pPr>
            <w:r>
              <w:rPr>
                <w:rFonts w:ascii="Times New Roman;sans-serif" w:hAnsi="Times New Roman;sans-serif"/>
                <w:b w:val="false"/>
                <w:color w:val="1D1D1D"/>
                <w:sz w:val="20"/>
              </w:rPr>
              <w:t>(Name of Person(s) Filing Proxy Statement, if other than the Registrant)</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1D1D1D"/>
                <w:sz w:val="20"/>
              </w:rPr>
            </w:pPr>
            <w:r>
              <w:rPr>
                <w:rFonts w:ascii="Times New Roman;sans-serif" w:hAnsi="Times New Roman;sans-serif"/>
                <w:b w:val="false"/>
                <w:color w:val="1D1D1D"/>
                <w:sz w:val="20"/>
              </w:rPr>
              <w:t>Payment of Filing Fee (Check all boxes that apply):</w:t>
            </w:r>
          </w:p>
        </w:tc>
      </w:tr>
      <w:tr>
        <w:trPr/>
        <w:tc>
          <w:tcPr>
            <w:tcW w:w="1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1D1D1D"/>
                <w:sz w:val="20"/>
              </w:rPr>
            </w:pPr>
            <w:r>
              <w:rPr>
                <w:rFonts w:ascii="Wingdings;sans-serif" w:hAnsi="Wingdings;sans-serif"/>
                <w:b w:val="false"/>
                <w:color w:val="1D1D1D"/>
                <w:sz w:val="20"/>
              </w:rPr>
              <w:t>x</w:t>
            </w:r>
          </w:p>
        </w:tc>
        <w:tc>
          <w:tcPr>
            <w:tcW w:w="82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1D1D1D"/>
                <w:sz w:val="20"/>
              </w:rPr>
            </w:pPr>
            <w:r>
              <w:rPr>
                <w:rFonts w:ascii="Times New Roman;sans-serif" w:hAnsi="Times New Roman;sans-serif"/>
                <w:b w:val="false"/>
                <w:color w:val="1D1D1D"/>
                <w:sz w:val="20"/>
              </w:rPr>
              <w:t>No fee required.</w:t>
            </w:r>
          </w:p>
        </w:tc>
      </w:tr>
      <w:tr>
        <w:trPr/>
        <w:tc>
          <w:tcPr>
            <w:tcW w:w="1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1D1D1D"/>
                <w:sz w:val="20"/>
              </w:rPr>
            </w:pPr>
            <w:r>
              <w:rPr>
                <w:rFonts w:ascii="Wingdings;sans-serif" w:hAnsi="Wingdings;sans-serif"/>
                <w:b w:val="false"/>
                <w:color w:val="1D1D1D"/>
                <w:sz w:val="20"/>
              </w:rPr>
              <w:t>o</w:t>
            </w:r>
          </w:p>
        </w:tc>
        <w:tc>
          <w:tcPr>
            <w:tcW w:w="82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1D1D1D"/>
                <w:sz w:val="20"/>
              </w:rPr>
            </w:pPr>
            <w:r>
              <w:rPr>
                <w:rFonts w:ascii="Times New Roman;sans-serif" w:hAnsi="Times New Roman;sans-serif"/>
                <w:b w:val="false"/>
                <w:color w:val="1D1D1D"/>
                <w:sz w:val="20"/>
              </w:rPr>
              <w:t>Fee paid previously with preliminary materials.</w:t>
            </w:r>
          </w:p>
        </w:tc>
      </w:tr>
      <w:tr>
        <w:trPr/>
        <w:tc>
          <w:tcPr>
            <w:tcW w:w="1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1D1D1D"/>
                <w:sz w:val="20"/>
              </w:rPr>
            </w:pPr>
            <w:r>
              <w:rPr>
                <w:rFonts w:ascii="Wingdings;sans-serif" w:hAnsi="Wingdings;sans-serif"/>
                <w:b w:val="false"/>
                <w:color w:val="1D1D1D"/>
                <w:sz w:val="20"/>
              </w:rPr>
              <w:t>o</w:t>
            </w:r>
          </w:p>
        </w:tc>
        <w:tc>
          <w:tcPr>
            <w:tcW w:w="82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1D1D1D"/>
                <w:sz w:val="20"/>
              </w:rPr>
            </w:pPr>
            <w:r>
              <w:rPr>
                <w:rFonts w:ascii="Times New Roman;sans-serif" w:hAnsi="Times New Roman;sans-serif"/>
                <w:b w:val="false"/>
                <w:color w:val="1D1D1D"/>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513" w:type="dxa"/>
        <w:jc w:val="left"/>
        <w:tblInd w:w="0" w:type="dxa"/>
        <w:tblLayout w:type="fixed"/>
        <w:tblCellMar>
          <w:top w:w="28" w:type="dxa"/>
          <w:left w:w="28" w:type="dxa"/>
          <w:bottom w:w="28" w:type="dxa"/>
          <w:right w:w="28" w:type="dxa"/>
        </w:tblCellMar>
      </w:tblPr>
      <w:tblGrid>
        <w:gridCol w:w="868"/>
        <w:gridCol w:w="763"/>
        <w:gridCol w:w="765"/>
        <w:gridCol w:w="109"/>
        <w:gridCol w:w="109"/>
        <w:gridCol w:w="109"/>
        <w:gridCol w:w="816"/>
        <w:gridCol w:w="816"/>
        <w:gridCol w:w="1158"/>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3048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457325" cy="3048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raphik;sans-serif" w:hAnsi="Graphik;sans-serif"/>
                <w:b w:val="false"/>
                <w:color w:val="1D1D1D"/>
                <w:sz w:val="16"/>
              </w:rPr>
            </w:pPr>
            <w:r>
              <w:rPr>
                <w:rFonts w:ascii="Graphik;sans-serif" w:hAnsi="Graphik;sans-serif"/>
                <w:b w:val="false"/>
                <w:color w:val="1D1D1D"/>
                <w:sz w:val="16"/>
              </w:rPr>
              <w:t>6000 Shoreline Court, Suite 300</w:t>
              <w:br/>
              <w:t>South San Francisco, CA 94080</w:t>
              <w:br/>
              <w:t>(650) 243-6300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Dear Stockholder:</w:t>
      </w:r>
    </w:p>
    <w:p>
      <w:pPr>
        <w:pStyle w:val="TextBody"/>
        <w:bidi w:val="0"/>
        <w:spacing w:lineRule="auto" w:line="336" w:before="0" w:after="180"/>
        <w:jc w:val="left"/>
        <w:rPr/>
      </w:pPr>
      <w:r>
        <w:rPr>
          <w:rFonts w:ascii="Graphik Light;sans-serif" w:hAnsi="Graphik Light;sans-serif"/>
          <w:b w:val="false"/>
          <w:color w:val="1D1D1D"/>
          <w:sz w:val="18"/>
        </w:rPr>
        <w:t xml:space="preserve">You are cordially invited to attend the Annual Meeting of Stockholders of Veracyte, Inc. that will be held virtually on Tuesday, June 17, 2025, at 10:00 a.m., Pacific Daylight Time. The virtual Annual Meeting can be accessed by visiting </w:t>
      </w:r>
      <w:r>
        <w:rPr>
          <w:rFonts w:ascii="Graphik;sans-serif" w:hAnsi="Graphik;sans-serif"/>
          <w:b w:val="false"/>
          <w:color w:val="4C0980"/>
          <w:sz w:val="18"/>
        </w:rPr>
        <w:t>www.virtualshareholdermeeting.com/VCYT2025</w:t>
      </w:r>
      <w:r>
        <w:rPr>
          <w:rFonts w:ascii="Graphik Light;sans-serif" w:hAnsi="Graphik Light;sans-serif"/>
          <w:b w:val="false"/>
          <w:color w:val="1D1D1D"/>
          <w:sz w:val="18"/>
        </w:rPr>
        <w:t>, where you will be able to listen to the meeting live, submit questions and vote online. We believe that a virtual stockholder meeting provides greater access to those who may want to attend, and therefore we have chosen this over an in-person meeting. This approach also lowers costs, enables greater participation and is better for the environment.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matters to be acted upon are described in the accompanying Notice of Annual Meeting and Proxy Statement.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After reading the Proxy Statement, please vote promptly to ensure that your shares will be represented. Whether or not you plan to attend the meeting, please vote by telephone or the internet, or sign and return a proxy card to ensure your representation at the meeting. Your vote is important.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look forward to seeing you at the Annual Meeting.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Sincerely yours,</w:t>
      </w:r>
    </w:p>
    <w:p>
      <w:pPr>
        <w:pStyle w:val="TextBody"/>
        <w:bidi w:val="0"/>
        <w:spacing w:lineRule="auto" w:line="336" w:before="0" w:after="180"/>
        <w:jc w:val="left"/>
        <w:rPr>
          <w:rFonts w:ascii="Graphik Light;sans-serif" w:hAnsi="Graphik Light;sans-serif"/>
          <w:b w:val="false"/>
          <w:i/>
          <w:color w:val="1D1D1D"/>
          <w:sz w:val="18"/>
        </w:rPr>
      </w:pPr>
      <w:r>
        <w:rPr>
          <w:rFonts w:ascii="Graphik Light;sans-serif" w:hAnsi="Graphik Light;sans-serif"/>
          <w:b w:val="false"/>
          <w:i/>
          <w:color w:val="1D1D1D"/>
          <w:sz w:val="18"/>
        </w:rPr>
        <w:t>/s/ Marc Stapley</w:t>
      </w:r>
    </w:p>
    <w:p>
      <w:pPr>
        <w:pStyle w:val="TextBody"/>
        <w:bidi w:val="0"/>
        <w:spacing w:lineRule="auto" w:line="336" w:before="0" w:after="0"/>
        <w:jc w:val="left"/>
        <w:rPr>
          <w:rFonts w:ascii="Graphik Medium;sans-serif" w:hAnsi="Graphik Medium;sans-serif"/>
          <w:b w:val="false"/>
          <w:color w:val="1D1D1D"/>
          <w:sz w:val="22"/>
        </w:rPr>
      </w:pPr>
      <w:r>
        <w:rPr>
          <w:rFonts w:ascii="Graphik Medium;sans-serif" w:hAnsi="Graphik Medium;sans-serif"/>
          <w:b w:val="false"/>
          <w:color w:val="1D1D1D"/>
          <w:sz w:val="22"/>
        </w:rPr>
        <w:t>Marc Stapley</w:t>
      </w:r>
    </w:p>
    <w:p>
      <w:pPr>
        <w:pStyle w:val="TextBody"/>
        <w:bidi w:val="0"/>
        <w:spacing w:lineRule="auto" w:line="336" w:before="0" w:after="0"/>
        <w:jc w:val="left"/>
        <w:rPr>
          <w:rFonts w:ascii="Graphik Medium;sans-serif" w:hAnsi="Graphik Medium;sans-serif"/>
          <w:b/>
          <w:i/>
          <w:color w:val="1D1D1D"/>
          <w:sz w:val="18"/>
        </w:rPr>
      </w:pPr>
      <w:r>
        <w:rPr>
          <w:rFonts w:ascii="Graphik Medium;sans-serif" w:hAnsi="Graphik Medium;sans-serif"/>
          <w:b/>
          <w:i/>
          <w:color w:val="1D1D1D"/>
          <w:sz w:val="18"/>
        </w:rPr>
        <w:t>Chief Executive Officer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April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513" w:type="dxa"/>
        <w:jc w:val="left"/>
        <w:tblInd w:w="0" w:type="dxa"/>
        <w:tblLayout w:type="fixed"/>
        <w:tblCellMar>
          <w:top w:w="28" w:type="dxa"/>
          <w:left w:w="28" w:type="dxa"/>
          <w:bottom w:w="28" w:type="dxa"/>
          <w:right w:w="28" w:type="dxa"/>
        </w:tblCellMar>
      </w:tblPr>
      <w:tblGrid>
        <w:gridCol w:w="868"/>
        <w:gridCol w:w="763"/>
        <w:gridCol w:w="765"/>
        <w:gridCol w:w="109"/>
        <w:gridCol w:w="109"/>
        <w:gridCol w:w="109"/>
        <w:gridCol w:w="816"/>
        <w:gridCol w:w="816"/>
        <w:gridCol w:w="1158"/>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57325" cy="3048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457325" cy="3048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raphik;sans-serif" w:hAnsi="Graphik;sans-serif"/>
                <w:b w:val="false"/>
                <w:color w:val="1D1D1D"/>
                <w:sz w:val="16"/>
              </w:rPr>
            </w:pPr>
            <w:r>
              <w:rPr>
                <w:rFonts w:ascii="Graphik;sans-serif" w:hAnsi="Graphik;sans-serif"/>
                <w:b w:val="false"/>
                <w:color w:val="1D1D1D"/>
                <w:sz w:val="16"/>
              </w:rPr>
              <w:t>6000 Shoreline Court, Suite 300</w:t>
              <w:br/>
              <w:t>South San Francisco, CA 94080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Notice of Annual Meeting of Stockholders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to be held Tuesday, June 17, 2025</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To the Stockholders of Veracyte, Inc.:</w:t>
      </w:r>
    </w:p>
    <w:p>
      <w:pPr>
        <w:pStyle w:val="TextBody"/>
        <w:bidi w:val="0"/>
        <w:spacing w:lineRule="auto" w:line="336" w:before="0" w:after="60"/>
        <w:jc w:val="left"/>
        <w:rPr/>
      </w:pPr>
      <w:r>
        <w:rPr>
          <w:rFonts w:ascii="Graphik Light;sans-serif" w:hAnsi="Graphik Light;sans-serif"/>
          <w:b w:val="false"/>
          <w:color w:val="1D1D1D"/>
          <w:sz w:val="18"/>
        </w:rPr>
        <w:t xml:space="preserve">The Annual Meeting of Stockholders (the "Annual Meeting") of Veracyte, Inc., a Delaware corporation (“Veracyte,” the "company," “we,” “us” or “our”), will be held virtually via the internet at </w:t>
      </w:r>
      <w:r>
        <w:rPr>
          <w:rFonts w:ascii="Graphik;sans-serif" w:hAnsi="Graphik;sans-serif"/>
          <w:b w:val="false"/>
          <w:color w:val="4C0980"/>
          <w:sz w:val="18"/>
        </w:rPr>
        <w:t>www.virtualshareholder meeting.com/VCYT2025</w:t>
      </w:r>
      <w:r>
        <w:rPr>
          <w:color w:val="1D1D1D"/>
        </w:rPr>
        <w:t xml:space="preserve"> </w:t>
      </w:r>
      <w:r>
        <w:rPr>
          <w:rFonts w:ascii="Graphik Light;sans-serif" w:hAnsi="Graphik Light;sans-serif"/>
          <w:b w:val="false"/>
          <w:color w:val="1D1D1D"/>
          <w:sz w:val="18"/>
        </w:rPr>
        <w:t>on Tuesday, June 17, 2025, at 10:00 a.m., Pacific Daylight Time, for the following purposes: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5"/>
        <w:gridCol w:w="2875"/>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elect seven directors to serve until the 2026 Annual Meeting of Stockholders or until their successors are duly elected and qualified;</w:t>
            </w:r>
          </w:p>
        </w:tc>
      </w:tr>
      <w:tr>
        <w:trPr/>
        <w:tc>
          <w:tcPr>
            <w:tcW w:w="3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2</w:t>
            </w:r>
          </w:p>
        </w:tc>
        <w:tc>
          <w:tcPr>
            <w:tcW w:w="986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ratify the appointment of Ernst &amp; Young LLP as our independent registered public accounting firm for the year ending December 31, 2025;</w:t>
            </w:r>
          </w:p>
        </w:tc>
      </w:tr>
      <w:tr>
        <w:trPr/>
        <w:tc>
          <w:tcPr>
            <w:tcW w:w="3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3</w:t>
            </w:r>
          </w:p>
        </w:tc>
        <w:tc>
          <w:tcPr>
            <w:tcW w:w="986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approve, on a non-binding advisory basis, the compensation paid by us to our named executive officers as disclosed in this Proxy Statement;</w:t>
            </w:r>
          </w:p>
        </w:tc>
      </w:tr>
      <w:tr>
        <w:trPr/>
        <w:tc>
          <w:tcPr>
            <w:tcW w:w="3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4</w:t>
            </w:r>
          </w:p>
        </w:tc>
        <w:tc>
          <w:tcPr>
            <w:tcW w:w="986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determine, on a non-binding advisory basis, the frequency of advisory votes on the compensation of our named executive officers;</w:t>
            </w:r>
          </w:p>
        </w:tc>
      </w:tr>
      <w:tr>
        <w:trPr/>
        <w:tc>
          <w:tcPr>
            <w:tcW w:w="3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5</w:t>
            </w:r>
          </w:p>
        </w:tc>
        <w:tc>
          <w:tcPr>
            <w:tcW w:w="986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approve an amendment to our Veracyte, Inc. 2023 Equity Incentive Plan; and</w:t>
            </w:r>
          </w:p>
        </w:tc>
      </w:tr>
      <w:tr>
        <w:trPr/>
        <w:tc>
          <w:tcPr>
            <w:tcW w:w="342"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336" w:before="0" w:after="283"/>
              <w:jc w:val="center"/>
              <w:rPr>
                <w:rFonts w:ascii="Graphik;sans-serif" w:hAnsi="Graphik;sans-serif"/>
                <w:b/>
                <w:color w:val="4C0980"/>
                <w:sz w:val="24"/>
              </w:rPr>
            </w:pPr>
            <w:r>
              <w:rPr>
                <w:rFonts w:ascii="Graphik;sans-serif" w:hAnsi="Graphik;sans-serif"/>
                <w:b/>
                <w:color w:val="4C0980"/>
                <w:sz w:val="24"/>
              </w:rPr>
              <w:t>6</w:t>
            </w:r>
          </w:p>
        </w:tc>
        <w:tc>
          <w:tcPr>
            <w:tcW w:w="9863"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 transact such other business as may properly come before the Annual Meeting and any postponement or adjournment of the Annual Meeting.</w:t>
            </w:r>
          </w:p>
        </w:tc>
      </w:tr>
    </w:tbl>
    <w:p>
      <w:pPr>
        <w:pStyle w:val="TextBody"/>
        <w:bidi w:val="0"/>
        <w:spacing w:lineRule="auto" w:line="336" w:before="0" w:after="140"/>
        <w:jc w:val="left"/>
        <w:rPr>
          <w:rFonts w:ascii="Graphik Light;sans-serif" w:hAnsi="Graphik Light;sans-serif"/>
          <w:b w:val="false"/>
          <w:color w:val="1D1D1D"/>
          <w:sz w:val="18"/>
        </w:rPr>
      </w:pPr>
      <w:r>
        <w:rPr>
          <w:rFonts w:ascii="Graphik Light;sans-serif" w:hAnsi="Graphik Light;sans-serif"/>
          <w:b w:val="false"/>
          <w:color w:val="1D1D1D"/>
          <w:sz w:val="18"/>
        </w:rPr>
        <w:t>Only stockholders of record as of the close of business on April 21, 2025 are entitled to notice of and to vote at the Annual Meeting and any postponement or adjournment thereof.</w:t>
      </w:r>
    </w:p>
    <w:p>
      <w:pPr>
        <w:pStyle w:val="TextBody"/>
        <w:bidi w:val="0"/>
        <w:spacing w:lineRule="auto" w:line="336" w:before="0" w:after="160"/>
        <w:jc w:val="left"/>
        <w:rPr/>
      </w:pPr>
      <w:r>
        <w:rPr>
          <w:rFonts w:ascii="Graphik Light;sans-serif" w:hAnsi="Graphik Light;sans-serif"/>
          <w:b w:val="false"/>
          <w:color w:val="1D1D1D"/>
          <w:sz w:val="18"/>
        </w:rPr>
        <w:t xml:space="preserve">It is important that your shares be represented at this meeting. Even if you plan to attend the meeting, we hope that you will vote as soon as possible. Voting now will ensure your representation at the Annual Meeting regardless of whether you attend. You may vote on the internet, by telephone or by mailing the enclosed proxy card or voting instruction form. You may also attend the Annual Meeting and vote and submit questions during the Annual Meeting via the internet at </w:t>
      </w:r>
      <w:r>
        <w:rPr>
          <w:rFonts w:ascii="Graphik;sans-serif" w:hAnsi="Graphik;sans-serif"/>
          <w:b w:val="false"/>
          <w:color w:val="4C0980"/>
          <w:sz w:val="18"/>
        </w:rPr>
        <w:t>www.virtualshareholdermeeting.com/VCYT2025</w:t>
      </w:r>
      <w:r>
        <w:rPr>
          <w:rFonts w:ascii="Graphik Light;sans-serif" w:hAnsi="Graphik Light;sans-serif"/>
          <w:b w:val="false"/>
          <w:color w:val="1D1D1D"/>
          <w:sz w:val="18"/>
        </w:rPr>
        <w:t>. Please review the instructions on page </w:t>
      </w:r>
      <w:hyperlink w:anchor="id3e940d9db0e4856a3e4300635f3a5e8_16885">
        <w:r>
          <w:rPr>
            <w:rStyle w:val="InternetLink"/>
            <w:rFonts w:ascii="Graphik Light;sans-serif" w:hAnsi="Graphik Light;sans-serif"/>
            <w:b w:val="false"/>
            <w:strike w:val="false"/>
            <w:dstrike w:val="false"/>
            <w:color w:val="1D1D1D"/>
            <w:sz w:val="18"/>
            <w:u w:val="none"/>
            <w:effect w:val="none"/>
          </w:rPr>
          <w:t>79</w:t>
        </w:r>
      </w:hyperlink>
      <w:r>
        <w:rPr>
          <w:rFonts w:ascii="Graphik Light;sans-serif" w:hAnsi="Graphik Light;sans-serif"/>
          <w:b w:val="false"/>
          <w:color w:val="1D1D1D"/>
          <w:sz w:val="18"/>
        </w:rPr>
        <w:t xml:space="preserve"> of the Proxy Statement and your proxy card or voting instruction form regarding each of these voting options.</w:t>
      </w:r>
    </w:p>
    <w:p>
      <w:pPr>
        <w:pStyle w:val="TextBody"/>
        <w:bidi w:val="0"/>
        <w:spacing w:lineRule="auto" w:line="336" w:before="0" w:after="140"/>
        <w:jc w:val="left"/>
        <w:rPr>
          <w:rFonts w:ascii="Graphik Light;sans-serif" w:hAnsi="Graphik Light;sans-serif"/>
          <w:b w:val="false"/>
          <w:color w:val="1D1D1D"/>
          <w:sz w:val="18"/>
        </w:rPr>
      </w:pPr>
      <w:r>
        <w:rPr>
          <w:rFonts w:ascii="Graphik Light;sans-serif" w:hAnsi="Graphik Light;sans-serif"/>
          <w:b w:val="false"/>
          <w:color w:val="1D1D1D"/>
          <w:sz w:val="18"/>
        </w:rPr>
        <w:t>By Order of the Board of Directors</w:t>
      </w:r>
    </w:p>
    <w:p>
      <w:pPr>
        <w:pStyle w:val="TextBody"/>
        <w:bidi w:val="0"/>
        <w:spacing w:lineRule="auto" w:line="336" w:before="0" w:after="140"/>
        <w:jc w:val="left"/>
        <w:rPr>
          <w:rFonts w:ascii="Graphik Light;sans-serif" w:hAnsi="Graphik Light;sans-serif"/>
          <w:b w:val="false"/>
          <w:i/>
          <w:color w:val="1D1D1D"/>
          <w:sz w:val="18"/>
        </w:rPr>
      </w:pPr>
      <w:r>
        <w:rPr>
          <w:rFonts w:ascii="Graphik Light;sans-serif" w:hAnsi="Graphik Light;sans-serif"/>
          <w:b w:val="false"/>
          <w:i/>
          <w:color w:val="1D1D1D"/>
          <w:sz w:val="18"/>
        </w:rPr>
        <w:t>/s/ Marc Stapley</w:t>
      </w:r>
    </w:p>
    <w:p>
      <w:pPr>
        <w:pStyle w:val="TextBody"/>
        <w:bidi w:val="0"/>
        <w:spacing w:lineRule="auto" w:line="336" w:before="0" w:after="0"/>
        <w:jc w:val="left"/>
        <w:rPr>
          <w:rFonts w:ascii="Graphik Medium;sans-serif" w:hAnsi="Graphik Medium;sans-serif"/>
          <w:b w:val="false"/>
          <w:color w:val="1D1D1D"/>
          <w:sz w:val="22"/>
        </w:rPr>
      </w:pPr>
      <w:r>
        <w:rPr>
          <w:rFonts w:ascii="Graphik Medium;sans-serif" w:hAnsi="Graphik Medium;sans-serif"/>
          <w:b w:val="false"/>
          <w:color w:val="1D1D1D"/>
          <w:sz w:val="22"/>
        </w:rPr>
        <w:t>Marc Stapley</w:t>
      </w:r>
    </w:p>
    <w:p>
      <w:pPr>
        <w:pStyle w:val="TextBody"/>
        <w:bidi w:val="0"/>
        <w:spacing w:lineRule="auto" w:line="336" w:before="0" w:after="0"/>
        <w:jc w:val="left"/>
        <w:rPr>
          <w:rFonts w:ascii="Graphik Medium;sans-serif" w:hAnsi="Graphik Medium;sans-serif"/>
          <w:b/>
          <w:i/>
          <w:color w:val="1D1D1D"/>
          <w:sz w:val="18"/>
        </w:rPr>
      </w:pPr>
      <w:r>
        <w:rPr>
          <w:rFonts w:ascii="Graphik Medium;sans-serif" w:hAnsi="Graphik Medium;sans-serif"/>
          <w:b/>
          <w:i/>
          <w:color w:val="1D1D1D"/>
          <w:sz w:val="18"/>
        </w:rPr>
        <w:t>Chief Executive Officer</w:t>
      </w:r>
    </w:p>
    <w:p>
      <w:pPr>
        <w:pStyle w:val="TextBody"/>
        <w:bidi w:val="0"/>
        <w:spacing w:lineRule="auto" w:line="336" w:before="0" w:after="0"/>
        <w:jc w:val="left"/>
        <w:rPr>
          <w:rFonts w:ascii="Graphik Light;sans-serif" w:hAnsi="Graphik Light;sans-serif"/>
          <w:b w:val="false"/>
          <w:color w:val="1D1D1D"/>
          <w:sz w:val="16"/>
        </w:rPr>
      </w:pPr>
      <w:r>
        <w:rPr>
          <w:rFonts w:ascii="Graphik Light;sans-serif" w:hAnsi="Graphik Light;sans-serif"/>
          <w:b w:val="false"/>
          <w:color w:val="1D1D1D"/>
          <w:sz w:val="16"/>
        </w:rPr>
        <w:t>South San Francisco, California</w:t>
      </w:r>
    </w:p>
    <w:p>
      <w:pPr>
        <w:pStyle w:val="TextBody"/>
        <w:bidi w:val="0"/>
        <w:spacing w:lineRule="auto" w:line="336" w:before="0" w:after="0"/>
        <w:jc w:val="left"/>
        <w:rPr>
          <w:rFonts w:ascii="Graphik Light;sans-serif" w:hAnsi="Graphik Light;sans-serif"/>
          <w:b w:val="false"/>
          <w:color w:val="1D1D1D"/>
          <w:sz w:val="16"/>
        </w:rPr>
      </w:pPr>
      <w:r>
        <w:rPr>
          <w:rFonts w:ascii="Graphik Light;sans-serif" w:hAnsi="Graphik Light;sans-serif"/>
          <w:b w:val="false"/>
          <w:color w:val="1D1D1D"/>
          <w:sz w:val="16"/>
        </w:rPr>
        <w:t>April 29, 2025</w:t>
      </w:r>
    </w:p>
    <w:tbl>
      <w:tblPr>
        <w:tblW w:w="1063" w:type="dxa"/>
        <w:jc w:val="left"/>
        <w:tblInd w:w="0" w:type="dxa"/>
        <w:tblLayout w:type="fixed"/>
        <w:tblCellMar>
          <w:top w:w="28" w:type="dxa"/>
          <w:left w:w="28" w:type="dxa"/>
          <w:bottom w:w="28" w:type="dxa"/>
          <w:right w:w="28" w:type="dxa"/>
        </w:tblCellMar>
      </w:tblPr>
      <w:tblGrid>
        <w:gridCol w:w="124"/>
        <w:gridCol w:w="109"/>
        <w:gridCol w:w="109"/>
        <w:gridCol w:w="211"/>
        <w:gridCol w:w="211"/>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 cy="152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42875" cy="152400"/>
                          </a:xfrm>
                          <a:prstGeom prst="rect">
                            <a:avLst/>
                          </a:prstGeom>
                        </pic:spPr>
                      </pic:pic>
                    </a:graphicData>
                  </a:graphic>
                </wp:inline>
              </w:drawing>
            </w:r>
          </w:p>
        </w:tc>
        <w:tc>
          <w:tcPr>
            <w:tcW w:w="72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Date</w:t>
            </w:r>
          </w:p>
        </w:tc>
      </w:tr>
    </w:tbl>
    <w:p>
      <w:pPr>
        <w:pStyle w:val="TextBody"/>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Tuesday, </w:t>
      </w:r>
    </w:p>
    <w:p>
      <w:pPr>
        <w:pStyle w:val="TextBody"/>
        <w:bidi w:val="0"/>
        <w:spacing w:lineRule="auto" w:line="336" w:before="0" w:after="240"/>
        <w:jc w:val="left"/>
        <w:rPr>
          <w:rFonts w:ascii="Graphik;sans-serif" w:hAnsi="Graphik;sans-serif"/>
          <w:b w:val="false"/>
          <w:color w:val="1D1D1D"/>
          <w:sz w:val="18"/>
        </w:rPr>
      </w:pPr>
      <w:r>
        <w:rPr>
          <w:rFonts w:ascii="Graphik;sans-serif" w:hAnsi="Graphik;sans-serif"/>
          <w:b w:val="false"/>
          <w:color w:val="1D1D1D"/>
          <w:sz w:val="18"/>
        </w:rPr>
        <w:t>June 17, 2025</w:t>
      </w:r>
    </w:p>
    <w:tbl>
      <w:tblPr>
        <w:tblW w:w="1093" w:type="dxa"/>
        <w:jc w:val="left"/>
        <w:tblInd w:w="0" w:type="dxa"/>
        <w:tblLayout w:type="fixed"/>
        <w:tblCellMar>
          <w:top w:w="28" w:type="dxa"/>
          <w:left w:w="28" w:type="dxa"/>
          <w:bottom w:w="28" w:type="dxa"/>
          <w:right w:w="28" w:type="dxa"/>
        </w:tblCellMar>
      </w:tblPr>
      <w:tblGrid>
        <w:gridCol w:w="124"/>
        <w:gridCol w:w="109"/>
        <w:gridCol w:w="109"/>
        <w:gridCol w:w="220"/>
        <w:gridCol w:w="220"/>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52400" cy="152400"/>
                          </a:xfrm>
                          <a:prstGeom prst="rect">
                            <a:avLst/>
                          </a:prstGeom>
                        </pic:spPr>
                      </pic:pic>
                    </a:graphicData>
                  </a:graphic>
                </wp:inline>
              </w:drawing>
            </w:r>
          </w:p>
        </w:tc>
        <w:tc>
          <w:tcPr>
            <w:tcW w:w="75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Time</w:t>
            </w:r>
          </w:p>
        </w:tc>
      </w:tr>
    </w:tbl>
    <w:p>
      <w:pPr>
        <w:pStyle w:val="TextBody"/>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10:00 a.m. Pacific </w:t>
      </w:r>
    </w:p>
    <w:p>
      <w:pPr>
        <w:pStyle w:val="TextBody"/>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Daylight Time</w:t>
      </w:r>
    </w:p>
    <w:tbl>
      <w:tblPr>
        <w:tblW w:w="1513" w:type="dxa"/>
        <w:jc w:val="left"/>
        <w:tblInd w:w="0" w:type="dxa"/>
        <w:tblLayout w:type="fixed"/>
        <w:tblCellMar>
          <w:top w:w="28" w:type="dxa"/>
          <w:left w:w="28" w:type="dxa"/>
          <w:bottom w:w="28" w:type="dxa"/>
          <w:right w:w="28" w:type="dxa"/>
        </w:tblCellMar>
      </w:tblPr>
      <w:tblGrid>
        <w:gridCol w:w="124"/>
        <w:gridCol w:w="109"/>
        <w:gridCol w:w="109"/>
        <w:gridCol w:w="343"/>
        <w:gridCol w:w="343"/>
        <w:gridCol w:w="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71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33350" cy="171450"/>
                          </a:xfrm>
                          <a:prstGeom prst="rect">
                            <a:avLst/>
                          </a:prstGeom>
                        </pic:spPr>
                      </pic:pic>
                    </a:graphicData>
                  </a:graphic>
                </wp:inline>
              </w:drawing>
            </w:r>
          </w:p>
        </w:tc>
        <w:tc>
          <w:tcPr>
            <w:tcW w:w="1171"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Location</w:t>
            </w:r>
          </w:p>
        </w:tc>
      </w:tr>
    </w:tbl>
    <w:p>
      <w:pPr>
        <w:pStyle w:val="TextBody"/>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www.virtualshareholdermeeting.com/VCYT2025</w:t>
      </w:r>
    </w:p>
    <w:tbl>
      <w:tblPr>
        <w:tblW w:w="1992" w:type="dxa"/>
        <w:jc w:val="left"/>
        <w:tblInd w:w="0" w:type="dxa"/>
        <w:tblLayout w:type="fixed"/>
        <w:tblCellMar>
          <w:top w:w="28" w:type="dxa"/>
          <w:left w:w="28" w:type="dxa"/>
          <w:bottom w:w="28" w:type="dxa"/>
          <w:right w:w="28" w:type="dxa"/>
        </w:tblCellMar>
      </w:tblPr>
      <w:tblGrid>
        <w:gridCol w:w="124"/>
        <w:gridCol w:w="109"/>
        <w:gridCol w:w="109"/>
        <w:gridCol w:w="482"/>
        <w:gridCol w:w="482"/>
        <w:gridCol w:w="6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52400" cy="152400"/>
                          </a:xfrm>
                          <a:prstGeom prst="rect">
                            <a:avLst/>
                          </a:prstGeom>
                        </pic:spPr>
                      </pic:pic>
                    </a:graphicData>
                  </a:graphic>
                </wp:inline>
              </w:drawing>
            </w:r>
          </w:p>
        </w:tc>
        <w:tc>
          <w:tcPr>
            <w:tcW w:w="165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Record Date</w:t>
            </w:r>
          </w:p>
        </w:tc>
      </w:tr>
    </w:tbl>
    <w:p>
      <w:pPr>
        <w:pStyle w:val="TextBody"/>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Close of business on </w:t>
      </w:r>
    </w:p>
    <w:p>
      <w:pPr>
        <w:pStyle w:val="TextBody"/>
        <w:bidi w:val="0"/>
        <w:spacing w:lineRule="auto" w:line="336" w:before="0" w:after="240"/>
        <w:jc w:val="left"/>
        <w:rPr>
          <w:rFonts w:ascii="Graphik;sans-serif" w:hAnsi="Graphik;sans-serif"/>
          <w:b w:val="false"/>
          <w:color w:val="1D1D1D"/>
          <w:sz w:val="18"/>
        </w:rPr>
      </w:pPr>
      <w:r>
        <w:rPr>
          <w:rFonts w:ascii="Graphik;sans-serif" w:hAnsi="Graphik;sans-serif"/>
          <w:b w:val="false"/>
          <w:color w:val="1D1D1D"/>
          <w:sz w:val="18"/>
        </w:rPr>
        <w:t>April 21,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82"/>
        <w:gridCol w:w="3153"/>
        <w:gridCol w:w="3155"/>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2" w:type="dxa"/>
            <w:tcBorders/>
            <w:vAlign w:val="center"/>
          </w:tcPr>
          <w:p>
            <w:pPr>
              <w:pStyle w:val="TableContents"/>
              <w:bidi w:val="0"/>
              <w:spacing w:before="0" w:after="283"/>
              <w:jc w:val="left"/>
              <w:rPr>
                <w:sz w:val="4"/>
                <w:szCs w:val="4"/>
              </w:rPr>
            </w:pPr>
            <w:r>
              <w:rPr>
                <w:sz w:val="4"/>
                <w:szCs w:val="4"/>
              </w:rPr>
            </w:r>
          </w:p>
        </w:tc>
        <w:tc>
          <w:tcPr>
            <w:tcW w:w="3153"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2"/>
              </w:rPr>
            </w:pPr>
            <w:r>
              <w:rPr>
                <w:rFonts w:ascii="Graphik;sans-serif" w:hAnsi="Graphik;sans-serif"/>
                <w:b/>
                <w:color w:val="FFFFFF"/>
                <w:sz w:val="22"/>
              </w:rPr>
              <w:t>IMPORTANT NOTICE</w:t>
            </w:r>
          </w:p>
        </w:tc>
        <w:tc>
          <w:tcPr>
            <w:tcW w:w="37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D1ECF7" w:val="clear"/>
            <w:tcMar>
              <w:top w:w="0" w:type="dxa"/>
              <w:left w:w="0" w:type="dxa"/>
              <w:bottom w:w="0" w:type="dxa"/>
              <w:right w:w="0" w:type="dxa"/>
            </w:tcMar>
            <w:vAlign w:val="center"/>
          </w:tcPr>
          <w:p>
            <w:pPr>
              <w:pStyle w:val="TableContents"/>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Regarding the availability of proxy materials for the Annual Meeting of Stockholders to be held on June 17, 2025.</w:t>
            </w:r>
          </w:p>
          <w:p>
            <w:pPr>
              <w:pStyle w:val="TableContents"/>
              <w:bidi w:val="0"/>
              <w:spacing w:lineRule="auto" w:line="336" w:before="180" w:after="180"/>
              <w:jc w:val="left"/>
              <w:rPr>
                <w:rFonts w:ascii="Graphik;sans-serif" w:hAnsi="Graphik;sans-serif"/>
                <w:b w:val="false"/>
                <w:color w:val="1D1D1D"/>
                <w:sz w:val="18"/>
              </w:rPr>
            </w:pPr>
            <w:r>
              <w:rPr>
                <w:rFonts w:ascii="Graphik;sans-serif" w:hAnsi="Graphik;sans-serif"/>
                <w:b w:val="false"/>
                <w:color w:val="1D1D1D"/>
                <w:sz w:val="18"/>
              </w:rPr>
              <w:t>The Proxy Statement and Annual Report are available at www.proxyvote.com.</w:t>
            </w:r>
          </w:p>
        </w:tc>
        <w:tc>
          <w:tcPr>
            <w:tcW w:w="37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1"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CAUTIONARY NOTE REGARDING FORWARD-LOOKING STATEMENTS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proxy statement contains forward-looking statements within the meaning of the Private Securities Litigation Reform Act of 1995. When used in this proxy statement, the words “may,” “will,” “potentially,” “expect,” “anticipate,” “intend,” “estimate,” “plan,” “project,” “believe,” “continuing,” “ongoing,” “could,” “would,” or the negative of these terms and similar expressions are intended to identify forward-looking statements. These are statements that relate to future events and include but are not limited to, forward-looking statements that involve risks and uncertainties; our ability to execute our short-term and long-term growth strategies; our plans for environmental, corporate governance and social responsibility, and other future events.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These forward-looking statements are only predictions and may differ materially from actual results due to a variety of factors, including, but not limited to, the risks and uncertainties listed in our Annual Report on Form 10-K for the year ended December 31, 2024, filed with the U.S. Securities and Exchange Commission on February 28, 2025, and other reports filed with the U.S. Securities and Exchange Commission. You should not place undue reliance on these forward-looking statements, which speak only as of the date hereof. We undertake no obligation to update these forward-looking statements to reflect subsequent events or circumstances,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2"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Graphik Medium;sans-serif" w:hAnsi="Graphik Medium;sans-serif"/>
          <w:b w:val="false"/>
          <w:color w:val="1D1D1D"/>
          <w:sz w:val="64"/>
        </w:rPr>
      </w:pPr>
      <w:r>
        <w:rPr>
          <w:rFonts w:ascii="Graphik Medium;sans-serif" w:hAnsi="Graphik Medium;sans-serif"/>
          <w:b w:val="false"/>
          <w:color w:val="1D1D1D"/>
          <w:sz w:val="64"/>
        </w:rPr>
        <w:t>Table of Contents</w:t>
      </w:r>
    </w:p>
    <w:tbl>
      <w:tblPr>
        <w:tblW w:w="10205" w:type="dxa"/>
        <w:jc w:val="right"/>
        <w:tblInd w:w="0" w:type="dxa"/>
        <w:tblLayout w:type="fixed"/>
        <w:tblCellMar>
          <w:top w:w="28" w:type="dxa"/>
          <w:left w:w="28" w:type="dxa"/>
          <w:bottom w:w="28" w:type="dxa"/>
          <w:right w:w="28" w:type="dxa"/>
        </w:tblCellMar>
      </w:tblPr>
      <w:tblGrid>
        <w:gridCol w:w="124"/>
        <w:gridCol w:w="109"/>
        <w:gridCol w:w="109"/>
        <w:gridCol w:w="3058"/>
        <w:gridCol w:w="2974"/>
        <w:gridCol w:w="2916"/>
        <w:gridCol w:w="180"/>
        <w:gridCol w:w="180"/>
        <w:gridCol w:w="18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lineRule="auto" w:line="336" w:before="0" w:after="283"/>
              <w:jc w:val="left"/>
              <w:rPr>
                <w:color w:val="1D1D1D"/>
              </w:rPr>
            </w:pPr>
            <w:r>
              <w:rPr>
                <w:color w:val="1D1D1D"/>
              </w:rPr>
              <w:t> </w:t>
            </w:r>
          </w:p>
        </w:tc>
        <w:tc>
          <w:tcPr>
            <w:tcW w:w="54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Graphik Semibold;sans-serif" w:hAnsi="Graphik Semibold;sans-serif"/>
                <w:b w:val="false"/>
                <w:color w:val="005CBA"/>
                <w:sz w:val="18"/>
              </w:rPr>
            </w:pPr>
            <w:r>
              <w:rPr>
                <w:rFonts w:ascii="Graphik Semibold;sans-serif" w:hAnsi="Graphik Semibold;sans-serif"/>
                <w:b w:val="false"/>
                <w:color w:val="005CBA"/>
                <w:sz w:val="18"/>
              </w:rPr>
              <w:t>Page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3">
              <w:r>
                <w:rPr>
                  <w:rStyle w:val="InternetLink"/>
                  <w:rFonts w:ascii="Graphik Light;sans-serif" w:hAnsi="Graphik Light;sans-serif"/>
                  <w:b w:val="false"/>
                  <w:strike w:val="false"/>
                  <w:dstrike w:val="false"/>
                  <w:color w:val="000080"/>
                  <w:sz w:val="18"/>
                  <w:u w:val="single"/>
                  <w:effect w:val="none"/>
                </w:rPr>
                <w:t>Proxy Statem</w:t>
              </w:r>
            </w:hyperlink>
            <w:hyperlink w:anchor="ie799047edac24c459423a0886a6e8222_13">
              <w:r>
                <w:rPr>
                  <w:rStyle w:val="InternetLink"/>
                  <w:rFonts w:ascii="Graphik Light;sans-serif" w:hAnsi="Graphik Light;sans-serif"/>
                  <w:b w:val="false"/>
                  <w:strike w:val="false"/>
                  <w:dstrike w:val="false"/>
                  <w:color w:val="000080"/>
                  <w:sz w:val="18"/>
                  <w:u w:val="single"/>
                  <w:effect w:val="none"/>
                </w:rPr>
                <w:t>ent Summary</w:t>
              </w:r>
            </w:hyperlink>
          </w:p>
        </w:tc>
        <w:tc>
          <w:tcPr>
            <w:tcW w:w="541"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3">
              <w:r>
                <w:rPr>
                  <w:rStyle w:val="InternetLink"/>
                  <w:rFonts w:ascii="Graphik Light;sans-serif" w:hAnsi="Graphik Light;sans-serif"/>
                  <w:b w:val="false"/>
                  <w:strike w:val="false"/>
                  <w:dstrike w:val="false"/>
                  <w:color w:val="1D1D1D"/>
                  <w:sz w:val="18"/>
                  <w:u w:val="none"/>
                  <w:effect w:val="none"/>
                </w:rPr>
                <w:t>1</w:t>
              </w:r>
            </w:hyperlink>
          </w:p>
        </w:tc>
        <w:tc>
          <w:tcPr>
            <w:tcW w:w="374"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243">
              <w:r>
                <w:rPr>
                  <w:rStyle w:val="InternetLink"/>
                  <w:rFonts w:ascii="Graphik Light;sans-serif" w:hAnsi="Graphik Light;sans-serif"/>
                  <w:b w:val="false"/>
                  <w:strike w:val="false"/>
                  <w:dstrike w:val="false"/>
                  <w:color w:val="1D1D1D"/>
                  <w:sz w:val="18"/>
                  <w:u w:val="none"/>
                  <w:effect w:val="none"/>
                </w:rPr>
                <w:t>Agenda and Voting Recommendations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243">
              <w:r>
                <w:rPr>
                  <w:rStyle w:val="InternetLink"/>
                  <w:rFonts w:ascii="Graphik Light;sans-serif" w:hAnsi="Graphik Light;sans-serif"/>
                  <w:b w:val="false"/>
                  <w:strike w:val="false"/>
                  <w:dstrike w:val="false"/>
                  <w:color w:val="1D1D1D"/>
                  <w:sz w:val="18"/>
                  <w:u w:val="none"/>
                  <w:effect w:val="none"/>
                </w:rPr>
                <w:t>2</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259">
              <w:r>
                <w:rPr>
                  <w:rStyle w:val="InternetLink"/>
                  <w:rFonts w:ascii="Graphik Light;sans-serif" w:hAnsi="Graphik Light;sans-serif"/>
                  <w:b w:val="false"/>
                  <w:strike w:val="false"/>
                  <w:dstrike w:val="false"/>
                  <w:color w:val="1D1D1D"/>
                  <w:sz w:val="18"/>
                  <w:u w:val="none"/>
                  <w:effect w:val="none"/>
                </w:rPr>
                <w:t>Director Nominees and Board Summary</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259">
              <w:r>
                <w:rPr>
                  <w:rStyle w:val="InternetLink"/>
                  <w:rFonts w:ascii="Graphik Light;sans-serif" w:hAnsi="Graphik Light;sans-serif"/>
                  <w:b w:val="false"/>
                  <w:strike w:val="false"/>
                  <w:dstrike w:val="false"/>
                  <w:color w:val="1D1D1D"/>
                  <w:sz w:val="18"/>
                  <w:u w:val="none"/>
                  <w:effect w:val="none"/>
                </w:rPr>
                <w:t>4</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274">
              <w:r>
                <w:rPr>
                  <w:rStyle w:val="InternetLink"/>
                  <w:rFonts w:ascii="Graphik Light;sans-serif" w:hAnsi="Graphik Light;sans-serif"/>
                  <w:b w:val="false"/>
                  <w:strike w:val="false"/>
                  <w:dstrike w:val="false"/>
                  <w:color w:val="1D1D1D"/>
                  <w:sz w:val="18"/>
                  <w:u w:val="none"/>
                  <w:effect w:val="none"/>
                </w:rPr>
                <w:t>2024 Financial and Business Highlights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274">
              <w:r>
                <w:rPr>
                  <w:rStyle w:val="InternetLink"/>
                  <w:rFonts w:ascii="Graphik Light;sans-serif" w:hAnsi="Graphik Light;sans-serif"/>
                  <w:b w:val="false"/>
                  <w:strike w:val="false"/>
                  <w:dstrike w:val="false"/>
                  <w:color w:val="1D1D1D"/>
                  <w:sz w:val="18"/>
                  <w:u w:val="none"/>
                  <w:effect w:val="none"/>
                </w:rPr>
                <w:t>5</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289">
              <w:r>
                <w:rPr>
                  <w:rStyle w:val="InternetLink"/>
                  <w:rFonts w:ascii="Graphik Light;sans-serif" w:hAnsi="Graphik Light;sans-serif"/>
                  <w:b w:val="false"/>
                  <w:strike w:val="false"/>
                  <w:dstrike w:val="false"/>
                  <w:color w:val="1D1D1D"/>
                  <w:sz w:val="18"/>
                  <w:u w:val="none"/>
                  <w:effect w:val="none"/>
                </w:rPr>
                <w:t>Governance and Board Highlights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289">
              <w:r>
                <w:rPr>
                  <w:rStyle w:val="InternetLink"/>
                  <w:rFonts w:ascii="Graphik Light;sans-serif" w:hAnsi="Graphik Light;sans-serif"/>
                  <w:b w:val="false"/>
                  <w:strike w:val="false"/>
                  <w:dstrike w:val="false"/>
                  <w:color w:val="1D1D1D"/>
                  <w:sz w:val="18"/>
                  <w:u w:val="none"/>
                  <w:effect w:val="none"/>
                </w:rPr>
                <w:t>5</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left"/>
              <w:rPr/>
            </w:pPr>
            <w:hyperlink w:anchor="ie799047edac24c459423a0886a6e8222_19">
              <w:r>
                <w:rPr>
                  <w:rStyle w:val="InternetLink"/>
                  <w:rFonts w:ascii="Graphik;sans-serif" w:hAnsi="Graphik;sans-serif"/>
                  <w:b/>
                  <w:strike w:val="false"/>
                  <w:dstrike w:val="false"/>
                  <w:color w:val="000080"/>
                  <w:sz w:val="18"/>
                  <w:u w:val="single"/>
                  <w:effect w:val="none"/>
                </w:rPr>
                <w:t>PROPOSAL NO. 1</w:t>
              </w:r>
            </w:hyperlink>
            <w:hyperlink w:anchor="ie799047edac24c459423a0886a6e8222_19">
              <w:r>
                <w:rPr>
                  <w:rStyle w:val="InternetLink"/>
                  <w:rFonts w:ascii="Graphik;sans-serif" w:hAnsi="Graphik;sans-serif"/>
                  <w:b/>
                  <w:strike w:val="false"/>
                  <w:dstrike w:val="false"/>
                  <w:color w:val="000080"/>
                  <w:sz w:val="18"/>
                  <w:u w:val="single"/>
                  <w:effect w:val="none"/>
                </w:rPr>
                <w:t xml:space="preserve"> </w:t>
              </w:r>
            </w:hyperlink>
            <w:hyperlink w:anchor="ie799047edac24c459423a0886a6e8222_19">
              <w:r>
                <w:rPr>
                  <w:rStyle w:val="InternetLink"/>
                  <w:rFonts w:ascii="Graphik Light;sans-serif" w:hAnsi="Graphik Light;sans-serif"/>
                  <w:b w:val="false"/>
                  <w:strike w:val="false"/>
                  <w:dstrike w:val="false"/>
                  <w:color w:val="1D1D1D"/>
                  <w:sz w:val="18"/>
                  <w:u w:val="none"/>
                  <w:effect w:val="none"/>
                </w:rPr>
                <w:t>Election of Directors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9">
              <w:r>
                <w:rPr>
                  <w:rStyle w:val="InternetLink"/>
                  <w:rFonts w:ascii="Graphik Light;sans-serif" w:hAnsi="Graphik Light;sans-serif"/>
                  <w:b w:val="false"/>
                  <w:strike w:val="false"/>
                  <w:dstrike w:val="false"/>
                  <w:color w:val="1D1D1D"/>
                  <w:sz w:val="18"/>
                  <w:u w:val="none"/>
                  <w:effect w:val="none"/>
                </w:rPr>
                <w:t>7</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43">
              <w:r>
                <w:rPr>
                  <w:rStyle w:val="InternetLink"/>
                  <w:rFonts w:ascii="Graphik Light;sans-serif" w:hAnsi="Graphik Light;sans-serif"/>
                  <w:b w:val="false"/>
                  <w:strike w:val="false"/>
                  <w:dstrike w:val="false"/>
                  <w:color w:val="1D1D1D"/>
                  <w:sz w:val="18"/>
                  <w:u w:val="none"/>
                  <w:effect w:val="none"/>
                </w:rPr>
                <w:t>Corporate Governance</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43">
              <w:r>
                <w:rPr>
                  <w:rStyle w:val="InternetLink"/>
                  <w:rFonts w:ascii="Graphik Light;sans-serif" w:hAnsi="Graphik Light;sans-serif"/>
                  <w:b w:val="false"/>
                  <w:strike w:val="false"/>
                  <w:dstrike w:val="false"/>
                  <w:color w:val="1D1D1D"/>
                  <w:sz w:val="18"/>
                  <w:u w:val="none"/>
                  <w:effect w:val="none"/>
                </w:rPr>
                <w:t>18</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46">
              <w:r>
                <w:rPr>
                  <w:rStyle w:val="InternetLink"/>
                  <w:rFonts w:ascii="Graphik Light;sans-serif" w:hAnsi="Graphik Light;sans-serif"/>
                  <w:b w:val="false"/>
                  <w:strike w:val="false"/>
                  <w:dstrike w:val="false"/>
                  <w:color w:val="1D1D1D"/>
                  <w:sz w:val="18"/>
                  <w:u w:val="none"/>
                  <w:effect w:val="none"/>
                </w:rPr>
                <w:t>2024 Director Compensation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46">
              <w:r>
                <w:rPr>
                  <w:rStyle w:val="InternetLink"/>
                  <w:rFonts w:ascii="Graphik Light;sans-serif" w:hAnsi="Graphik Light;sans-serif"/>
                  <w:b w:val="false"/>
                  <w:strike w:val="false"/>
                  <w:dstrike w:val="false"/>
                  <w:color w:val="1D1D1D"/>
                  <w:sz w:val="18"/>
                  <w:u w:val="none"/>
                  <w:effect w:val="none"/>
                </w:rPr>
                <w:t>23</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left"/>
              <w:rPr/>
            </w:pPr>
            <w:hyperlink w:anchor="ie799047edac24c459423a0886a6e8222_52">
              <w:r>
                <w:rPr>
                  <w:rStyle w:val="InternetLink"/>
                  <w:rFonts w:ascii="Graphik;sans-serif" w:hAnsi="Graphik;sans-serif"/>
                  <w:b/>
                  <w:strike w:val="false"/>
                  <w:dstrike w:val="false"/>
                  <w:color w:val="8E4FBE"/>
                  <w:sz w:val="18"/>
                  <w:u w:val="none"/>
                  <w:effect w:val="none"/>
                </w:rPr>
                <w:t>PROPOSAL NO. 2</w:t>
              </w:r>
            </w:hyperlink>
            <w:hyperlink w:anchor="ie799047edac24c459423a0886a6e8222_52">
              <w:r>
                <w:rPr>
                  <w:rStyle w:val="InternetLink"/>
                  <w:strike w:val="false"/>
                  <w:dstrike w:val="false"/>
                  <w:color w:val="8E4FBE"/>
                  <w:u w:val="none"/>
                  <w:effect w:val="none"/>
                </w:rPr>
                <w:t xml:space="preserve"> </w:t>
              </w:r>
            </w:hyperlink>
            <w:hyperlink w:anchor="ie799047edac24c459423a0886a6e8222_52">
              <w:r>
                <w:rPr>
                  <w:rStyle w:val="InternetLink"/>
                  <w:rFonts w:ascii="Graphik Light;sans-serif" w:hAnsi="Graphik Light;sans-serif"/>
                  <w:b w:val="false"/>
                  <w:strike w:val="false"/>
                  <w:dstrike w:val="false"/>
                  <w:color w:val="1D1D1D"/>
                  <w:sz w:val="18"/>
                  <w:u w:val="none"/>
                  <w:effect w:val="none"/>
                </w:rPr>
                <w:t>Ratification of Appointment of Independent Registered Public Accounting Firm</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52">
              <w:r>
                <w:rPr>
                  <w:rStyle w:val="InternetLink"/>
                  <w:rFonts w:ascii="Graphik Light;sans-serif" w:hAnsi="Graphik Light;sans-serif"/>
                  <w:b w:val="false"/>
                  <w:strike w:val="false"/>
                  <w:dstrike w:val="false"/>
                  <w:color w:val="1D1D1D"/>
                  <w:sz w:val="18"/>
                  <w:u w:val="none"/>
                  <w:effect w:val="none"/>
                </w:rPr>
                <w:t>26</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left"/>
              <w:rPr/>
            </w:pPr>
            <w:hyperlink w:anchor="ie799047edac24c459423a0886a6e8222_64">
              <w:r>
                <w:rPr>
                  <w:rStyle w:val="InternetLink"/>
                  <w:rFonts w:ascii="Graphik;sans-serif" w:hAnsi="Graphik;sans-serif"/>
                  <w:b/>
                  <w:strike w:val="false"/>
                  <w:dstrike w:val="false"/>
                  <w:color w:val="8E4FBE"/>
                  <w:sz w:val="18"/>
                  <w:u w:val="none"/>
                  <w:effect w:val="none"/>
                </w:rPr>
                <w:t>PROPOSAL NO. 3</w:t>
              </w:r>
            </w:hyperlink>
            <w:hyperlink w:anchor="ie799047edac24c459423a0886a6e8222_64">
              <w:r>
                <w:rPr>
                  <w:rStyle w:val="InternetLink"/>
                  <w:strike w:val="false"/>
                  <w:dstrike w:val="false"/>
                  <w:color w:val="1D1D1D"/>
                  <w:u w:val="none"/>
                  <w:effect w:val="none"/>
                </w:rPr>
                <w:t xml:space="preserve"> </w:t>
              </w:r>
            </w:hyperlink>
            <w:hyperlink w:anchor="ie799047edac24c459423a0886a6e8222_64">
              <w:r>
                <w:rPr>
                  <w:rStyle w:val="InternetLink"/>
                  <w:rFonts w:ascii="Graphik Light;sans-serif" w:hAnsi="Graphik Light;sans-serif"/>
                  <w:b w:val="false"/>
                  <w:strike w:val="false"/>
                  <w:dstrike w:val="false"/>
                  <w:color w:val="1D1D1D"/>
                  <w:sz w:val="18"/>
                  <w:u w:val="none"/>
                  <w:effect w:val="none"/>
                </w:rPr>
                <w:t>Advisory Vote on the Compensation of Our Named Executive Officers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64">
              <w:r>
                <w:rPr>
                  <w:rStyle w:val="InternetLink"/>
                  <w:rFonts w:ascii="Graphik Light;sans-serif" w:hAnsi="Graphik Light;sans-serif"/>
                  <w:b w:val="false"/>
                  <w:strike w:val="false"/>
                  <w:dstrike w:val="false"/>
                  <w:color w:val="1D1D1D"/>
                  <w:sz w:val="18"/>
                  <w:u w:val="none"/>
                  <w:effect w:val="none"/>
                </w:rPr>
                <w:t>28</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left"/>
              <w:rPr/>
            </w:pPr>
            <w:hyperlink w:anchor="ie799047edac24c459423a0886a6e8222_2199023256942">
              <w:r>
                <w:rPr>
                  <w:rStyle w:val="InternetLink"/>
                  <w:rFonts w:ascii="Graphik;sans-serif" w:hAnsi="Graphik;sans-serif"/>
                  <w:b/>
                  <w:strike w:val="false"/>
                  <w:dstrike w:val="false"/>
                  <w:color w:val="000080"/>
                  <w:sz w:val="18"/>
                  <w:u w:val="single"/>
                  <w:effect w:val="none"/>
                </w:rPr>
                <w:t xml:space="preserve">PROPOSAL NO. </w:t>
              </w:r>
            </w:hyperlink>
            <w:hyperlink w:anchor="ie799047edac24c459423a0886a6e8222_2199023256942">
              <w:r>
                <w:rPr>
                  <w:rStyle w:val="InternetLink"/>
                  <w:rFonts w:ascii="Graphik;sans-serif" w:hAnsi="Graphik;sans-serif"/>
                  <w:b/>
                  <w:strike w:val="false"/>
                  <w:dstrike w:val="false"/>
                  <w:color w:val="000080"/>
                  <w:sz w:val="18"/>
                  <w:u w:val="single"/>
                  <w:effect w:val="none"/>
                </w:rPr>
                <w:t>4</w:t>
              </w:r>
            </w:hyperlink>
            <w:hyperlink w:anchor="ie799047edac24c459423a0886a6e8222_2199023256942">
              <w:r>
                <w:rPr>
                  <w:rStyle w:val="InternetLink"/>
                  <w:strike w:val="false"/>
                  <w:dstrike w:val="false"/>
                  <w:color w:val="8E4FBE"/>
                  <w:u w:val="none"/>
                  <w:effect w:val="none"/>
                </w:rPr>
                <w:t xml:space="preserve"> </w:t>
              </w:r>
            </w:hyperlink>
            <w:hyperlink w:anchor="ie799047edac24c459423a0886a6e8222_2199023256942">
              <w:r>
                <w:rPr>
                  <w:rStyle w:val="InternetLink"/>
                  <w:rFonts w:ascii="Graphik Light;sans-serif" w:hAnsi="Graphik Light;sans-serif"/>
                  <w:b w:val="false"/>
                  <w:strike w:val="false"/>
                  <w:dstrike w:val="false"/>
                  <w:color w:val="000080"/>
                  <w:sz w:val="18"/>
                  <w:u w:val="single"/>
                  <w:effect w:val="none"/>
                </w:rPr>
                <w:t>Advisory Vote on the</w:t>
              </w:r>
            </w:hyperlink>
            <w:hyperlink w:anchor="ie799047edac24c459423a0886a6e8222_2199023256942">
              <w:r>
                <w:rPr>
                  <w:rStyle w:val="InternetLink"/>
                  <w:rFonts w:ascii="Graphik Light;sans-serif" w:hAnsi="Graphik Light;sans-serif"/>
                  <w:b w:val="false"/>
                  <w:strike w:val="false"/>
                  <w:dstrike w:val="false"/>
                  <w:color w:val="000080"/>
                  <w:sz w:val="18"/>
                  <w:u w:val="single"/>
                  <w:effect w:val="none"/>
                </w:rPr>
                <w:t xml:space="preserve"> Frequenc</w:t>
              </w:r>
            </w:hyperlink>
            <w:hyperlink w:anchor="ie799047edac24c459423a0886a6e8222_2199023256942">
              <w:r>
                <w:rPr>
                  <w:rStyle w:val="InternetLink"/>
                  <w:rFonts w:ascii="Graphik Light;sans-serif" w:hAnsi="Graphik Light;sans-serif"/>
                  <w:b w:val="false"/>
                  <w:strike w:val="false"/>
                  <w:dstrike w:val="false"/>
                  <w:color w:val="000080"/>
                  <w:sz w:val="18"/>
                  <w:u w:val="single"/>
                  <w:effect w:val="none"/>
                </w:rPr>
                <w:t>y</w:t>
              </w:r>
            </w:hyperlink>
            <w:hyperlink w:anchor="ie799047edac24c459423a0886a6e8222_2199023256942">
              <w:r>
                <w:rPr>
                  <w:rStyle w:val="InternetLink"/>
                  <w:rFonts w:ascii="Graphik Light;sans-serif" w:hAnsi="Graphik Light;sans-serif"/>
                  <w:b w:val="false"/>
                  <w:strike w:val="false"/>
                  <w:dstrike w:val="false"/>
                  <w:color w:val="000080"/>
                  <w:sz w:val="18"/>
                  <w:u w:val="single"/>
                  <w:effect w:val="none"/>
                </w:rPr>
                <w:t xml:space="preserve"> of Future Advisory Votes on the</w:t>
              </w:r>
            </w:hyperlink>
            <w:hyperlink w:anchor="ie799047edac24c459423a0886a6e8222_2199023256942">
              <w:r>
                <w:rPr>
                  <w:rStyle w:val="InternetLink"/>
                  <w:rFonts w:ascii="Graphik Light;sans-serif" w:hAnsi="Graphik Light;sans-serif"/>
                  <w:b w:val="false"/>
                  <w:strike w:val="false"/>
                  <w:dstrike w:val="false"/>
                  <w:color w:val="000080"/>
                  <w:sz w:val="18"/>
                  <w:u w:val="single"/>
                  <w:effect w:val="none"/>
                </w:rPr>
                <w:t xml:space="preserve"> Compensation of Our Named Executive Officers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2199023256942">
              <w:r>
                <w:rPr>
                  <w:rStyle w:val="InternetLink"/>
                  <w:rFonts w:ascii="Graphik Light;sans-serif" w:hAnsi="Graphik Light;sans-serif"/>
                  <w:b w:val="false"/>
                  <w:strike w:val="false"/>
                  <w:dstrike w:val="false"/>
                  <w:color w:val="1D1D1D"/>
                  <w:sz w:val="18"/>
                  <w:u w:val="none"/>
                  <w:effect w:val="none"/>
                </w:rPr>
                <w:t>29</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0"/>
              <w:jc w:val="left"/>
              <w:rPr/>
            </w:pPr>
            <w:hyperlink w:anchor="ie799047edac24c459423a0886a6e8222_67">
              <w:r>
                <w:rPr>
                  <w:rStyle w:val="InternetLink"/>
                  <w:rFonts w:ascii="Graphik;sans-serif" w:hAnsi="Graphik;sans-serif"/>
                  <w:b/>
                  <w:strike w:val="false"/>
                  <w:dstrike w:val="false"/>
                  <w:color w:val="000080"/>
                  <w:sz w:val="18"/>
                  <w:u w:val="single"/>
                  <w:effect w:val="none"/>
                </w:rPr>
                <w:t xml:space="preserve">PROPOSAL NO. </w:t>
              </w:r>
            </w:hyperlink>
            <w:hyperlink w:anchor="ie799047edac24c459423a0886a6e8222_67">
              <w:r>
                <w:rPr>
                  <w:rStyle w:val="InternetLink"/>
                  <w:rFonts w:ascii="Graphik;sans-serif" w:hAnsi="Graphik;sans-serif"/>
                  <w:b/>
                  <w:strike w:val="false"/>
                  <w:dstrike w:val="false"/>
                  <w:color w:val="000080"/>
                  <w:sz w:val="18"/>
                  <w:u w:val="single"/>
                  <w:effect w:val="none"/>
                </w:rPr>
                <w:t>5</w:t>
              </w:r>
            </w:hyperlink>
            <w:hyperlink w:anchor="ie799047edac24c459423a0886a6e8222_67">
              <w:r>
                <w:rPr>
                  <w:rStyle w:val="InternetLink"/>
                  <w:strike w:val="false"/>
                  <w:dstrike w:val="false"/>
                  <w:color w:val="8E4FBE"/>
                  <w:u w:val="none"/>
                  <w:effect w:val="none"/>
                </w:rPr>
                <w:t xml:space="preserve"> </w:t>
              </w:r>
            </w:hyperlink>
            <w:hyperlink w:anchor="ie799047edac24c459423a0886a6e8222_67">
              <w:r>
                <w:rPr>
                  <w:rStyle w:val="InternetLink"/>
                  <w:rFonts w:ascii="Graphik Light;sans-serif" w:hAnsi="Graphik Light;sans-serif"/>
                  <w:b w:val="false"/>
                  <w:strike w:val="false"/>
                  <w:dstrike w:val="false"/>
                  <w:color w:val="1D1D1D"/>
                  <w:sz w:val="18"/>
                  <w:u w:val="none"/>
                  <w:effect w:val="none"/>
                </w:rPr>
                <w:t>Approval of Amendment to the Veracyte, Inc. 2023 Equity Incentive Plan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67">
              <w:r>
                <w:rPr>
                  <w:rStyle w:val="InternetLink"/>
                  <w:rFonts w:ascii="Graphik Light;sans-serif" w:hAnsi="Graphik Light;sans-serif"/>
                  <w:b w:val="false"/>
                  <w:strike w:val="false"/>
                  <w:dstrike w:val="false"/>
                  <w:color w:val="1D1D1D"/>
                  <w:sz w:val="18"/>
                  <w:u w:val="none"/>
                  <w:effect w:val="none"/>
                </w:rPr>
                <w:t>30</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70">
              <w:r>
                <w:rPr>
                  <w:rStyle w:val="InternetLink"/>
                  <w:rFonts w:ascii="Graphik Light;sans-serif" w:hAnsi="Graphik Light;sans-serif"/>
                  <w:b w:val="false"/>
                  <w:strike w:val="false"/>
                  <w:dstrike w:val="false"/>
                  <w:color w:val="1D1D1D"/>
                  <w:sz w:val="18"/>
                  <w:u w:val="none"/>
                  <w:effect w:val="none"/>
                </w:rPr>
                <w:t>Security Ownership of Certain Beneficial Owners and Management</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70">
              <w:r>
                <w:rPr>
                  <w:rStyle w:val="InternetLink"/>
                  <w:rFonts w:ascii="Graphik Light;sans-serif" w:hAnsi="Graphik Light;sans-serif"/>
                  <w:b w:val="false"/>
                  <w:strike w:val="false"/>
                  <w:dstrike w:val="false"/>
                  <w:color w:val="1D1D1D"/>
                  <w:sz w:val="18"/>
                  <w:u w:val="none"/>
                  <w:effect w:val="none"/>
                </w:rPr>
                <w:t>40</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73">
              <w:r>
                <w:rPr>
                  <w:rStyle w:val="InternetLink"/>
                  <w:rFonts w:ascii="Graphik Light;sans-serif" w:hAnsi="Graphik Light;sans-serif"/>
                  <w:b w:val="false"/>
                  <w:strike w:val="false"/>
                  <w:dstrike w:val="false"/>
                  <w:color w:val="1D1D1D"/>
                  <w:sz w:val="18"/>
                  <w:u w:val="none"/>
                  <w:effect w:val="none"/>
                </w:rPr>
                <w:t>Executive Officers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73">
              <w:r>
                <w:rPr>
                  <w:rStyle w:val="InternetLink"/>
                  <w:rFonts w:ascii="Graphik Light;sans-serif" w:hAnsi="Graphik Light;sans-serif"/>
                  <w:b w:val="false"/>
                  <w:strike w:val="false"/>
                  <w:dstrike w:val="false"/>
                  <w:color w:val="1D1D1D"/>
                  <w:sz w:val="18"/>
                  <w:u w:val="none"/>
                  <w:effect w:val="none"/>
                </w:rPr>
                <w:t>43</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76">
              <w:r>
                <w:rPr>
                  <w:rStyle w:val="InternetLink"/>
                  <w:rFonts w:ascii="Graphik Light;sans-serif" w:hAnsi="Graphik Light;sans-serif"/>
                  <w:b w:val="false"/>
                  <w:strike w:val="false"/>
                  <w:dstrike w:val="false"/>
                  <w:color w:val="1D1D1D"/>
                  <w:sz w:val="18"/>
                  <w:u w:val="none"/>
                  <w:effect w:val="none"/>
                </w:rPr>
                <w:t>Executive Compensation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76">
              <w:r>
                <w:rPr>
                  <w:rStyle w:val="InternetLink"/>
                  <w:rFonts w:ascii="Graphik Light;sans-serif" w:hAnsi="Graphik Light;sans-serif"/>
                  <w:b w:val="false"/>
                  <w:strike w:val="false"/>
                  <w:dstrike w:val="false"/>
                  <w:color w:val="1D1D1D"/>
                  <w:sz w:val="18"/>
                  <w:u w:val="none"/>
                  <w:effect w:val="none"/>
                </w:rPr>
                <w:t>46</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06">
              <w:r>
                <w:rPr>
                  <w:rStyle w:val="InternetLink"/>
                  <w:rFonts w:ascii="Graphik Light;sans-serif" w:hAnsi="Graphik Light;sans-serif"/>
                  <w:b w:val="false"/>
                  <w:strike w:val="false"/>
                  <w:dstrike w:val="false"/>
                  <w:color w:val="1D1D1D"/>
                  <w:sz w:val="18"/>
                  <w:u w:val="none"/>
                  <w:effect w:val="none"/>
                </w:rPr>
                <w:t>Equity Compensation Plan Information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06">
              <w:r>
                <w:rPr>
                  <w:rStyle w:val="InternetLink"/>
                  <w:rFonts w:ascii="Graphik Light;sans-serif" w:hAnsi="Graphik Light;sans-serif"/>
                  <w:b w:val="false"/>
                  <w:strike w:val="false"/>
                  <w:dstrike w:val="false"/>
                  <w:color w:val="1D1D1D"/>
                  <w:sz w:val="18"/>
                  <w:u w:val="none"/>
                  <w:effect w:val="none"/>
                </w:rPr>
                <w:t>71</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09">
              <w:r>
                <w:rPr>
                  <w:rStyle w:val="InternetLink"/>
                  <w:rFonts w:ascii="Graphik Light;sans-serif" w:hAnsi="Graphik Light;sans-serif"/>
                  <w:b w:val="false"/>
                  <w:strike w:val="false"/>
                  <w:dstrike w:val="false"/>
                  <w:color w:val="1D1D1D"/>
                  <w:sz w:val="18"/>
                  <w:u w:val="none"/>
                  <w:effect w:val="none"/>
                </w:rPr>
                <w:t>Report of the Audit Committee of the Board of Directors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09">
              <w:r>
                <w:rPr>
                  <w:rStyle w:val="InternetLink"/>
                  <w:rFonts w:ascii="Graphik Light;sans-serif" w:hAnsi="Graphik Light;sans-serif"/>
                  <w:b w:val="false"/>
                  <w:strike w:val="false"/>
                  <w:dstrike w:val="false"/>
                  <w:color w:val="1D1D1D"/>
                  <w:sz w:val="18"/>
                  <w:u w:val="none"/>
                  <w:effect w:val="none"/>
                </w:rPr>
                <w:t>72</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12">
              <w:r>
                <w:rPr>
                  <w:rStyle w:val="InternetLink"/>
                  <w:rFonts w:ascii="Graphik Light;sans-serif" w:hAnsi="Graphik Light;sans-serif"/>
                  <w:b w:val="false"/>
                  <w:strike w:val="false"/>
                  <w:dstrike w:val="false"/>
                  <w:color w:val="1D1D1D"/>
                  <w:sz w:val="18"/>
                  <w:u w:val="none"/>
                  <w:effect w:val="none"/>
                </w:rPr>
                <w:t>Certain Relationships and Related Party Transactions</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12">
              <w:r>
                <w:rPr>
                  <w:rStyle w:val="InternetLink"/>
                  <w:rFonts w:ascii="Graphik Light;sans-serif" w:hAnsi="Graphik Light;sans-serif"/>
                  <w:b w:val="false"/>
                  <w:strike w:val="false"/>
                  <w:dstrike w:val="false"/>
                  <w:color w:val="1D1D1D"/>
                  <w:sz w:val="18"/>
                  <w:u w:val="none"/>
                  <w:effect w:val="none"/>
                </w:rPr>
                <w:t>73</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15">
              <w:r>
                <w:rPr>
                  <w:rStyle w:val="InternetLink"/>
                  <w:rFonts w:ascii="Graphik Light;sans-serif" w:hAnsi="Graphik Light;sans-serif"/>
                  <w:b w:val="false"/>
                  <w:strike w:val="false"/>
                  <w:dstrike w:val="false"/>
                  <w:color w:val="1D1D1D"/>
                  <w:sz w:val="18"/>
                  <w:u w:val="none"/>
                  <w:effect w:val="none"/>
                </w:rPr>
                <w:t>Additional Information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15">
              <w:r>
                <w:rPr>
                  <w:rStyle w:val="InternetLink"/>
                  <w:rFonts w:ascii="Graphik Light;sans-serif" w:hAnsi="Graphik Light;sans-serif"/>
                  <w:b w:val="false"/>
                  <w:strike w:val="false"/>
                  <w:dstrike w:val="false"/>
                  <w:color w:val="1D1D1D"/>
                  <w:sz w:val="18"/>
                  <w:u w:val="none"/>
                  <w:effect w:val="none"/>
                </w:rPr>
                <w:t>74</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24">
              <w:r>
                <w:rPr>
                  <w:rStyle w:val="InternetLink"/>
                  <w:rFonts w:ascii="Graphik Light;sans-serif" w:hAnsi="Graphik Light;sans-serif"/>
                  <w:b w:val="false"/>
                  <w:strike w:val="false"/>
                  <w:dstrike w:val="false"/>
                  <w:color w:val="1D1D1D"/>
                  <w:sz w:val="18"/>
                  <w:u w:val="none"/>
                  <w:effect w:val="none"/>
                </w:rPr>
                <w:t>Other Matters and Available Information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24">
              <w:r>
                <w:rPr>
                  <w:rStyle w:val="InternetLink"/>
                  <w:rFonts w:ascii="Graphik Light;sans-serif" w:hAnsi="Graphik Light;sans-serif"/>
                  <w:b w:val="false"/>
                  <w:strike w:val="false"/>
                  <w:dstrike w:val="false"/>
                  <w:color w:val="1D1D1D"/>
                  <w:sz w:val="18"/>
                  <w:u w:val="none"/>
                  <w:effect w:val="none"/>
                </w:rPr>
                <w:t>76</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left"/>
              <w:rPr/>
            </w:pPr>
            <w:hyperlink w:anchor="ie799047edac24c459423a0886a6e8222_16">
              <w:r>
                <w:rPr>
                  <w:rStyle w:val="InternetLink"/>
                  <w:rFonts w:ascii="Graphik Light;sans-serif" w:hAnsi="Graphik Light;sans-serif"/>
                  <w:b w:val="false"/>
                  <w:strike w:val="false"/>
                  <w:dstrike w:val="false"/>
                  <w:color w:val="1D1D1D"/>
                  <w:sz w:val="18"/>
                  <w:u w:val="none"/>
                  <w:effect w:val="none"/>
                </w:rPr>
                <w:t>General Information</w:t>
              </w:r>
            </w:hyperlink>
          </w:p>
        </w:tc>
        <w:tc>
          <w:tcPr>
            <w:tcW w:w="54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336" w:before="0" w:after="180"/>
              <w:jc w:val="right"/>
              <w:rPr/>
            </w:pPr>
            <w:hyperlink w:anchor="ie799047edac24c459423a0886a6e8222_16">
              <w:r>
                <w:rPr>
                  <w:rStyle w:val="InternetLink"/>
                  <w:rFonts w:ascii="Graphik Light;sans-serif" w:hAnsi="Graphik Light;sans-serif"/>
                  <w:b w:val="false"/>
                  <w:strike w:val="false"/>
                  <w:dstrike w:val="false"/>
                  <w:color w:val="1D1D1D"/>
                  <w:sz w:val="18"/>
                  <w:u w:val="none"/>
                  <w:effect w:val="none"/>
                </w:rPr>
                <w:t>77</w:t>
              </w:r>
            </w:hyperlink>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8948"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336" w:before="0" w:after="180"/>
              <w:jc w:val="left"/>
              <w:rPr/>
            </w:pPr>
            <w:hyperlink w:anchor="ie799047edac24c459423a0886a6e8222_127">
              <w:r>
                <w:rPr>
                  <w:rStyle w:val="InternetLink"/>
                  <w:rFonts w:ascii="Graphik Light;sans-serif" w:hAnsi="Graphik Light;sans-serif"/>
                  <w:b w:val="false"/>
                  <w:strike w:val="false"/>
                  <w:dstrike w:val="false"/>
                  <w:color w:val="1D1D1D"/>
                  <w:sz w:val="18"/>
                  <w:u w:val="none"/>
                  <w:effect w:val="none"/>
                </w:rPr>
                <w:t>Appendix A</w:t>
              </w:r>
            </w:hyperlink>
          </w:p>
        </w:tc>
        <w:tc>
          <w:tcPr>
            <w:tcW w:w="54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336" w:before="0" w:after="180"/>
              <w:jc w:val="right"/>
              <w:rPr/>
            </w:pPr>
            <w:r>
              <w:rPr>
                <w:rFonts w:ascii="Graphik Light;sans-serif" w:hAnsi="Graphik Light;sans-serif"/>
                <w:b w:val="false"/>
                <w:color w:val="1D1D1D"/>
                <w:sz w:val="18"/>
              </w:rPr>
              <w:t>A-</w:t>
            </w:r>
            <w:hyperlink w:anchor="ie799047edac24c459423a0886a6e8222_127">
              <w:r>
                <w:rPr>
                  <w:rStyle w:val="InternetLink"/>
                  <w:rFonts w:ascii="Graphik Light;sans-serif" w:hAnsi="Graphik Light;sans-serif"/>
                  <w:b w:val="false"/>
                  <w:strike w:val="false"/>
                  <w:dstrike w:val="false"/>
                  <w:color w:val="1D1D1D"/>
                  <w:sz w:val="18"/>
                  <w:u w:val="none"/>
                  <w:effect w:val="none"/>
                </w:rPr>
                <w:t>1</w:t>
              </w:r>
            </w:hyperlink>
          </w:p>
        </w:tc>
        <w:tc>
          <w:tcPr>
            <w:tcW w:w="374"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4"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Proxy Statement Summary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This summary highlights information contained elsewhere in this proxy statement. You should read the entire proxy statement before voting. </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Meeting Details</w:t>
      </w:r>
    </w:p>
    <w:tbl>
      <w:tblPr>
        <w:tblW w:w="1797" w:type="dxa"/>
        <w:jc w:val="left"/>
        <w:tblInd w:w="0" w:type="dxa"/>
        <w:tblLayout w:type="fixed"/>
        <w:tblCellMar>
          <w:top w:w="28" w:type="dxa"/>
          <w:left w:w="28" w:type="dxa"/>
          <w:bottom w:w="28" w:type="dxa"/>
          <w:right w:w="28" w:type="dxa"/>
        </w:tblCellMar>
      </w:tblPr>
      <w:tblGrid>
        <w:gridCol w:w="124"/>
        <w:gridCol w:w="109"/>
        <w:gridCol w:w="109"/>
        <w:gridCol w:w="425"/>
        <w:gridCol w:w="425"/>
        <w:gridCol w:w="6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 cy="1524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42875" cy="152400"/>
                          </a:xfrm>
                          <a:prstGeom prst="rect">
                            <a:avLst/>
                          </a:prstGeom>
                        </pic:spPr>
                      </pic:pic>
                    </a:graphicData>
                  </a:graphic>
                </wp:inline>
              </w:drawing>
            </w:r>
          </w:p>
        </w:tc>
        <w:tc>
          <w:tcPr>
            <w:tcW w:w="145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Tuesday, </w:t>
            </w:r>
          </w:p>
          <w:p>
            <w:pPr>
              <w:pStyle w:val="TableContents"/>
              <w:bidi w:val="0"/>
              <w:spacing w:lineRule="auto" w:line="336" w:before="0" w:after="240"/>
              <w:jc w:val="left"/>
              <w:rPr>
                <w:rFonts w:ascii="Graphik;sans-serif" w:hAnsi="Graphik;sans-serif"/>
                <w:b w:val="false"/>
                <w:color w:val="1D1D1D"/>
                <w:sz w:val="18"/>
              </w:rPr>
            </w:pPr>
            <w:r>
              <w:rPr>
                <w:rFonts w:ascii="Graphik;sans-serif" w:hAnsi="Graphik;sans-serif"/>
                <w:b w:val="false"/>
                <w:color w:val="1D1D1D"/>
                <w:sz w:val="18"/>
              </w:rPr>
              <w:t>June 17, 2025</w:t>
            </w:r>
          </w:p>
        </w:tc>
      </w:tr>
    </w:tbl>
    <w:tbl>
      <w:tblPr>
        <w:tblW w:w="2202" w:type="dxa"/>
        <w:jc w:val="left"/>
        <w:tblInd w:w="0" w:type="dxa"/>
        <w:tblLayout w:type="fixed"/>
        <w:tblCellMar>
          <w:top w:w="28" w:type="dxa"/>
          <w:left w:w="28" w:type="dxa"/>
          <w:bottom w:w="28" w:type="dxa"/>
          <w:right w:w="28" w:type="dxa"/>
        </w:tblCellMar>
      </w:tblPr>
      <w:tblGrid>
        <w:gridCol w:w="124"/>
        <w:gridCol w:w="109"/>
        <w:gridCol w:w="109"/>
        <w:gridCol w:w="543"/>
        <w:gridCol w:w="543"/>
        <w:gridCol w:w="7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52400" cy="152400"/>
                          </a:xfrm>
                          <a:prstGeom prst="rect">
                            <a:avLst/>
                          </a:prstGeom>
                        </pic:spPr>
                      </pic:pic>
                    </a:graphicData>
                  </a:graphic>
                </wp:inline>
              </w:drawing>
            </w:r>
          </w:p>
        </w:tc>
        <w:tc>
          <w:tcPr>
            <w:tcW w:w="186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Time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 xml:space="preserve">10:00 a.m. Pacific </w:t>
            </w:r>
          </w:p>
          <w:p>
            <w:pPr>
              <w:pStyle w:val="TableContents"/>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Daylight Time</w:t>
            </w:r>
          </w:p>
        </w:tc>
      </w:tr>
    </w:tbl>
    <w:tbl>
      <w:tblPr>
        <w:tblW w:w="5756" w:type="dxa"/>
        <w:jc w:val="left"/>
        <w:tblInd w:w="0" w:type="dxa"/>
        <w:tblLayout w:type="fixed"/>
        <w:tblCellMar>
          <w:top w:w="28" w:type="dxa"/>
          <w:left w:w="28" w:type="dxa"/>
          <w:bottom w:w="28" w:type="dxa"/>
          <w:right w:w="28" w:type="dxa"/>
        </w:tblCellMar>
      </w:tblPr>
      <w:tblGrid>
        <w:gridCol w:w="124"/>
        <w:gridCol w:w="109"/>
        <w:gridCol w:w="109"/>
        <w:gridCol w:w="1585"/>
        <w:gridCol w:w="1585"/>
        <w:gridCol w:w="2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7145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33350" cy="171450"/>
                          </a:xfrm>
                          <a:prstGeom prst="rect">
                            <a:avLst/>
                          </a:prstGeom>
                        </pic:spPr>
                      </pic:pic>
                    </a:graphicData>
                  </a:graphic>
                </wp:inline>
              </w:drawing>
            </w:r>
          </w:p>
        </w:tc>
        <w:tc>
          <w:tcPr>
            <w:tcW w:w="541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Location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sans-serif" w:hAnsi="Graphik;sans-serif"/>
                <w:b w:val="false"/>
                <w:color w:val="1D1D1D"/>
                <w:sz w:val="18"/>
              </w:rPr>
            </w:pPr>
            <w:r>
              <w:rPr>
                <w:rFonts w:ascii="Graphik;sans-serif" w:hAnsi="Graphik;sans-serif"/>
                <w:b w:val="false"/>
                <w:color w:val="1D1D1D"/>
                <w:sz w:val="18"/>
              </w:rPr>
              <w:t>Online at www.virtual shareholdermeeting.com/VCYT2025</w:t>
            </w:r>
          </w:p>
        </w:tc>
      </w:tr>
    </w:tbl>
    <w:tbl>
      <w:tblPr>
        <w:tblW w:w="3672" w:type="dxa"/>
        <w:jc w:val="left"/>
        <w:tblInd w:w="0" w:type="dxa"/>
        <w:tblLayout w:type="fixed"/>
        <w:tblCellMar>
          <w:top w:w="28" w:type="dxa"/>
          <w:left w:w="28" w:type="dxa"/>
          <w:bottom w:w="28" w:type="dxa"/>
          <w:right w:w="28" w:type="dxa"/>
        </w:tblCellMar>
      </w:tblPr>
      <w:tblGrid>
        <w:gridCol w:w="124"/>
        <w:gridCol w:w="109"/>
        <w:gridCol w:w="109"/>
        <w:gridCol w:w="973"/>
        <w:gridCol w:w="973"/>
        <w:gridCol w:w="13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52400" cy="152400"/>
                          </a:xfrm>
                          <a:prstGeom prst="rect">
                            <a:avLst/>
                          </a:prstGeom>
                        </pic:spPr>
                      </pic:pic>
                    </a:graphicData>
                  </a:graphic>
                </wp:inline>
              </w:drawing>
            </w:r>
          </w:p>
        </w:tc>
        <w:tc>
          <w:tcPr>
            <w:tcW w:w="333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Record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sans-serif" w:hAnsi="Graphik;sans-serif"/>
                <w:b w:val="false"/>
                <w:color w:val="1D1D1D"/>
                <w:sz w:val="18"/>
              </w:rPr>
            </w:pPr>
            <w:r>
              <w:rPr>
                <w:rFonts w:ascii="Graphik;sans-serif" w:hAnsi="Graphik;sans-serif"/>
                <w:b w:val="false"/>
                <w:color w:val="1D1D1D"/>
                <w:sz w:val="18"/>
              </w:rPr>
              <w:t>Close of business on April 21, 2025</w:t>
            </w:r>
          </w:p>
        </w:tc>
      </w:tr>
    </w:tbl>
    <w:p>
      <w:pPr>
        <w:pStyle w:val="TextBody"/>
        <w:bidi w:val="0"/>
        <w:spacing w:lineRule="auto" w:line="288" w:before="260" w:after="180"/>
        <w:jc w:val="left"/>
        <w:rPr>
          <w:rFonts w:ascii="Graphik Medium;sans-serif" w:hAnsi="Graphik Medium;sans-serif"/>
          <w:b w:val="false"/>
          <w:color w:val="1D1D1D"/>
          <w:sz w:val="30"/>
        </w:rPr>
      </w:pPr>
      <w:r>
        <w:rPr>
          <w:rFonts w:ascii="Graphik Medium;sans-serif" w:hAnsi="Graphik Medium;sans-serif"/>
          <w:b w:val="false"/>
          <w:color w:val="1D1D1D"/>
          <w:sz w:val="30"/>
        </w:rPr>
        <w:t>How to Vote</w:t>
      </w:r>
    </w:p>
    <w:tbl>
      <w:tblPr>
        <w:tblW w:w="4017" w:type="dxa"/>
        <w:jc w:val="left"/>
        <w:tblInd w:w="0" w:type="dxa"/>
        <w:tblLayout w:type="fixed"/>
        <w:tblCellMar>
          <w:top w:w="28" w:type="dxa"/>
          <w:left w:w="28" w:type="dxa"/>
          <w:bottom w:w="28" w:type="dxa"/>
          <w:right w:w="28" w:type="dxa"/>
        </w:tblCellMar>
      </w:tblPr>
      <w:tblGrid>
        <w:gridCol w:w="124"/>
        <w:gridCol w:w="109"/>
        <w:gridCol w:w="109"/>
        <w:gridCol w:w="1076"/>
        <w:gridCol w:w="1076"/>
        <w:gridCol w:w="1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52400" cy="152400"/>
                          </a:xfrm>
                          <a:prstGeom prst="rect">
                            <a:avLst/>
                          </a:prstGeom>
                        </pic:spPr>
                      </pic:pic>
                    </a:graphicData>
                  </a:graphic>
                </wp:inline>
              </w:drawing>
            </w:r>
          </w:p>
        </w:tc>
        <w:tc>
          <w:tcPr>
            <w:tcW w:w="367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By Phone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sans-serif" w:hAnsi="Graphik;sans-serif"/>
                <w:b w:val="false"/>
                <w:color w:val="1D1D1D"/>
                <w:sz w:val="18"/>
              </w:rPr>
            </w:pPr>
            <w:r>
              <w:rPr>
                <w:rFonts w:ascii="Graphik;sans-serif" w:hAnsi="Graphik;sans-serif"/>
                <w:b w:val="false"/>
                <w:color w:val="1D1D1D"/>
                <w:sz w:val="18"/>
              </w:rPr>
              <w:t>Call 1-800-690-6903 by June 16, 2025</w:t>
            </w:r>
          </w:p>
        </w:tc>
      </w:tr>
    </w:tbl>
    <w:tbl>
      <w:tblPr>
        <w:tblW w:w="7930" w:type="dxa"/>
        <w:jc w:val="left"/>
        <w:tblInd w:w="0" w:type="dxa"/>
        <w:tblLayout w:type="fixed"/>
        <w:tblCellMar>
          <w:top w:w="28" w:type="dxa"/>
          <w:left w:w="28" w:type="dxa"/>
          <w:bottom w:w="28" w:type="dxa"/>
          <w:right w:w="28" w:type="dxa"/>
        </w:tblCellMar>
      </w:tblPr>
      <w:tblGrid>
        <w:gridCol w:w="129"/>
        <w:gridCol w:w="113"/>
        <w:gridCol w:w="114"/>
        <w:gridCol w:w="2208"/>
        <w:gridCol w:w="2208"/>
        <w:gridCol w:w="3158"/>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r>
      <w:tr>
        <w:trPr/>
        <w:tc>
          <w:tcPr>
            <w:tcW w:w="3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1925" cy="13335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61925" cy="133350"/>
                          </a:xfrm>
                          <a:prstGeom prst="rect">
                            <a:avLst/>
                          </a:prstGeom>
                        </pic:spPr>
                      </pic:pic>
                    </a:graphicData>
                  </a:graphic>
                </wp:inline>
              </w:drawing>
            </w:r>
          </w:p>
        </w:tc>
        <w:tc>
          <w:tcPr>
            <w:tcW w:w="757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By Mail</w:t>
            </w:r>
          </w:p>
        </w:tc>
      </w:tr>
      <w:tr>
        <w:trPr/>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sans-serif" w:hAnsi="Graphik;sans-serif"/>
                <w:b w:val="false"/>
                <w:color w:val="1D1D1D"/>
                <w:sz w:val="18"/>
              </w:rPr>
            </w:pPr>
            <w:r>
              <w:rPr>
                <w:rFonts w:ascii="Graphik;sans-serif" w:hAnsi="Graphik;sans-serif"/>
                <w:b w:val="false"/>
                <w:color w:val="1D1D1D"/>
                <w:sz w:val="18"/>
              </w:rPr>
              <w:t>Sign, date and return your proxy card in the enclosed envelope by June 16, 2025</w:t>
            </w:r>
          </w:p>
        </w:tc>
      </w:tr>
    </w:tbl>
    <w:tbl>
      <w:tblPr>
        <w:tblW w:w="4107" w:type="dxa"/>
        <w:jc w:val="left"/>
        <w:tblInd w:w="0" w:type="dxa"/>
        <w:tblLayout w:type="fixed"/>
        <w:tblCellMar>
          <w:top w:w="28" w:type="dxa"/>
          <w:left w:w="28" w:type="dxa"/>
          <w:bottom w:w="28" w:type="dxa"/>
          <w:right w:w="28" w:type="dxa"/>
        </w:tblCellMar>
      </w:tblPr>
      <w:tblGrid>
        <w:gridCol w:w="124"/>
        <w:gridCol w:w="109"/>
        <w:gridCol w:w="109"/>
        <w:gridCol w:w="1101"/>
        <w:gridCol w:w="1101"/>
        <w:gridCol w:w="15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5240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52400" cy="152400"/>
                          </a:xfrm>
                          <a:prstGeom prst="rect">
                            <a:avLst/>
                          </a:prstGeom>
                        </pic:spPr>
                      </pic:pic>
                    </a:graphicData>
                  </a:graphic>
                </wp:inline>
              </w:drawing>
            </w:r>
          </w:p>
        </w:tc>
        <w:tc>
          <w:tcPr>
            <w:tcW w:w="376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By Internet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sans-serif" w:hAnsi="Graphik;sans-serif"/>
                <w:b w:val="false"/>
                <w:color w:val="1D1D1D"/>
                <w:sz w:val="18"/>
              </w:rPr>
            </w:pPr>
            <w:r>
              <w:rPr>
                <w:rFonts w:ascii="Graphik;sans-serif" w:hAnsi="Graphik;sans-serif"/>
                <w:b w:val="false"/>
                <w:color w:val="1D1D1D"/>
                <w:sz w:val="18"/>
              </w:rPr>
              <w:t>Visit proxyvote.com until June 16, 2025</w:t>
            </w:r>
          </w:p>
        </w:tc>
      </w:tr>
    </w:tbl>
    <w:tbl>
      <w:tblPr>
        <w:tblW w:w="6235" w:type="dxa"/>
        <w:jc w:val="left"/>
        <w:tblInd w:w="0" w:type="dxa"/>
        <w:tblLayout w:type="fixed"/>
        <w:tblCellMar>
          <w:top w:w="28" w:type="dxa"/>
          <w:left w:w="28" w:type="dxa"/>
          <w:bottom w:w="28" w:type="dxa"/>
          <w:right w:w="28" w:type="dxa"/>
        </w:tblCellMar>
      </w:tblPr>
      <w:tblGrid>
        <w:gridCol w:w="134"/>
        <w:gridCol w:w="118"/>
        <w:gridCol w:w="119"/>
        <w:gridCol w:w="1712"/>
        <w:gridCol w:w="1712"/>
        <w:gridCol w:w="2440"/>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 cy="133350"/>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71450" cy="133350"/>
                          </a:xfrm>
                          <a:prstGeom prst="rect">
                            <a:avLst/>
                          </a:prstGeom>
                        </pic:spPr>
                      </pic:pic>
                    </a:graphicData>
                  </a:graphic>
                </wp:inline>
              </w:drawing>
            </w:r>
          </w:p>
        </w:tc>
        <w:tc>
          <w:tcPr>
            <w:tcW w:w="5864"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Virtually</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4"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Graphik;sans-serif" w:hAnsi="Graphik;sans-serif"/>
                <w:b w:val="false"/>
                <w:color w:val="1D1D1D"/>
                <w:sz w:val="18"/>
              </w:rPr>
            </w:pPr>
            <w:r>
              <w:rPr>
                <w:rFonts w:ascii="Graphik;sans-serif" w:hAnsi="Graphik;sans-serif"/>
                <w:b w:val="false"/>
                <w:color w:val="1D1D1D"/>
                <w:sz w:val="18"/>
              </w:rPr>
              <w:t>Attend the annual meeting at www.virtualshareholdermeeting.</w:t>
            </w:r>
          </w:p>
          <w:p>
            <w:pPr>
              <w:pStyle w:val="TableContents"/>
              <w:bidi w:val="0"/>
              <w:spacing w:lineRule="auto" w:line="336" w:before="0" w:after="180"/>
              <w:jc w:val="left"/>
              <w:rPr>
                <w:rFonts w:ascii="Graphik;sans-serif" w:hAnsi="Graphik;sans-serif"/>
                <w:b w:val="false"/>
                <w:color w:val="1D1D1D"/>
                <w:sz w:val="18"/>
              </w:rPr>
            </w:pPr>
            <w:r>
              <w:rPr>
                <w:rFonts w:ascii="Graphik;sans-serif" w:hAnsi="Graphik;sans-serif"/>
                <w:b w:val="false"/>
                <w:color w:val="1D1D1D"/>
                <w:sz w:val="18"/>
              </w:rPr>
              <w:t>com/VCYT2025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660400"/>
                <wp:effectExtent l="0" t="0" r="0" b="0"/>
                <wp:wrapNone/>
                <wp:docPr id="24" name="Frame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Proxy Statement Summary</w:t>
      </w:r>
    </w:p>
    <w:p>
      <w:pPr>
        <w:pStyle w:val="TextBody"/>
        <w:bidi w:val="0"/>
        <w:spacing w:lineRule="auto" w:line="288" w:before="0" w:after="0"/>
        <w:jc w:val="left"/>
        <w:rPr>
          <w:rFonts w:ascii="Graphik Medium;sans-serif" w:hAnsi="Graphik Medium;sans-serif"/>
          <w:b w:val="false"/>
          <w:color w:val="1D1D1D"/>
          <w:sz w:val="30"/>
        </w:rPr>
      </w:pPr>
      <w:r>
        <w:rPr>
          <w:rFonts w:ascii="Graphik Medium;sans-serif" w:hAnsi="Graphik Medium;sans-serif"/>
          <w:b w:val="false"/>
          <w:color w:val="1D1D1D"/>
          <w:sz w:val="30"/>
        </w:rPr>
        <w:t>Agenda and Voting Recommendations</w:t>
      </w:r>
    </w:p>
    <w:tbl>
      <w:tblPr>
        <w:tblW w:w="10205" w:type="dxa"/>
        <w:jc w:val="left"/>
        <w:tblInd w:w="0" w:type="dxa"/>
        <w:tblLayout w:type="fixed"/>
        <w:tblCellMar>
          <w:top w:w="28" w:type="dxa"/>
          <w:left w:w="28" w:type="dxa"/>
          <w:bottom w:w="28" w:type="dxa"/>
          <w:right w:w="28" w:type="dxa"/>
        </w:tblCellMar>
      </w:tblPr>
      <w:tblGrid>
        <w:gridCol w:w="582"/>
        <w:gridCol w:w="512"/>
        <w:gridCol w:w="513"/>
        <w:gridCol w:w="109"/>
        <w:gridCol w:w="109"/>
        <w:gridCol w:w="109"/>
        <w:gridCol w:w="577"/>
        <w:gridCol w:w="577"/>
        <w:gridCol w:w="577"/>
        <w:gridCol w:w="1082"/>
        <w:gridCol w:w="577"/>
        <w:gridCol w:w="577"/>
        <w:gridCol w:w="700"/>
        <w:gridCol w:w="577"/>
        <w:gridCol w:w="577"/>
        <w:gridCol w:w="1043"/>
        <w:gridCol w:w="577"/>
        <w:gridCol w:w="830"/>
      </w:tblGrid>
      <w:tr>
        <w:trPr/>
        <w:tc>
          <w:tcPr>
            <w:tcW w:w="58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sans-serif" w:hAnsi="Graphik;sans-serif"/>
                <w:b/>
                <w:color w:val="FFFFFF"/>
                <w:sz w:val="22"/>
              </w:rPr>
            </w:pPr>
            <w:r>
              <w:rPr>
                <w:rFonts w:ascii="Graphik;sans-serif" w:hAnsi="Graphik;sans-serif"/>
                <w:b/>
                <w:color w:val="FFFFFF"/>
                <w:sz w:val="22"/>
              </w:rPr>
              <w:t>PROPOSAL NO.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12"/>
            <w:tcBorders/>
            <w:tcMar>
              <w:top w:w="0" w:type="dxa"/>
              <w:left w:w="0" w:type="dxa"/>
              <w:bottom w:w="0" w:type="dxa"/>
              <w:right w:w="0" w:type="dxa"/>
            </w:tcMar>
            <w:vAlign w:val="center"/>
          </w:tcPr>
          <w:p>
            <w:pPr>
              <w:pStyle w:val="TableContents"/>
              <w:bidi w:val="0"/>
              <w:spacing w:lineRule="auto" w:line="336"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Election of Directors</w:t>
            </w:r>
          </w:p>
        </w:tc>
      </w:tr>
      <w:tr>
        <w:trPr/>
        <w:tc>
          <w:tcPr>
            <w:tcW w:w="16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vMerge w:val="restart"/>
            <w:tcBorders/>
            <w:shd w:fill="D1ECF7"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66700" cy="266700"/>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266700" cy="266700"/>
                          </a:xfrm>
                          <a:prstGeom prst="rect">
                            <a:avLst/>
                          </a:prstGeom>
                        </pic:spPr>
                      </pic:pic>
                    </a:graphicData>
                  </a:graphic>
                </wp:inline>
              </w:drawing>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Our Board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of Directors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recommends a </w:t>
            </w:r>
          </w:p>
          <w:p>
            <w:pPr>
              <w:pStyle w:val="TableContents"/>
              <w:bidi w:val="0"/>
              <w:spacing w:lineRule="auto" w:line="336" w:before="0" w:after="0"/>
              <w:jc w:val="center"/>
              <w:rPr/>
            </w:pPr>
            <w:r>
              <w:rPr>
                <w:rFonts w:ascii="Graphik Medium;sans-serif" w:hAnsi="Graphik Medium;sans-serif"/>
                <w:b w:val="false"/>
                <w:color w:val="1D1D1D"/>
                <w:sz w:val="20"/>
              </w:rPr>
              <w:t xml:space="preserve">vote </w:t>
            </w:r>
            <w:r>
              <w:rPr>
                <w:rFonts w:ascii="Graphik;sans-serif" w:hAnsi="Graphik;sans-serif"/>
                <w:b/>
                <w:color w:val="8E4FBE"/>
                <w:sz w:val="20"/>
              </w:rPr>
              <w:t>FOR</w:t>
            </w:r>
            <w:r>
              <w:rPr>
                <w:color w:val="1D1D1D"/>
              </w:rPr>
              <w:t xml:space="preserve"> </w:t>
            </w:r>
            <w:r>
              <w:rPr>
                <w:rFonts w:ascii="Graphik Medium;sans-serif" w:hAnsi="Graphik Medium;sans-serif"/>
                <w:b w:val="false"/>
                <w:color w:val="1D1D1D"/>
                <w:sz w:val="20"/>
              </w:rPr>
              <w:t xml:space="preserve">this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12"/>
            <w:tcBorders/>
            <w:tcMar>
              <w:top w:w="0" w:type="dxa"/>
              <w:left w:w="0" w:type="dxa"/>
              <w:bottom w:w="0" w:type="dxa"/>
              <w:right w:w="0" w:type="dxa"/>
            </w:tcMar>
            <w:vAlign w:val="center"/>
          </w:tcPr>
          <w:p>
            <w:pPr>
              <w:pStyle w:val="TableContents"/>
              <w:bidi w:val="0"/>
              <w:spacing w:lineRule="auto" w:line="336" w:before="0" w:after="180"/>
              <w:jc w:val="left"/>
              <w:rPr/>
            </w:pPr>
            <w:r>
              <w:rPr>
                <w:rFonts w:ascii="Graphik Light;sans-serif" w:hAnsi="Graphik Light;sans-serif"/>
                <w:b w:val="false"/>
                <w:color w:val="1D1D1D"/>
                <w:sz w:val="18"/>
              </w:rPr>
              <w:t xml:space="preserve">We are asking our stockholders to elect seven directors for a one-year term expiring at the 2026 Annual Meeting of Stockholders and until such director or director’s successor is duly elected and qualified. The table below sets forth information with respect to our seven nominees standing for re-election. All of the nominees are currently serving as directors. Additional information about our director nominees and their respective qualifications can be found under the section titled </w:t>
            </w:r>
            <w:r>
              <w:rPr>
                <w:color w:val="1D1D1D"/>
              </w:rPr>
              <w:t>“</w:t>
            </w:r>
            <w:r>
              <w:rPr>
                <w:rFonts w:ascii="Graphik Light;sans-serif" w:hAnsi="Graphik Light;sans-serif"/>
                <w:b w:val="false"/>
                <w:i/>
                <w:color w:val="1D1D1D"/>
                <w:sz w:val="18"/>
              </w:rPr>
              <w:t>Proposal No. 1 Election of Directors—Directors and Nominees.”</w:t>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185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Age</w:t>
            </w:r>
          </w:p>
        </w:tc>
        <w:tc>
          <w:tcPr>
            <w:tcW w:w="245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Director Since</w:t>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Eliav Barr</w:t>
            </w:r>
          </w:p>
        </w:tc>
        <w:tc>
          <w:tcPr>
            <w:tcW w:w="185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60</w:t>
            </w:r>
          </w:p>
        </w:tc>
        <w:tc>
          <w:tcPr>
            <w:tcW w:w="2450"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2022</w:t>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Muna Bhanji</w:t>
            </w:r>
          </w:p>
        </w:tc>
        <w:tc>
          <w:tcPr>
            <w:tcW w:w="185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62</w:t>
            </w:r>
          </w:p>
        </w:tc>
        <w:tc>
          <w:tcPr>
            <w:tcW w:w="245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2021</w:t>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Karin Eastham</w:t>
            </w:r>
          </w:p>
        </w:tc>
        <w:tc>
          <w:tcPr>
            <w:tcW w:w="185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75</w:t>
            </w:r>
          </w:p>
        </w:tc>
        <w:tc>
          <w:tcPr>
            <w:tcW w:w="245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2012</w:t>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 xml:space="preserve">Jens Holstein </w:t>
            </w:r>
          </w:p>
        </w:tc>
        <w:tc>
          <w:tcPr>
            <w:tcW w:w="185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61</w:t>
            </w:r>
          </w:p>
        </w:tc>
        <w:tc>
          <w:tcPr>
            <w:tcW w:w="245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2020</w:t>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Tom Miller</w:t>
            </w:r>
          </w:p>
        </w:tc>
        <w:tc>
          <w:tcPr>
            <w:tcW w:w="185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46</w:t>
            </w:r>
          </w:p>
        </w:tc>
        <w:tc>
          <w:tcPr>
            <w:tcW w:w="245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Brent Shafer</w:t>
            </w:r>
          </w:p>
        </w:tc>
        <w:tc>
          <w:tcPr>
            <w:tcW w:w="185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67</w:t>
            </w:r>
          </w:p>
        </w:tc>
        <w:tc>
          <w:tcPr>
            <w:tcW w:w="245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185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55</w:t>
            </w:r>
          </w:p>
        </w:tc>
        <w:tc>
          <w:tcPr>
            <w:tcW w:w="2450"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2021</w:t>
            </w:r>
          </w:p>
        </w:tc>
      </w:tr>
      <w:tr>
        <w:trPr/>
        <w:tc>
          <w:tcPr>
            <w:tcW w:w="1607"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12"/>
            <w:tcBorders>
              <w:top w:val="single" w:sz="8" w:space="0" w:color="005CBA"/>
            </w:tcBorders>
            <w:tcMar>
              <w:top w:w="30" w:type="dxa"/>
              <w:left w:w="0" w:type="dxa"/>
              <w:bottom w:w="0" w:type="dxa"/>
              <w:right w:w="0" w:type="dxa"/>
            </w:tcMar>
            <w:vAlign w:val="center"/>
          </w:tcPr>
          <w:p>
            <w:pPr>
              <w:pStyle w:val="TableContents"/>
              <w:bidi w:val="0"/>
              <w:spacing w:lineRule="auto" w:line="336" w:before="0" w:after="180"/>
              <w:jc w:val="left"/>
              <w:rPr/>
            </w:pPr>
            <w:r>
              <w:rPr>
                <w:rFonts w:ascii="Graphik Light;sans-serif" w:hAnsi="Graphik Light;sans-serif"/>
                <w:b w:val="false"/>
                <w:color w:val="1D1D1D"/>
                <w:sz w:val="18"/>
              </w:rPr>
              <w:t xml:space="preserve">For more information on Proposal No. 1, please see </w:t>
            </w:r>
            <w:r>
              <w:rPr>
                <w:rFonts w:ascii="Graphik;sans-serif" w:hAnsi="Graphik;sans-serif"/>
                <w:b w:val="false"/>
                <w:color w:val="4C0980"/>
                <w:sz w:val="18"/>
              </w:rPr>
              <w:t xml:space="preserve">page </w:t>
            </w:r>
            <w:hyperlink w:anchor="ie799047edac24c459423a0886a6e8222_19">
              <w:r>
                <w:rPr>
                  <w:rStyle w:val="InternetLink"/>
                  <w:rFonts w:ascii="Graphik;sans-serif" w:hAnsi="Graphik;sans-serif"/>
                  <w:b w:val="false"/>
                  <w:color w:val="000080"/>
                  <w:sz w:val="18"/>
                </w:rPr>
                <w:t>7</w:t>
              </w:r>
            </w:hyperlink>
            <w:r>
              <w:rPr>
                <w:rFonts w:ascii="Graphik;sans-serif" w:hAnsi="Graphik;sans-serif"/>
                <w:b w:val="false"/>
                <w:color w:val="4C0980"/>
                <w:sz w:val="18"/>
              </w:rPr>
              <w:t>.</w:t>
            </w:r>
          </w:p>
        </w:tc>
      </w:tr>
    </w:tbl>
    <w:tbl>
      <w:tblPr>
        <w:tblW w:w="10205" w:type="dxa"/>
        <w:jc w:val="left"/>
        <w:tblInd w:w="0" w:type="dxa"/>
        <w:tblLayout w:type="fixed"/>
        <w:tblCellMar>
          <w:top w:w="28" w:type="dxa"/>
          <w:left w:w="28" w:type="dxa"/>
          <w:bottom w:w="28" w:type="dxa"/>
          <w:right w:w="28" w:type="dxa"/>
        </w:tblCellMar>
      </w:tblPr>
      <w:tblGrid>
        <w:gridCol w:w="634"/>
        <w:gridCol w:w="558"/>
        <w:gridCol w:w="559"/>
        <w:gridCol w:w="109"/>
        <w:gridCol w:w="109"/>
        <w:gridCol w:w="109"/>
        <w:gridCol w:w="333"/>
        <w:gridCol w:w="333"/>
        <w:gridCol w:w="333"/>
        <w:gridCol w:w="777"/>
        <w:gridCol w:w="742"/>
        <w:gridCol w:w="742"/>
        <w:gridCol w:w="742"/>
        <w:gridCol w:w="742"/>
        <w:gridCol w:w="742"/>
        <w:gridCol w:w="742"/>
        <w:gridCol w:w="742"/>
        <w:gridCol w:w="780"/>
        <w:gridCol w:w="109"/>
        <w:gridCol w:w="109"/>
        <w:gridCol w:w="159"/>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sans-serif" w:hAnsi="Graphik;sans-serif"/>
                <w:b/>
                <w:color w:val="FFFFFF"/>
                <w:sz w:val="22"/>
              </w:rPr>
            </w:pPr>
            <w:r>
              <w:rPr>
                <w:rFonts w:ascii="Graphik;sans-serif" w:hAnsi="Graphik;sans-serif"/>
                <w:b/>
                <w:color w:val="FFFFFF"/>
                <w:sz w:val="22"/>
              </w:rPr>
              <w:t>PROPOSAL NO.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12"/>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Ratification of Appointment of Independent Registered Public Accounting Firm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12"/>
            <w:vMerge w:val="continue"/>
            <w:tcBorders/>
            <w:tcMar>
              <w:top w:w="0" w:type="dxa"/>
              <w:left w:w="0" w:type="dxa"/>
              <w:bottom w:w="0" w:type="dxa"/>
              <w:right w:w="0" w:type="dxa"/>
            </w:tcMar>
            <w:vAlign w:val="center"/>
          </w:tcPr>
          <w:p>
            <w:pPr>
              <w:pStyle w:val="Normal"/>
              <w:bidi w:val="0"/>
              <w:jc w:val="left"/>
              <w:rPr/>
            </w:pPr>
            <w:r>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vMerge w:val="restart"/>
            <w:tcBorders/>
            <w:shd w:fill="D1ECF7"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66700" cy="266700"/>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266700" cy="266700"/>
                          </a:xfrm>
                          <a:prstGeom prst="rect">
                            <a:avLst/>
                          </a:prstGeom>
                        </pic:spPr>
                      </pic:pic>
                    </a:graphicData>
                  </a:graphic>
                </wp:inline>
              </w:drawing>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Our Board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of Directors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recommends a </w:t>
            </w:r>
          </w:p>
          <w:p>
            <w:pPr>
              <w:pStyle w:val="TableContents"/>
              <w:bidi w:val="0"/>
              <w:spacing w:lineRule="auto" w:line="336" w:before="0" w:after="0"/>
              <w:jc w:val="center"/>
              <w:rPr/>
            </w:pPr>
            <w:r>
              <w:rPr>
                <w:rFonts w:ascii="Graphik Medium;sans-serif" w:hAnsi="Graphik Medium;sans-serif"/>
                <w:b w:val="false"/>
                <w:color w:val="1D1D1D"/>
                <w:sz w:val="20"/>
              </w:rPr>
              <w:t xml:space="preserve">vote </w:t>
            </w:r>
            <w:r>
              <w:rPr>
                <w:rFonts w:ascii="Graphik;sans-serif" w:hAnsi="Graphik;sans-serif"/>
                <w:b/>
                <w:color w:val="8E4FBE"/>
                <w:sz w:val="20"/>
              </w:rPr>
              <w:t>FOR</w:t>
            </w:r>
            <w:r>
              <w:rPr>
                <w:color w:val="1D1D1D"/>
              </w:rPr>
              <w:t xml:space="preserve"> </w:t>
            </w:r>
            <w:r>
              <w:rPr>
                <w:rFonts w:ascii="Graphik Medium;sans-serif" w:hAnsi="Graphik Medium;sans-serif"/>
                <w:b w:val="false"/>
                <w:color w:val="1D1D1D"/>
                <w:sz w:val="20"/>
              </w:rPr>
              <w:t xml:space="preserve">this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1" w:type="dxa"/>
            <w:gridSpan w:val="9"/>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are asking our stockholders to ratify the Audit Committee’s appointment of Ernst &amp; Young LLP as our independent registered public accounting firm for the year ending December 31, 2025. </w:t>
            </w:r>
          </w:p>
          <w:p>
            <w:pPr>
              <w:pStyle w:val="TableContents"/>
              <w:bidi w:val="0"/>
              <w:spacing w:lineRule="auto" w:line="336" w:before="0" w:after="180"/>
              <w:jc w:val="left"/>
              <w:rPr/>
            </w:pPr>
            <w:r>
              <w:rPr>
                <w:rFonts w:ascii="Graphik Light;sans-serif" w:hAnsi="Graphik Light;sans-serif"/>
                <w:b w:val="false"/>
                <w:color w:val="1D1D1D"/>
                <w:sz w:val="18"/>
              </w:rPr>
              <w:t>Information regarding fees paid to Ernst &amp; Young LLP during 2024 and 2023 can be found under the section titled</w:t>
            </w:r>
            <w:r>
              <w:rPr>
                <w:color w:val="1D1D1D"/>
              </w:rPr>
              <w:t xml:space="preserve"> “</w:t>
            </w:r>
            <w:r>
              <w:rPr>
                <w:rFonts w:ascii="Graphik Light;sans-serif" w:hAnsi="Graphik Light;sans-serif"/>
                <w:b w:val="false"/>
                <w:i/>
                <w:color w:val="1D1D1D"/>
                <w:sz w:val="18"/>
              </w:rPr>
              <w:t>Proposal No. 2 Ratification of Appointment of Independent Registered Public Accounting Firm.”</w:t>
            </w:r>
          </w:p>
          <w:p>
            <w:pPr>
              <w:pStyle w:val="TableContents"/>
              <w:bidi w:val="0"/>
              <w:spacing w:lineRule="auto" w:line="336" w:before="0" w:after="180"/>
              <w:jc w:val="left"/>
              <w:rPr/>
            </w:pPr>
            <w:r>
              <w:rPr>
                <w:rFonts w:ascii="Graphik Light;sans-serif" w:hAnsi="Graphik Light;sans-serif"/>
                <w:b w:val="false"/>
                <w:color w:val="1D1D1D"/>
                <w:sz w:val="18"/>
              </w:rPr>
              <w:t xml:space="preserve">For more information on Proposal No. 2, please see </w:t>
            </w:r>
            <w:r>
              <w:rPr>
                <w:rFonts w:ascii="Graphik;sans-serif" w:hAnsi="Graphik;sans-serif"/>
                <w:b w:val="false"/>
                <w:color w:val="4C0980"/>
                <w:sz w:val="18"/>
              </w:rPr>
              <w:t xml:space="preserve">page </w:t>
            </w:r>
            <w:hyperlink w:anchor="ie799047edac24c459423a0886a6e8222_52">
              <w:r>
                <w:rPr>
                  <w:rStyle w:val="InternetLink"/>
                  <w:rFonts w:ascii="Graphik;sans-serif" w:hAnsi="Graphik;sans-serif"/>
                  <w:b w:val="false"/>
                  <w:color w:val="000080"/>
                  <w:sz w:val="18"/>
                </w:rPr>
                <w:t>26</w:t>
              </w:r>
            </w:hyperlink>
            <w:r>
              <w:rPr>
                <w:rFonts w:ascii="Graphik;sans-serif" w:hAnsi="Graphik;sans-serif"/>
                <w:b w:val="false"/>
                <w:color w:val="4C0980"/>
                <w:sz w:val="18"/>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60400"/>
                <wp:effectExtent l="0" t="0" r="0" b="0"/>
                <wp:wrapNone/>
                <wp:docPr id="27" name="Frame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Proxy Statement Summary</w:t>
      </w:r>
    </w:p>
    <w:tbl>
      <w:tblPr>
        <w:tblW w:w="10205" w:type="dxa"/>
        <w:jc w:val="left"/>
        <w:tblInd w:w="0" w:type="dxa"/>
        <w:tblLayout w:type="fixed"/>
        <w:tblCellMar>
          <w:top w:w="28" w:type="dxa"/>
          <w:left w:w="28" w:type="dxa"/>
          <w:bottom w:w="28" w:type="dxa"/>
          <w:right w:w="28" w:type="dxa"/>
        </w:tblCellMar>
      </w:tblPr>
      <w:tblGrid>
        <w:gridCol w:w="648"/>
        <w:gridCol w:w="570"/>
        <w:gridCol w:w="572"/>
        <w:gridCol w:w="109"/>
        <w:gridCol w:w="109"/>
        <w:gridCol w:w="109"/>
        <w:gridCol w:w="338"/>
        <w:gridCol w:w="338"/>
        <w:gridCol w:w="338"/>
        <w:gridCol w:w="795"/>
        <w:gridCol w:w="744"/>
        <w:gridCol w:w="744"/>
        <w:gridCol w:w="744"/>
        <w:gridCol w:w="744"/>
        <w:gridCol w:w="744"/>
        <w:gridCol w:w="744"/>
        <w:gridCol w:w="744"/>
        <w:gridCol w:w="1071"/>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sans-serif" w:hAnsi="Graphik;sans-serif"/>
                <w:b/>
                <w:color w:val="FFFFFF"/>
                <w:sz w:val="22"/>
              </w:rPr>
            </w:pPr>
            <w:r>
              <w:rPr>
                <w:rFonts w:ascii="Graphik;sans-serif" w:hAnsi="Graphik;sans-serif"/>
                <w:b/>
                <w:color w:val="FFFFFF"/>
                <w:sz w:val="22"/>
              </w:rPr>
              <w:t>PROPOSAL NO.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12"/>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Advisory Vote on the Compensation of Our Named Executive Officers</w:t>
            </w:r>
          </w:p>
        </w:tc>
      </w:tr>
      <w:tr>
        <w:trPr/>
        <w:tc>
          <w:tcPr>
            <w:tcW w:w="179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12"/>
            <w:vMerge w:val="continue"/>
            <w:tcBorders/>
            <w:tcMar>
              <w:top w:w="0" w:type="dxa"/>
              <w:left w:w="0" w:type="dxa"/>
              <w:bottom w:w="0" w:type="dxa"/>
              <w:right w:w="0" w:type="dxa"/>
            </w:tcMar>
            <w:vAlign w:val="center"/>
          </w:tcPr>
          <w:p>
            <w:pPr>
              <w:pStyle w:val="Normal"/>
              <w:bidi w:val="0"/>
              <w:jc w:val="left"/>
              <w:rPr/>
            </w:pPr>
            <w:r>
              <w:rPr/>
            </w:r>
          </w:p>
        </w:tc>
      </w:tr>
      <w:tr>
        <w:trPr/>
        <w:tc>
          <w:tcPr>
            <w:tcW w:w="1790" w:type="dxa"/>
            <w:gridSpan w:val="3"/>
            <w:vMerge w:val="restart"/>
            <w:tcBorders/>
            <w:shd w:fill="D1ECF7"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66700" cy="26670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266700" cy="266700"/>
                          </a:xfrm>
                          <a:prstGeom prst="rect">
                            <a:avLst/>
                          </a:prstGeom>
                        </pic:spPr>
                      </pic:pic>
                    </a:graphicData>
                  </a:graphic>
                </wp:inline>
              </w:drawing>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Our Board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of Directors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recommends a </w:t>
            </w:r>
          </w:p>
          <w:p>
            <w:pPr>
              <w:pStyle w:val="TableContents"/>
              <w:bidi w:val="0"/>
              <w:spacing w:lineRule="auto" w:line="336" w:before="0" w:after="0"/>
              <w:jc w:val="center"/>
              <w:rPr/>
            </w:pPr>
            <w:r>
              <w:rPr>
                <w:rFonts w:ascii="Graphik Medium;sans-serif" w:hAnsi="Graphik Medium;sans-serif"/>
                <w:b w:val="false"/>
                <w:color w:val="1D1D1D"/>
                <w:sz w:val="20"/>
              </w:rPr>
              <w:t xml:space="preserve">vote </w:t>
            </w:r>
            <w:r>
              <w:rPr>
                <w:rFonts w:ascii="Graphik;sans-serif" w:hAnsi="Graphik;sans-serif"/>
                <w:b/>
                <w:color w:val="8E4FBE"/>
                <w:sz w:val="20"/>
              </w:rPr>
              <w:t>FOR</w:t>
            </w:r>
            <w:r>
              <w:rPr>
                <w:color w:val="1D1D1D"/>
              </w:rPr>
              <w:t xml:space="preserve"> </w:t>
            </w:r>
            <w:r>
              <w:rPr>
                <w:rFonts w:ascii="Graphik Medium;sans-serif" w:hAnsi="Graphik Medium;sans-serif"/>
                <w:b w:val="false"/>
                <w:color w:val="1D1D1D"/>
                <w:sz w:val="20"/>
              </w:rPr>
              <w:t xml:space="preserve">this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9"/>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are asking our stockholders to approve, on a non-binding advisory basis, the compensation paid to our named executive officers in 2024, commonly referred to as a “say on pay” vote. </w:t>
            </w:r>
          </w:p>
          <w:p>
            <w:pPr>
              <w:pStyle w:val="TableContents"/>
              <w:bidi w:val="0"/>
              <w:spacing w:lineRule="auto" w:line="336" w:before="0" w:after="180"/>
              <w:jc w:val="left"/>
              <w:rPr/>
            </w:pPr>
            <w:r>
              <w:rPr>
                <w:rFonts w:ascii="Graphik Light;sans-serif" w:hAnsi="Graphik Light;sans-serif"/>
                <w:b w:val="false"/>
                <w:color w:val="1D1D1D"/>
                <w:sz w:val="18"/>
              </w:rPr>
              <w:t xml:space="preserve">Information regarding our executive compensation philosophy and amounts paid to our named executive officers in 2024 can be found under the section titled </w:t>
            </w:r>
            <w:r>
              <w:rPr>
                <w:color w:val="1D1D1D"/>
              </w:rPr>
              <w:t>“</w:t>
            </w:r>
            <w:r>
              <w:rPr>
                <w:rFonts w:ascii="Graphik Light;sans-serif" w:hAnsi="Graphik Light;sans-serif"/>
                <w:b w:val="false"/>
                <w:i/>
                <w:color w:val="1D1D1D"/>
                <w:sz w:val="18"/>
              </w:rPr>
              <w:t>Executive Compensation.”</w:t>
            </w:r>
          </w:p>
          <w:p>
            <w:pPr>
              <w:pStyle w:val="TableContents"/>
              <w:bidi w:val="0"/>
              <w:spacing w:lineRule="auto" w:line="336" w:before="0" w:after="180"/>
              <w:jc w:val="left"/>
              <w:rPr/>
            </w:pPr>
            <w:r>
              <w:rPr>
                <w:rFonts w:ascii="Graphik Light;sans-serif" w:hAnsi="Graphik Light;sans-serif"/>
                <w:b w:val="false"/>
                <w:color w:val="1D1D1D"/>
                <w:sz w:val="18"/>
              </w:rPr>
              <w:t xml:space="preserve">For more information on Proposal No. 3, please see </w:t>
            </w:r>
            <w:r>
              <w:rPr>
                <w:rFonts w:ascii="Graphik;sans-serif" w:hAnsi="Graphik;sans-serif"/>
                <w:b w:val="false"/>
                <w:color w:val="4C0980"/>
                <w:sz w:val="18"/>
              </w:rPr>
              <w:t xml:space="preserve">page </w:t>
            </w:r>
            <w:hyperlink w:anchor="ie799047edac24c459423a0886a6e8222_64">
              <w:r>
                <w:rPr>
                  <w:rStyle w:val="InternetLink"/>
                  <w:rFonts w:ascii="Graphik;sans-serif" w:hAnsi="Graphik;sans-serif"/>
                  <w:b w:val="false"/>
                  <w:color w:val="000080"/>
                  <w:sz w:val="18"/>
                </w:rPr>
                <w:t>28</w:t>
              </w:r>
            </w:hyperlink>
            <w:r>
              <w:rPr>
                <w:rFonts w:ascii="Graphik;sans-serif" w:hAnsi="Graphik;sans-serif"/>
                <w:b w:val="false"/>
                <w:color w:val="4C0980"/>
                <w:sz w:val="18"/>
              </w:rPr>
              <w:t>.</w:t>
            </w:r>
          </w:p>
        </w:tc>
      </w:tr>
    </w:tbl>
    <w:tbl>
      <w:tblPr>
        <w:tblW w:w="10205" w:type="dxa"/>
        <w:jc w:val="left"/>
        <w:tblInd w:w="0" w:type="dxa"/>
        <w:tblLayout w:type="fixed"/>
        <w:tblCellMar>
          <w:top w:w="28" w:type="dxa"/>
          <w:left w:w="28" w:type="dxa"/>
          <w:bottom w:w="28" w:type="dxa"/>
          <w:right w:w="28" w:type="dxa"/>
        </w:tblCellMar>
      </w:tblPr>
      <w:tblGrid>
        <w:gridCol w:w="621"/>
        <w:gridCol w:w="546"/>
        <w:gridCol w:w="548"/>
        <w:gridCol w:w="109"/>
        <w:gridCol w:w="109"/>
        <w:gridCol w:w="109"/>
        <w:gridCol w:w="394"/>
        <w:gridCol w:w="394"/>
        <w:gridCol w:w="394"/>
        <w:gridCol w:w="742"/>
        <w:gridCol w:w="740"/>
        <w:gridCol w:w="740"/>
        <w:gridCol w:w="740"/>
        <w:gridCol w:w="740"/>
        <w:gridCol w:w="740"/>
        <w:gridCol w:w="740"/>
        <w:gridCol w:w="740"/>
        <w:gridCol w:w="1059"/>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sans-serif" w:hAnsi="Graphik;sans-serif"/>
                <w:b/>
                <w:color w:val="FFFFFF"/>
                <w:sz w:val="22"/>
              </w:rPr>
            </w:pPr>
            <w:r>
              <w:rPr>
                <w:rFonts w:ascii="Graphik;sans-serif" w:hAnsi="Graphik;sans-serif"/>
                <w:b/>
                <w:color w:val="FFFFFF"/>
                <w:sz w:val="22"/>
              </w:rPr>
              <w:t>PROPOSAL NO.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gridSpan w:val="12"/>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Advisory Vote on the Frequency of Future Advisory Votes on the Compensation of Our Named Executive Officers</w:t>
            </w:r>
          </w:p>
        </w:tc>
      </w:tr>
      <w:tr>
        <w:trPr/>
        <w:tc>
          <w:tcPr>
            <w:tcW w:w="171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gridSpan w:val="12"/>
            <w:vMerge w:val="continue"/>
            <w:tcBorders/>
            <w:tcMar>
              <w:top w:w="0" w:type="dxa"/>
              <w:left w:w="0" w:type="dxa"/>
              <w:bottom w:w="0" w:type="dxa"/>
              <w:right w:w="0" w:type="dxa"/>
            </w:tcMar>
            <w:vAlign w:val="center"/>
          </w:tcPr>
          <w:p>
            <w:pPr>
              <w:pStyle w:val="Normal"/>
              <w:bidi w:val="0"/>
              <w:jc w:val="left"/>
              <w:rPr/>
            </w:pPr>
            <w:r>
              <w:rPr/>
            </w:r>
          </w:p>
        </w:tc>
      </w:tr>
      <w:tr>
        <w:trPr/>
        <w:tc>
          <w:tcPr>
            <w:tcW w:w="1715" w:type="dxa"/>
            <w:gridSpan w:val="3"/>
            <w:vMerge w:val="restart"/>
            <w:tcBorders/>
            <w:shd w:fill="D1ECF7"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66700" cy="26670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266700" cy="266700"/>
                          </a:xfrm>
                          <a:prstGeom prst="rect">
                            <a:avLst/>
                          </a:prstGeom>
                        </pic:spPr>
                      </pic:pic>
                    </a:graphicData>
                  </a:graphic>
                </wp:inline>
              </w:drawing>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Our Board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of Directors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recommends a </w:t>
            </w:r>
          </w:p>
          <w:p>
            <w:pPr>
              <w:pStyle w:val="TableContents"/>
              <w:bidi w:val="0"/>
              <w:spacing w:lineRule="auto" w:line="336" w:before="0" w:after="0"/>
              <w:jc w:val="center"/>
              <w:rPr/>
            </w:pPr>
            <w:r>
              <w:rPr>
                <w:color w:val="1D1D1D"/>
              </w:rPr>
              <w:t> </w:t>
            </w:r>
            <w:r>
              <w:rPr>
                <w:rFonts w:ascii="Graphik Medium;sans-serif" w:hAnsi="Graphik Medium;sans-serif"/>
                <w:b w:val="false"/>
                <w:color w:val="1D1D1D"/>
                <w:sz w:val="20"/>
              </w:rPr>
              <w:t xml:space="preserve">selection of </w:t>
            </w:r>
            <w:r>
              <w:rPr>
                <w:color w:val="8E4FBE"/>
              </w:rPr>
              <w:t>“</w:t>
            </w:r>
            <w:r>
              <w:rPr>
                <w:rFonts w:ascii="Graphik;sans-serif" w:hAnsi="Graphik;sans-serif"/>
                <w:b/>
                <w:color w:val="8E4FBE"/>
                <w:sz w:val="20"/>
              </w:rPr>
              <w:t>ONE</w:t>
            </w:r>
          </w:p>
          <w:p>
            <w:pPr>
              <w:pStyle w:val="TableContents"/>
              <w:bidi w:val="0"/>
              <w:spacing w:lineRule="auto" w:line="336" w:before="0" w:after="0"/>
              <w:jc w:val="center"/>
              <w:rPr/>
            </w:pPr>
            <w:r>
              <w:rPr>
                <w:rFonts w:ascii="Graphik;sans-serif" w:hAnsi="Graphik;sans-serif"/>
                <w:b/>
                <w:color w:val="8E4FBE"/>
                <w:sz w:val="20"/>
              </w:rPr>
              <w:t>YEAR”</w:t>
            </w:r>
            <w:r>
              <w:rPr>
                <w:color w:val="1D1D1D"/>
              </w:rPr>
              <w:t xml:space="preserve"> </w:t>
            </w:r>
            <w:r>
              <w:rPr>
                <w:rFonts w:ascii="Graphik Medium;sans-serif" w:hAnsi="Graphik Medium;sans-serif"/>
                <w:b w:val="false"/>
                <w:color w:val="1D1D1D"/>
                <w:sz w:val="20"/>
              </w:rPr>
              <w:t>as the</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frequency with</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which we will hold a</w:t>
            </w:r>
          </w:p>
          <w:p>
            <w:pPr>
              <w:pStyle w:val="TableContents"/>
              <w:bidi w:val="0"/>
              <w:spacing w:lineRule="auto" w:line="336" w:before="0" w:after="0"/>
              <w:jc w:val="center"/>
              <w:rPr>
                <w:color w:val="1D1D1D"/>
              </w:rPr>
            </w:pPr>
            <w:r>
              <w:rPr>
                <w:color w:val="1D1D1D"/>
              </w:rPr>
              <w:t>“</w:t>
            </w:r>
            <w:r>
              <w:rPr>
                <w:rFonts w:ascii="Graphik Medium;sans-serif" w:hAnsi="Graphik Medium;sans-serif"/>
                <w:b w:val="false"/>
                <w:color w:val="1D1D1D"/>
                <w:sz w:val="20"/>
              </w:rPr>
              <w:t xml:space="preserve">say on pay” vote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9"/>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are asking our stockholders to approve, on a non-binding advisory basis, the frequency with which we will hold an advisory vote to approve the compensation of our named executive officers, commonly referred to as a “say on pay frequency” vote. </w:t>
            </w:r>
          </w:p>
          <w:p>
            <w:pPr>
              <w:pStyle w:val="TableContents"/>
              <w:bidi w:val="0"/>
              <w:spacing w:lineRule="auto" w:line="336" w:before="0" w:after="180"/>
              <w:jc w:val="left"/>
              <w:rPr/>
            </w:pPr>
            <w:r>
              <w:rPr>
                <w:rFonts w:ascii="Graphik Light;sans-serif" w:hAnsi="Graphik Light;sans-serif"/>
                <w:b w:val="false"/>
                <w:color w:val="1D1D1D"/>
                <w:sz w:val="18"/>
              </w:rPr>
              <w:t xml:space="preserve">For more information on Proposal No. 4, please see </w:t>
            </w:r>
            <w:r>
              <w:rPr>
                <w:rFonts w:ascii="Graphik;sans-serif" w:hAnsi="Graphik;sans-serif"/>
                <w:b w:val="false"/>
                <w:color w:val="4C0980"/>
                <w:sz w:val="18"/>
              </w:rPr>
              <w:t xml:space="preserve">page </w:t>
            </w:r>
            <w:hyperlink w:anchor="ie799047edac24c459423a0886a6e8222_2199023256942">
              <w:r>
                <w:rPr>
                  <w:rStyle w:val="InternetLink"/>
                  <w:rFonts w:ascii="Graphik;sans-serif" w:hAnsi="Graphik;sans-serif"/>
                  <w:b w:val="false"/>
                  <w:color w:val="000080"/>
                  <w:sz w:val="18"/>
                </w:rPr>
                <w:t>29</w:t>
              </w:r>
            </w:hyperlink>
            <w:r>
              <w:rPr>
                <w:rFonts w:ascii="Graphik;sans-serif" w:hAnsi="Graphik;sans-serif"/>
                <w:b w:val="false"/>
                <w:color w:val="4C0980"/>
                <w:sz w:val="18"/>
              </w:rPr>
              <w:t>.</w:t>
            </w:r>
          </w:p>
        </w:tc>
      </w:tr>
    </w:tbl>
    <w:tbl>
      <w:tblPr>
        <w:tblW w:w="10205" w:type="dxa"/>
        <w:jc w:val="left"/>
        <w:tblInd w:w="0" w:type="dxa"/>
        <w:tblLayout w:type="fixed"/>
        <w:tblCellMar>
          <w:top w:w="28" w:type="dxa"/>
          <w:left w:w="28" w:type="dxa"/>
          <w:bottom w:w="28" w:type="dxa"/>
          <w:right w:w="28" w:type="dxa"/>
        </w:tblCellMar>
      </w:tblPr>
      <w:tblGrid>
        <w:gridCol w:w="589"/>
        <w:gridCol w:w="518"/>
        <w:gridCol w:w="519"/>
        <w:gridCol w:w="109"/>
        <w:gridCol w:w="109"/>
        <w:gridCol w:w="109"/>
        <w:gridCol w:w="660"/>
        <w:gridCol w:w="660"/>
        <w:gridCol w:w="660"/>
        <w:gridCol w:w="660"/>
        <w:gridCol w:w="660"/>
        <w:gridCol w:w="660"/>
        <w:gridCol w:w="660"/>
        <w:gridCol w:w="660"/>
        <w:gridCol w:w="660"/>
        <w:gridCol w:w="660"/>
        <w:gridCol w:w="660"/>
        <w:gridCol w:w="992"/>
      </w:tblGrid>
      <w:tr>
        <w:trPr/>
        <w:tc>
          <w:tcPr>
            <w:tcW w:w="58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sans-serif" w:hAnsi="Graphik;sans-serif"/>
                <w:b/>
                <w:color w:val="FFFFFF"/>
                <w:sz w:val="22"/>
              </w:rPr>
            </w:pPr>
            <w:r>
              <w:rPr>
                <w:rFonts w:ascii="Graphik;sans-serif" w:hAnsi="Graphik;sans-serif"/>
                <w:b/>
                <w:color w:val="FFFFFF"/>
                <w:sz w:val="22"/>
              </w:rPr>
              <w:t>PROPOSAL NO.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Graphik Medium;sans-serif" w:hAnsi="Graphik Medium;sans-serif"/>
                <w:b w:val="false"/>
                <w:color w:val="005CBA"/>
                <w:sz w:val="24"/>
              </w:rPr>
            </w:pPr>
            <w:r>
              <w:rPr>
                <w:rFonts w:ascii="Graphik Medium;sans-serif" w:hAnsi="Graphik Medium;sans-serif"/>
                <w:b w:val="false"/>
                <w:color w:val="005CBA"/>
                <w:sz w:val="24"/>
              </w:rPr>
              <w:t>Approval of Amendment to Veracyte, Inc. 2023 Equity Plan</w:t>
            </w:r>
          </w:p>
        </w:tc>
      </w:tr>
      <w:tr>
        <w:trPr/>
        <w:tc>
          <w:tcPr>
            <w:tcW w:w="16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vMerge w:val="restart"/>
            <w:tcBorders/>
            <w:shd w:fill="D1ECF7"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66700" cy="26670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tretch>
                            <a:fillRect/>
                          </a:stretch>
                        </pic:blipFill>
                        <pic:spPr bwMode="auto">
                          <a:xfrm>
                            <a:off x="0" y="0"/>
                            <a:ext cx="266700" cy="266700"/>
                          </a:xfrm>
                          <a:prstGeom prst="rect">
                            <a:avLst/>
                          </a:prstGeom>
                        </pic:spPr>
                      </pic:pic>
                    </a:graphicData>
                  </a:graphic>
                </wp:inline>
              </w:drawing>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Our Board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of Directors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recommends a </w:t>
            </w:r>
          </w:p>
          <w:p>
            <w:pPr>
              <w:pStyle w:val="TableContents"/>
              <w:bidi w:val="0"/>
              <w:spacing w:lineRule="auto" w:line="336" w:before="0" w:after="0"/>
              <w:jc w:val="center"/>
              <w:rPr/>
            </w:pPr>
            <w:r>
              <w:rPr>
                <w:rFonts w:ascii="Graphik Medium;sans-serif" w:hAnsi="Graphik Medium;sans-serif"/>
                <w:b w:val="false"/>
                <w:color w:val="1D1D1D"/>
                <w:sz w:val="20"/>
              </w:rPr>
              <w:t xml:space="preserve">vote </w:t>
            </w:r>
            <w:r>
              <w:rPr>
                <w:rFonts w:ascii="Graphik;sans-serif" w:hAnsi="Graphik;sans-serif"/>
                <w:b/>
                <w:color w:val="8E4FBE"/>
                <w:sz w:val="20"/>
              </w:rPr>
              <w:t>FOR</w:t>
            </w:r>
            <w:r>
              <w:rPr>
                <w:color w:val="1D1D1D"/>
              </w:rPr>
              <w:t xml:space="preserve"> </w:t>
            </w:r>
            <w:r>
              <w:rPr>
                <w:rFonts w:ascii="Graphik Medium;sans-serif" w:hAnsi="Graphik Medium;sans-serif"/>
                <w:b w:val="false"/>
                <w:color w:val="1D1D1D"/>
                <w:sz w:val="20"/>
              </w:rPr>
              <w:t xml:space="preserve">this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12"/>
            <w:vMerge w:val="restart"/>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are asking our stockholders to approve an amendment to our Veracyte, Inc. 2023 Equity Incentive Plan (the “2023 Plan,” and such amendment the “Plan Amendment”) to increase the aggregate number of shares of common stock authorized for issuance under the 2023 Plan by 2,500,000 shares of common stock as described in more detail in this proxy statement. If the Plan Amendment is approved by our stockholders, the Plan Amendment will become effective on June 17, 2025, the date of our Annual Meeting. </w:t>
            </w:r>
          </w:p>
          <w:p>
            <w:pPr>
              <w:pStyle w:val="TableContents"/>
              <w:bidi w:val="0"/>
              <w:spacing w:lineRule="auto" w:line="336" w:before="0" w:after="180"/>
              <w:jc w:val="left"/>
              <w:rPr/>
            </w:pPr>
            <w:r>
              <w:rPr>
                <w:rFonts w:ascii="Graphik Light;sans-serif" w:hAnsi="Graphik Light;sans-serif"/>
                <w:b w:val="false"/>
                <w:color w:val="1D1D1D"/>
                <w:sz w:val="18"/>
              </w:rPr>
              <w:t xml:space="preserve">Additional information regarding this proposal can be found under the section titled </w:t>
            </w:r>
            <w:r>
              <w:rPr>
                <w:color w:val="1D1D1D"/>
              </w:rPr>
              <w:t>“</w:t>
            </w:r>
            <w:r>
              <w:rPr>
                <w:rFonts w:ascii="Graphik Light;sans-serif" w:hAnsi="Graphik Light;sans-serif"/>
                <w:b w:val="false"/>
                <w:i/>
                <w:color w:val="1D1D1D"/>
                <w:sz w:val="18"/>
              </w:rPr>
              <w:t>Proposal No. 5—Approval of the Veracyte, Inc. 2023 Equity Incentive Plan Amendment.”</w:t>
            </w:r>
          </w:p>
          <w:p>
            <w:pPr>
              <w:pStyle w:val="TableContents"/>
              <w:bidi w:val="0"/>
              <w:spacing w:lineRule="auto" w:line="336" w:before="0" w:after="180"/>
              <w:jc w:val="left"/>
              <w:rPr/>
            </w:pPr>
            <w:r>
              <w:rPr>
                <w:rFonts w:ascii="Graphik Light;sans-serif" w:hAnsi="Graphik Light;sans-serif"/>
                <w:b w:val="false"/>
                <w:color w:val="1D1D1D"/>
                <w:sz w:val="18"/>
              </w:rPr>
              <w:t xml:space="preserve">For more information on Proposal No. 5, please see </w:t>
            </w:r>
            <w:r>
              <w:rPr>
                <w:rFonts w:ascii="Graphik;sans-serif" w:hAnsi="Graphik;sans-serif"/>
                <w:b w:val="false"/>
                <w:color w:val="4C0980"/>
                <w:sz w:val="18"/>
              </w:rPr>
              <w:t xml:space="preserve">page </w:t>
            </w:r>
            <w:hyperlink w:anchor="ie799047edac24c459423a0886a6e8222_67">
              <w:r>
                <w:rPr>
                  <w:rStyle w:val="InternetLink"/>
                  <w:rFonts w:ascii="Graphik;sans-serif" w:hAnsi="Graphik;sans-serif"/>
                  <w:b w:val="false"/>
                  <w:color w:val="000080"/>
                  <w:sz w:val="18"/>
                </w:rPr>
                <w:t>30</w:t>
              </w:r>
            </w:hyperlink>
            <w:r>
              <w:rPr>
                <w:rFonts w:ascii="Graphik;sans-serif" w:hAnsi="Graphik;sans-serif"/>
                <w:b w:val="false"/>
                <w:color w:val="4C0980"/>
                <w:sz w:val="18"/>
              </w:rPr>
              <w:t>.</w:t>
            </w:r>
          </w:p>
        </w:tc>
      </w:tr>
      <w:tr>
        <w:trPr/>
        <w:tc>
          <w:tcPr>
            <w:tcW w:w="1626" w:type="dxa"/>
            <w:gridSpan w:val="3"/>
            <w:vMerge w:val="continue"/>
            <w:tcBorders/>
            <w:shd w:fill="D1ECF7"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12"/>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60400"/>
                <wp:effectExtent l="0" t="0" r="0" b="0"/>
                <wp:wrapNone/>
                <wp:docPr id="31" name="Frame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Proxy Statement Summary</w:t>
      </w:r>
    </w:p>
    <w:p>
      <w:pPr>
        <w:pStyle w:val="TextBody"/>
        <w:bidi w:val="0"/>
        <w:spacing w:lineRule="auto" w:line="288" w:before="0" w:after="0"/>
        <w:jc w:val="left"/>
        <w:rPr>
          <w:rFonts w:ascii="Graphik Semibold;sans-serif" w:hAnsi="Graphik Semibold;sans-serif"/>
          <w:b/>
          <w:color w:val="005CBA"/>
          <w:sz w:val="24"/>
        </w:rPr>
      </w:pPr>
      <w:r>
        <w:rPr>
          <w:rFonts w:ascii="Graphik Semibold;sans-serif" w:hAnsi="Graphik Semibold;sans-serif"/>
          <w:b/>
          <w:color w:val="005CBA"/>
          <w:sz w:val="24"/>
        </w:rPr>
        <w:t>Director Nominees and Board Summary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2"/>
        <w:gridCol w:w="162"/>
        <w:gridCol w:w="162"/>
        <w:gridCol w:w="882"/>
        <w:gridCol w:w="499"/>
        <w:gridCol w:w="321"/>
        <w:gridCol w:w="155"/>
        <w:gridCol w:w="155"/>
        <w:gridCol w:w="156"/>
        <w:gridCol w:w="295"/>
        <w:gridCol w:w="295"/>
        <w:gridCol w:w="296"/>
        <w:gridCol w:w="425"/>
        <w:gridCol w:w="425"/>
        <w:gridCol w:w="426"/>
        <w:gridCol w:w="205"/>
        <w:gridCol w:w="205"/>
        <w:gridCol w:w="206"/>
        <w:gridCol w:w="445"/>
        <w:gridCol w:w="445"/>
        <w:gridCol w:w="446"/>
        <w:gridCol w:w="480"/>
        <w:gridCol w:w="480"/>
        <w:gridCol w:w="481"/>
        <w:gridCol w:w="421"/>
        <w:gridCol w:w="421"/>
        <w:gridCol w:w="422"/>
        <w:gridCol w:w="111"/>
        <w:gridCol w:w="111"/>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15"/>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Committee Membership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6"/>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Primary Position</w:t>
            </w:r>
          </w:p>
        </w:tc>
        <w:tc>
          <w:tcPr>
            <w:tcW w:w="4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Age</w:t>
            </w:r>
          </w:p>
        </w:tc>
        <w:tc>
          <w:tcPr>
            <w:tcW w:w="88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Director Since</w:t>
            </w:r>
          </w:p>
        </w:tc>
        <w:tc>
          <w:tcPr>
            <w:tcW w:w="127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Independent</w:t>
            </w:r>
          </w:p>
        </w:tc>
        <w:tc>
          <w:tcPr>
            <w:tcW w:w="61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Audit</w:t>
            </w:r>
          </w:p>
        </w:tc>
        <w:tc>
          <w:tcPr>
            <w:tcW w:w="133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Nominating and Corporate Governance</w:t>
            </w:r>
          </w:p>
        </w:tc>
        <w:tc>
          <w:tcPr>
            <w:tcW w:w="144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Compensation</w:t>
            </w:r>
          </w:p>
        </w:tc>
        <w:tc>
          <w:tcPr>
            <w:tcW w:w="126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Regulatory and Compliance</w:t>
            </w:r>
          </w:p>
        </w:tc>
        <w:tc>
          <w:tcPr>
            <w:tcW w:w="39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Marc Stapley</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Chief Executive Officer, Veracyte</w:t>
            </w:r>
          </w:p>
        </w:tc>
        <w:tc>
          <w:tcPr>
            <w:tcW w:w="466" w:type="dxa"/>
            <w:gridSpan w:val="3"/>
            <w:vMerge w:val="restart"/>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55</w:t>
            </w:r>
          </w:p>
        </w:tc>
        <w:tc>
          <w:tcPr>
            <w:tcW w:w="886" w:type="dxa"/>
            <w:gridSpan w:val="3"/>
            <w:vMerge w:val="restart"/>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2021</w:t>
            </w:r>
          </w:p>
        </w:tc>
        <w:tc>
          <w:tcPr>
            <w:tcW w:w="1276" w:type="dxa"/>
            <w:gridSpan w:val="3"/>
            <w:vMerge w:val="restart"/>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N</w:t>
            </w:r>
          </w:p>
        </w:tc>
        <w:tc>
          <w:tcPr>
            <w:tcW w:w="616" w:type="dxa"/>
            <w:gridSpan w:val="3"/>
            <w:vMerge w:val="restart"/>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6"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361950" cy="361950"/>
                          </a:xfrm>
                          <a:prstGeom prst="rect">
                            <a:avLst/>
                          </a:prstGeom>
                        </pic:spPr>
                      </pic:pic>
                    </a:graphicData>
                  </a:graphic>
                </wp:inline>
              </w:drawing>
            </w:r>
          </w:p>
        </w:tc>
        <w:tc>
          <w:tcPr>
            <w:tcW w:w="1702"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466"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16" w:space="0" w:color="98CBEA"/>
            </w:tcBorders>
            <w:shd w:fill="E3F4FA" w:val="clear"/>
            <w:tcMar>
              <w:left w:w="0" w:type="dxa"/>
              <w:bottom w:w="0" w:type="dxa"/>
              <w:right w:w="0" w:type="dxa"/>
            </w:tcMar>
            <w:vAlign w:val="center"/>
          </w:tcPr>
          <w:p>
            <w:pPr>
              <w:pStyle w:val="Normal"/>
              <w:bidi w:val="0"/>
              <w:jc w:val="left"/>
              <w:rPr/>
            </w:pPr>
            <w:r>
              <w:rPr/>
            </w:r>
          </w:p>
        </w:tc>
        <w:tc>
          <w:tcPr>
            <w:tcW w:w="1276"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16" w:space="0" w:color="98CBEA"/>
            </w:tcBorders>
            <w:shd w:fill="E3F4FA" w:val="clear"/>
            <w:tcMar>
              <w:left w:w="0" w:type="dxa"/>
              <w:bottom w:w="0" w:type="dxa"/>
              <w:right w:w="0" w:type="dxa"/>
            </w:tcMar>
            <w:vAlign w:val="center"/>
          </w:tcPr>
          <w:p>
            <w:pPr>
              <w:pStyle w:val="Normal"/>
              <w:bidi w:val="0"/>
              <w:jc w:val="left"/>
              <w:rPr/>
            </w:pPr>
            <w:r>
              <w:rPr/>
            </w:r>
          </w:p>
        </w:tc>
        <w:tc>
          <w:tcPr>
            <w:tcW w:w="1336" w:type="dxa"/>
            <w:gridSpan w:val="3"/>
            <w:vMerge w:val="continue"/>
            <w:tcBorders>
              <w:top w:val="single" w:sz="16" w:space="0" w:color="98CBEA"/>
            </w:tcBorders>
            <w:shd w:fill="E3F4FA" w:val="clear"/>
            <w:tcMar>
              <w:left w:w="0" w:type="dxa"/>
              <w:bottom w:w="0" w:type="dxa"/>
              <w:right w:w="0" w:type="dxa"/>
            </w:tcMar>
            <w:vAlign w:val="center"/>
          </w:tcPr>
          <w:p>
            <w:pPr>
              <w:pStyle w:val="Normal"/>
              <w:bidi w:val="0"/>
              <w:jc w:val="left"/>
              <w:rPr/>
            </w:pPr>
            <w:r>
              <w:rPr/>
            </w:r>
          </w:p>
        </w:tc>
        <w:tc>
          <w:tcPr>
            <w:tcW w:w="1441" w:type="dxa"/>
            <w:gridSpan w:val="3"/>
            <w:vMerge w:val="continue"/>
            <w:tcBorders>
              <w:top w:val="single" w:sz="16" w:space="0" w:color="98CBEA"/>
            </w:tcBorders>
            <w:shd w:fill="E3F4FA" w:val="clear"/>
            <w:tcMar>
              <w:left w:w="0" w:type="dxa"/>
              <w:bottom w:w="0" w:type="dxa"/>
              <w:right w:w="0" w:type="dxa"/>
            </w:tcMar>
            <w:vAlign w:val="center"/>
          </w:tcPr>
          <w:p>
            <w:pPr>
              <w:pStyle w:val="Normal"/>
              <w:bidi w:val="0"/>
              <w:jc w:val="left"/>
              <w:rPr/>
            </w:pPr>
            <w:r>
              <w:rPr/>
            </w:r>
          </w:p>
        </w:tc>
        <w:tc>
          <w:tcPr>
            <w:tcW w:w="1264" w:type="dxa"/>
            <w:gridSpan w:val="3"/>
            <w:vMerge w:val="continue"/>
            <w:tcBorders>
              <w:top w:val="single" w:sz="16" w:space="0" w:color="98CBEA"/>
            </w:tcBorders>
            <w:shd w:fill="E3F4FA" w:val="clear"/>
            <w:tcMar>
              <w:left w:w="0" w:type="dxa"/>
              <w:bottom w:w="0" w:type="dxa"/>
              <w:right w:w="0" w:type="dxa"/>
            </w:tcMar>
            <w:vAlign w:val="center"/>
          </w:tcPr>
          <w:p>
            <w:pPr>
              <w:pStyle w:val="Normal"/>
              <w:bidi w:val="0"/>
              <w:jc w:val="left"/>
              <w:rPr/>
            </w:pPr>
            <w:r>
              <w:rPr/>
            </w:r>
          </w:p>
        </w:tc>
        <w:tc>
          <w:tcPr>
            <w:tcW w:w="390" w:type="dxa"/>
            <w:gridSpan w:val="3"/>
            <w:tcBorders/>
            <w:shd w:fill="E3F4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Eliav Barr, M.D.</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Head of Global Clinical Development and Chief Medical Officer, Merck Research Laboratories</w:t>
            </w:r>
          </w:p>
        </w:tc>
        <w:tc>
          <w:tcPr>
            <w:tcW w:w="46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60</w:t>
            </w:r>
          </w:p>
        </w:tc>
        <w:tc>
          <w:tcPr>
            <w:tcW w:w="88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2022</w:t>
            </w:r>
          </w:p>
        </w:tc>
        <w:tc>
          <w:tcPr>
            <w:tcW w:w="127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390"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361950" cy="361950"/>
                          </a:xfrm>
                          <a:prstGeom prst="rect">
                            <a:avLst/>
                          </a:prstGeom>
                        </pic:spPr>
                      </pic:pic>
                    </a:graphicData>
                  </a:graphic>
                </wp:inline>
              </w:drawing>
            </w:r>
          </w:p>
        </w:tc>
        <w:tc>
          <w:tcPr>
            <w:tcW w:w="1702"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46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33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441"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64"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390" w:type="dxa"/>
            <w:gridSpan w:val="3"/>
            <w:tcBorders/>
            <w:shd w:fill="E3F4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Muna Bhanji, R.Ph.</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Founder and President, TIBA Global Access LLC</w:t>
            </w:r>
          </w:p>
        </w:tc>
        <w:tc>
          <w:tcPr>
            <w:tcW w:w="46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62</w:t>
            </w:r>
          </w:p>
        </w:tc>
        <w:tc>
          <w:tcPr>
            <w:tcW w:w="88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2021</w:t>
            </w:r>
          </w:p>
        </w:tc>
        <w:tc>
          <w:tcPr>
            <w:tcW w:w="127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441"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390"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361950" cy="361950"/>
                          </a:xfrm>
                          <a:prstGeom prst="rect">
                            <a:avLst/>
                          </a:prstGeom>
                        </pic:spPr>
                      </pic:pic>
                    </a:graphicData>
                  </a:graphic>
                </wp:inline>
              </w:drawing>
            </w:r>
          </w:p>
        </w:tc>
        <w:tc>
          <w:tcPr>
            <w:tcW w:w="1702"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46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336"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441"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64"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390" w:type="dxa"/>
            <w:gridSpan w:val="3"/>
            <w:tcBorders/>
            <w:shd w:fill="E3F4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Karin Eastham </w:t>
            </w:r>
            <w:r>
              <w:rPr>
                <w:rFonts w:ascii="Graphik Semibold;sans-serif" w:hAnsi="Graphik Semibold;sans-serif"/>
                <w:b/>
                <w:color w:val="8E4FBE"/>
                <w:sz w:val="16"/>
              </w:rPr>
              <w:t>$</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Board of Directors member, Personalis, Inc.</w:t>
            </w:r>
          </w:p>
        </w:tc>
        <w:tc>
          <w:tcPr>
            <w:tcW w:w="46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75</w:t>
            </w:r>
          </w:p>
        </w:tc>
        <w:tc>
          <w:tcPr>
            <w:tcW w:w="88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2012</w:t>
            </w:r>
          </w:p>
        </w:tc>
        <w:tc>
          <w:tcPr>
            <w:tcW w:w="127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336"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336" w:before="0" w:after="283"/>
              <w:jc w:val="center"/>
              <w:rPr>
                <w:rFonts w:ascii="Graphik Semibold;sans-serif" w:hAnsi="Graphik Semibold;sans-serif"/>
                <w:b/>
                <w:color w:val="005CBA"/>
                <w:sz w:val="20"/>
              </w:rPr>
            </w:pPr>
            <w:r>
              <w:rPr>
                <w:rFonts w:ascii="Graphik Semibold;sans-serif" w:hAnsi="Graphik Semibold;sans-serif"/>
                <w:b/>
                <w:color w:val="005CBA"/>
                <w:sz w:val="20"/>
              </w:rPr>
              <w:t>C</w:t>
            </w:r>
          </w:p>
        </w:tc>
        <w:tc>
          <w:tcPr>
            <w:tcW w:w="1264"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361950" cy="361950"/>
                          </a:xfrm>
                          <a:prstGeom prst="rect">
                            <a:avLst/>
                          </a:prstGeom>
                        </pic:spPr>
                      </pic:pic>
                    </a:graphicData>
                  </a:graphic>
                </wp:inline>
              </w:drawing>
            </w:r>
          </w:p>
        </w:tc>
        <w:tc>
          <w:tcPr>
            <w:tcW w:w="1702"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46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33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441"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264"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390" w:type="dxa"/>
            <w:gridSpan w:val="3"/>
            <w:tcBorders/>
            <w:shd w:fill="E3F4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 xml:space="preserve">Robert S. Epstein, </w:t>
            </w:r>
          </w:p>
          <w:p>
            <w:pPr>
              <w:pStyle w:val="TableContents"/>
              <w:bidi w:val="0"/>
              <w:spacing w:lineRule="auto" w:line="288" w:before="0" w:after="0"/>
              <w:jc w:val="left"/>
              <w:rPr/>
            </w:pPr>
            <w:r>
              <w:rPr>
                <w:rFonts w:ascii="Graphik Semibold;sans-serif" w:hAnsi="Graphik Semibold;sans-serif"/>
                <w:b/>
                <w:color w:val="1D1D1D"/>
                <w:sz w:val="16"/>
              </w:rPr>
              <w:t xml:space="preserve">M.D., M.S. </w:t>
            </w:r>
            <w:r>
              <w:rPr>
                <w:rFonts w:ascii="Wingdings;sans-serif" w:hAnsi="Wingdings;sans-serif"/>
                <w:b/>
                <w:color w:val="8E4FBE"/>
                <w:sz w:val="16"/>
              </w:rPr>
              <w:t>«</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Board of Directors member, Fate Therapeutics, Inc. and Illumina, Inc.</w:t>
            </w:r>
          </w:p>
        </w:tc>
        <w:tc>
          <w:tcPr>
            <w:tcW w:w="46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70</w:t>
            </w:r>
          </w:p>
        </w:tc>
        <w:tc>
          <w:tcPr>
            <w:tcW w:w="88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2015</w:t>
            </w:r>
          </w:p>
        </w:tc>
        <w:tc>
          <w:tcPr>
            <w:tcW w:w="127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336" w:before="0" w:after="283"/>
              <w:jc w:val="center"/>
              <w:rPr>
                <w:rFonts w:ascii="Graphik Semibold;sans-serif" w:hAnsi="Graphik Semibold;sans-serif"/>
                <w:b/>
                <w:color w:val="005CBA"/>
                <w:sz w:val="20"/>
              </w:rPr>
            </w:pPr>
            <w:r>
              <w:rPr>
                <w:rFonts w:ascii="Graphik Semibold;sans-serif" w:hAnsi="Graphik Semibold;sans-serif"/>
                <w:b/>
                <w:color w:val="005CBA"/>
                <w:sz w:val="20"/>
              </w:rPr>
              <w:t>C</w:t>
            </w:r>
          </w:p>
        </w:tc>
        <w:tc>
          <w:tcPr>
            <w:tcW w:w="1441"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361950" cy="361950"/>
                          </a:xfrm>
                          <a:prstGeom prst="rect">
                            <a:avLst/>
                          </a:prstGeom>
                        </pic:spPr>
                      </pic:pic>
                    </a:graphicData>
                  </a:graphic>
                </wp:inline>
              </w:drawing>
            </w:r>
          </w:p>
        </w:tc>
        <w:tc>
          <w:tcPr>
            <w:tcW w:w="1702"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46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336"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441"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64"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390" w:type="dxa"/>
            <w:gridSpan w:val="3"/>
            <w:tcBorders/>
            <w:shd w:fill="E3F4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Jens Holstein </w:t>
            </w:r>
            <w:r>
              <w:rPr>
                <w:rFonts w:ascii="Graphik Semibold;sans-serif" w:hAnsi="Graphik Semibold;sans-serif"/>
                <w:b/>
                <w:color w:val="8E4FBE"/>
                <w:sz w:val="16"/>
              </w:rPr>
              <w:t>$</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Chief Financial Officer, BioNTech SE</w:t>
            </w:r>
          </w:p>
        </w:tc>
        <w:tc>
          <w:tcPr>
            <w:tcW w:w="46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61</w:t>
            </w:r>
          </w:p>
        </w:tc>
        <w:tc>
          <w:tcPr>
            <w:tcW w:w="88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2020</w:t>
            </w:r>
          </w:p>
        </w:tc>
        <w:tc>
          <w:tcPr>
            <w:tcW w:w="127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336" w:before="0" w:after="283"/>
              <w:jc w:val="center"/>
              <w:rPr>
                <w:rFonts w:ascii="Graphik Semibold;sans-serif" w:hAnsi="Graphik Semibold;sans-serif"/>
                <w:b/>
                <w:color w:val="005CBA"/>
                <w:sz w:val="20"/>
              </w:rPr>
            </w:pPr>
            <w:r>
              <w:rPr>
                <w:rFonts w:ascii="Graphik Semibold;sans-serif" w:hAnsi="Graphik Semibold;sans-serif"/>
                <w:b/>
                <w:color w:val="005CBA"/>
                <w:sz w:val="20"/>
              </w:rPr>
              <w:t>C</w:t>
            </w:r>
          </w:p>
        </w:tc>
        <w:tc>
          <w:tcPr>
            <w:tcW w:w="1336"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264"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361950" cy="361950"/>
                          </a:xfrm>
                          <a:prstGeom prst="rect">
                            <a:avLst/>
                          </a:prstGeom>
                        </pic:spPr>
                      </pic:pic>
                    </a:graphicData>
                  </a:graphic>
                </wp:inline>
              </w:drawing>
            </w:r>
          </w:p>
        </w:tc>
        <w:tc>
          <w:tcPr>
            <w:tcW w:w="1702"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46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33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441"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264"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390" w:type="dxa"/>
            <w:gridSpan w:val="3"/>
            <w:tcBorders/>
            <w:shd w:fill="E3F4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Evan Jones </w:t>
            </w:r>
            <w:r>
              <w:rPr>
                <w:rFonts w:ascii="Graphik Semibold;sans-serif" w:hAnsi="Graphik Semibold;sans-serif"/>
                <w:b/>
                <w:color w:val="8E4FBE"/>
                <w:sz w:val="16"/>
              </w:rPr>
              <w:t>$</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 xml:space="preserve">Managing member, jVen Capital, LLC </w:t>
            </w:r>
          </w:p>
        </w:tc>
        <w:tc>
          <w:tcPr>
            <w:tcW w:w="46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68</w:t>
            </w:r>
          </w:p>
        </w:tc>
        <w:tc>
          <w:tcPr>
            <w:tcW w:w="88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2008</w:t>
            </w:r>
          </w:p>
        </w:tc>
        <w:tc>
          <w:tcPr>
            <w:tcW w:w="127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336"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441"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336" w:before="0" w:after="283"/>
              <w:jc w:val="center"/>
              <w:rPr>
                <w:rFonts w:ascii="Graphik Semibold;sans-serif" w:hAnsi="Graphik Semibold;sans-serif"/>
                <w:b/>
                <w:color w:val="005CBA"/>
                <w:sz w:val="20"/>
              </w:rPr>
            </w:pPr>
            <w:r>
              <w:rPr>
                <w:rFonts w:ascii="Graphik Semibold;sans-serif" w:hAnsi="Graphik Semibold;sans-serif"/>
                <w:b/>
                <w:color w:val="005CBA"/>
                <w:sz w:val="20"/>
              </w:rPr>
              <w:t>C</w:t>
            </w:r>
          </w:p>
        </w:tc>
        <w:tc>
          <w:tcPr>
            <w:tcW w:w="390"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0"/>
                          <a:stretch>
                            <a:fillRect/>
                          </a:stretch>
                        </pic:blipFill>
                        <pic:spPr bwMode="auto">
                          <a:xfrm>
                            <a:off x="0" y="0"/>
                            <a:ext cx="361950" cy="361950"/>
                          </a:xfrm>
                          <a:prstGeom prst="rect">
                            <a:avLst/>
                          </a:prstGeom>
                        </pic:spPr>
                      </pic:pic>
                    </a:graphicData>
                  </a:graphic>
                </wp:inline>
              </w:drawing>
            </w:r>
          </w:p>
        </w:tc>
        <w:tc>
          <w:tcPr>
            <w:tcW w:w="1702"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46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336"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1441"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64"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390" w:type="dxa"/>
            <w:gridSpan w:val="3"/>
            <w:tcBorders/>
            <w:shd w:fill="E3F4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Tom Miller, Ph.D.</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Co-founder and Chief Executive Officer, Iambic Therapeutics</w:t>
            </w:r>
          </w:p>
        </w:tc>
        <w:tc>
          <w:tcPr>
            <w:tcW w:w="46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46</w:t>
            </w:r>
          </w:p>
        </w:tc>
        <w:tc>
          <w:tcPr>
            <w:tcW w:w="88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1276"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op w:val="single" w:sz="4" w:space="0" w:color="98CBEA"/>
            </w:tcBorders>
            <w:shd w:fill="E3F4FA" w:val="clear"/>
            <w:tcMar>
              <w:top w:w="3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390"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42900"/>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1"/>
                          <a:stretch>
                            <a:fillRect/>
                          </a:stretch>
                        </pic:blipFill>
                        <pic:spPr bwMode="auto">
                          <a:xfrm>
                            <a:off x="0" y="0"/>
                            <a:ext cx="361950" cy="342900"/>
                          </a:xfrm>
                          <a:prstGeom prst="rect">
                            <a:avLst/>
                          </a:prstGeom>
                        </pic:spPr>
                      </pic:pic>
                    </a:graphicData>
                  </a:graphic>
                </wp:inline>
              </w:drawing>
            </w:r>
          </w:p>
        </w:tc>
        <w:tc>
          <w:tcPr>
            <w:tcW w:w="1702"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46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88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336"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441" w:type="dxa"/>
            <w:gridSpan w:val="3"/>
            <w:vMerge w:val="continue"/>
            <w:tcBorders>
              <w:top w:val="single" w:sz="4" w:space="0" w:color="98CBEA"/>
            </w:tcBorders>
            <w:shd w:fill="E3F4FA" w:val="clear"/>
            <w:tcMar>
              <w:left w:w="0" w:type="dxa"/>
              <w:bottom w:w="0" w:type="dxa"/>
              <w:right w:w="0" w:type="dxa"/>
            </w:tcMar>
            <w:vAlign w:val="center"/>
          </w:tcPr>
          <w:p>
            <w:pPr>
              <w:pStyle w:val="Normal"/>
              <w:bidi w:val="0"/>
              <w:jc w:val="left"/>
              <w:rPr/>
            </w:pPr>
            <w:r>
              <w:rPr/>
            </w:r>
          </w:p>
        </w:tc>
        <w:tc>
          <w:tcPr>
            <w:tcW w:w="1264" w:type="dxa"/>
            <w:gridSpan w:val="3"/>
            <w:vMerge w:val="continue"/>
            <w:tcBorders>
              <w:top w:val="single" w:sz="4" w:space="0" w:color="98CBEA"/>
            </w:tcBorders>
            <w:shd w:fill="E3F4FA" w:val="clear"/>
            <w:tcMar>
              <w:top w:w="30" w:type="dxa"/>
              <w:left w:w="0" w:type="dxa"/>
              <w:bottom w:w="0" w:type="dxa"/>
              <w:right w:w="0" w:type="dxa"/>
            </w:tcMar>
            <w:vAlign w:val="center"/>
          </w:tcPr>
          <w:p>
            <w:pPr>
              <w:pStyle w:val="Normal"/>
              <w:bidi w:val="0"/>
              <w:jc w:val="left"/>
              <w:rPr/>
            </w:pPr>
            <w:r>
              <w:rPr/>
            </w:r>
          </w:p>
        </w:tc>
        <w:tc>
          <w:tcPr>
            <w:tcW w:w="390" w:type="dxa"/>
            <w:gridSpan w:val="3"/>
            <w:tcBorders/>
            <w:shd w:fill="E3F4F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vMerge w:val="restart"/>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Brent Shafer</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Interim CEO and Chair, Baxter International, Inc. and Board of Directors member, Tactile Systems Technology, Inc.</w:t>
            </w:r>
          </w:p>
        </w:tc>
        <w:tc>
          <w:tcPr>
            <w:tcW w:w="466" w:type="dxa"/>
            <w:gridSpan w:val="3"/>
            <w:vMerge w:val="restart"/>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67</w:t>
            </w:r>
          </w:p>
        </w:tc>
        <w:tc>
          <w:tcPr>
            <w:tcW w:w="886" w:type="dxa"/>
            <w:gridSpan w:val="3"/>
            <w:vMerge w:val="restart"/>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1276" w:type="dxa"/>
            <w:gridSpan w:val="3"/>
            <w:vMerge w:val="restart"/>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Y</w:t>
            </w:r>
          </w:p>
        </w:tc>
        <w:tc>
          <w:tcPr>
            <w:tcW w:w="616" w:type="dxa"/>
            <w:gridSpan w:val="3"/>
            <w:vMerge w:val="restart"/>
            <w:tcBorders>
              <w:top w:val="single" w:sz="4" w:space="0" w:color="98CBEA"/>
              <w:bottom w:val="single" w:sz="8" w:space="0" w:color="005CBA"/>
            </w:tcBorders>
            <w:shd w:fill="E3F4FA" w:val="clear"/>
            <w:tcMar>
              <w:left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4" w:space="0" w:color="98CBEA"/>
              <w:bottom w:val="single" w:sz="8" w:space="0" w:color="005CBA"/>
            </w:tcBorders>
            <w:shd w:fill="E3F4FA" w:val="clear"/>
            <w:tcMar>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4" w:space="0" w:color="98CBEA"/>
              <w:bottom w:val="single" w:sz="8" w:space="0" w:color="005CBA"/>
            </w:tcBorders>
            <w:shd w:fill="E3F4FA" w:val="clear"/>
            <w:tcMar>
              <w:top w:w="3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8E4FBE"/>
                <w:sz w:val="20"/>
              </w:rPr>
            </w:pPr>
            <w:r>
              <w:rPr>
                <w:rFonts w:ascii="Wingdings;sans-serif" w:hAnsi="Wingdings;sans-serif"/>
                <w:b w:val="false"/>
                <w:color w:val="8E4FBE"/>
                <w:sz w:val="20"/>
              </w:rPr>
              <w:t>l</w:t>
            </w:r>
          </w:p>
        </w:tc>
        <w:tc>
          <w:tcPr>
            <w:tcW w:w="1264" w:type="dxa"/>
            <w:gridSpan w:val="3"/>
            <w:vMerge w:val="restart"/>
            <w:tcBorders>
              <w:top w:val="single" w:sz="4" w:space="0" w:color="98CBEA"/>
              <w:bottom w:val="single" w:sz="8" w:space="0" w:color="005CBA"/>
            </w:tcBorders>
            <w:shd w:fill="E3F4FA"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98CBEA"/>
            </w:tcBorders>
            <w:shd w:fill="E3F4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6"/>
            <w:tcBorders>
              <w:bottom w:val="single" w:sz="8" w:space="0" w:color="005CBA"/>
            </w:tcBorders>
            <w:tcMar>
              <w:top w:w="0" w:type="dxa"/>
              <w:left w:w="0" w:type="dxa"/>
              <w:right w:w="0" w:type="dxa"/>
            </w:tcMar>
            <w:vAlign w:val="center"/>
          </w:tcPr>
          <w:p>
            <w:pPr>
              <w:pStyle w:val="TableContents"/>
              <w:bidi w:val="0"/>
              <w:spacing w:before="0" w:after="0"/>
              <w:jc w:val="center"/>
              <w:rPr/>
            </w:pPr>
            <w:r>
              <w:rPr/>
              <w:drawing>
                <wp:inline distT="0" distB="0" distL="0" distR="0">
                  <wp:extent cx="361950" cy="342900"/>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2"/>
                          <a:stretch>
                            <a:fillRect/>
                          </a:stretch>
                        </pic:blipFill>
                        <pic:spPr bwMode="auto">
                          <a:xfrm>
                            <a:off x="0" y="0"/>
                            <a:ext cx="361950" cy="342900"/>
                          </a:xfrm>
                          <a:prstGeom prst="rect">
                            <a:avLst/>
                          </a:prstGeom>
                        </pic:spPr>
                      </pic:pic>
                    </a:graphicData>
                  </a:graphic>
                </wp:inline>
              </w:drawing>
            </w:r>
          </w:p>
        </w:tc>
        <w:tc>
          <w:tcPr>
            <w:tcW w:w="1702" w:type="dxa"/>
            <w:gridSpan w:val="3"/>
            <w:vMerge w:val="continue"/>
            <w:tcBorders>
              <w:top w:val="single" w:sz="4"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466" w:type="dxa"/>
            <w:gridSpan w:val="3"/>
            <w:vMerge w:val="continue"/>
            <w:tcBorders>
              <w:top w:val="single" w:sz="4"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886" w:type="dxa"/>
            <w:gridSpan w:val="3"/>
            <w:vMerge w:val="continue"/>
            <w:tcBorders>
              <w:top w:val="single" w:sz="4" w:space="0" w:color="98CBEA"/>
              <w:bottom w:val="single" w:sz="8" w:space="0" w:color="005CBA"/>
            </w:tcBorders>
            <w:shd w:fill="E3F4FA" w:val="clear"/>
            <w:tcMar>
              <w:top w:w="30" w:type="dxa"/>
              <w:left w:w="0" w:type="dxa"/>
              <w:bottom w:w="30" w:type="dxa"/>
              <w:right w:w="0" w:type="dxa"/>
            </w:tcMar>
            <w:vAlign w:val="center"/>
          </w:tcPr>
          <w:p>
            <w:pPr>
              <w:pStyle w:val="Normal"/>
              <w:bidi w:val="0"/>
              <w:jc w:val="left"/>
              <w:rPr/>
            </w:pPr>
            <w:r>
              <w:rPr/>
            </w:r>
          </w:p>
        </w:tc>
        <w:tc>
          <w:tcPr>
            <w:tcW w:w="1276" w:type="dxa"/>
            <w:gridSpan w:val="3"/>
            <w:vMerge w:val="continue"/>
            <w:tcBorders>
              <w:top w:val="single" w:sz="4"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616" w:type="dxa"/>
            <w:gridSpan w:val="3"/>
            <w:vMerge w:val="continue"/>
            <w:tcBorders>
              <w:top w:val="single" w:sz="4" w:space="0" w:color="98CBEA"/>
              <w:bottom w:val="single" w:sz="8" w:space="0" w:color="005CBA"/>
            </w:tcBorders>
            <w:shd w:fill="E3F4FA" w:val="clear"/>
            <w:tcMar>
              <w:left w:w="0" w:type="dxa"/>
              <w:right w:w="0" w:type="dxa"/>
            </w:tcMar>
            <w:vAlign w:val="center"/>
          </w:tcPr>
          <w:p>
            <w:pPr>
              <w:pStyle w:val="Normal"/>
              <w:bidi w:val="0"/>
              <w:jc w:val="left"/>
              <w:rPr/>
            </w:pPr>
            <w:r>
              <w:rPr/>
            </w:r>
          </w:p>
        </w:tc>
        <w:tc>
          <w:tcPr>
            <w:tcW w:w="1336" w:type="dxa"/>
            <w:gridSpan w:val="3"/>
            <w:vMerge w:val="continue"/>
            <w:tcBorders>
              <w:top w:val="single" w:sz="4" w:space="0" w:color="98CBEA"/>
              <w:bottom w:val="single" w:sz="8" w:space="0" w:color="005CBA"/>
            </w:tcBorders>
            <w:shd w:fill="E3F4FA" w:val="clear"/>
            <w:tcMar>
              <w:left w:w="0" w:type="dxa"/>
              <w:right w:w="0" w:type="dxa"/>
            </w:tcMar>
            <w:vAlign w:val="center"/>
          </w:tcPr>
          <w:p>
            <w:pPr>
              <w:pStyle w:val="Normal"/>
              <w:bidi w:val="0"/>
              <w:jc w:val="left"/>
              <w:rPr/>
            </w:pPr>
            <w:r>
              <w:rPr/>
            </w:r>
          </w:p>
        </w:tc>
        <w:tc>
          <w:tcPr>
            <w:tcW w:w="1441" w:type="dxa"/>
            <w:gridSpan w:val="3"/>
            <w:vMerge w:val="continue"/>
            <w:tcBorders>
              <w:top w:val="single" w:sz="4" w:space="0" w:color="98CBEA"/>
              <w:bottom w:val="single" w:sz="8" w:space="0" w:color="005CBA"/>
            </w:tcBorders>
            <w:shd w:fill="E3F4FA" w:val="clear"/>
            <w:tcMar>
              <w:top w:w="30" w:type="dxa"/>
              <w:left w:w="0" w:type="dxa"/>
              <w:bottom w:w="30" w:type="dxa"/>
              <w:right w:w="0" w:type="dxa"/>
            </w:tcMar>
            <w:vAlign w:val="center"/>
          </w:tcPr>
          <w:p>
            <w:pPr>
              <w:pStyle w:val="Normal"/>
              <w:bidi w:val="0"/>
              <w:jc w:val="left"/>
              <w:rPr/>
            </w:pPr>
            <w:r>
              <w:rPr/>
            </w:r>
          </w:p>
        </w:tc>
        <w:tc>
          <w:tcPr>
            <w:tcW w:w="1264" w:type="dxa"/>
            <w:gridSpan w:val="3"/>
            <w:vMerge w:val="continue"/>
            <w:tcBorders>
              <w:top w:val="single" w:sz="4" w:space="0" w:color="98CBEA"/>
              <w:bottom w:val="single" w:sz="8" w:space="0" w:color="005CBA"/>
            </w:tcBorders>
            <w:shd w:fill="E3F4FA" w:val="clear"/>
            <w:tcMar>
              <w:left w:w="0" w:type="dxa"/>
              <w:right w:w="0" w:type="dxa"/>
            </w:tcMar>
            <w:vAlign w:val="center"/>
          </w:tcPr>
          <w:p>
            <w:pPr>
              <w:pStyle w:val="Normal"/>
              <w:bidi w:val="0"/>
              <w:jc w:val="left"/>
              <w:rPr/>
            </w:pPr>
            <w:r>
              <w:rPr/>
            </w:r>
          </w:p>
        </w:tc>
        <w:tc>
          <w:tcPr>
            <w:tcW w:w="390" w:type="dxa"/>
            <w:gridSpan w:val="3"/>
            <w:tcBorders>
              <w:bottom w:val="single" w:sz="8" w:space="0" w:color="005CBA"/>
            </w:tcBorders>
            <w:shd w:fill="E3F4FA"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268" w:type="dxa"/>
        <w:jc w:val="left"/>
        <w:tblInd w:w="0" w:type="dxa"/>
        <w:tblLayout w:type="fixed"/>
        <w:tblCellMar>
          <w:top w:w="28" w:type="dxa"/>
          <w:left w:w="28" w:type="dxa"/>
          <w:bottom w:w="28" w:type="dxa"/>
          <w:right w:w="28" w:type="dxa"/>
        </w:tblCellMar>
      </w:tblPr>
      <w:tblGrid>
        <w:gridCol w:w="711"/>
        <w:gridCol w:w="625"/>
        <w:gridCol w:w="628"/>
        <w:gridCol w:w="764"/>
        <w:gridCol w:w="764"/>
        <w:gridCol w:w="766"/>
        <w:gridCol w:w="614"/>
        <w:gridCol w:w="614"/>
        <w:gridCol w:w="617"/>
        <w:gridCol w:w="925"/>
        <w:gridCol w:w="925"/>
        <w:gridCol w:w="1315"/>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300" w:before="90" w:after="90"/>
              <w:ind w:left="0" w:right="0" w:hanging="360"/>
              <w:jc w:val="left"/>
              <w:rPr/>
            </w:pPr>
            <w:r>
              <w:rPr>
                <w:rFonts w:ascii="Wingdings;sans-serif" w:hAnsi="Wingdings;sans-serif"/>
                <w:b w:val="false"/>
                <w:color w:val="8E4FBE"/>
                <w:sz w:val="16"/>
              </w:rPr>
              <w:t>l</w:t>
            </w:r>
            <w:r>
              <w:rPr>
                <w:color w:val="1D1D1D"/>
              </w:rPr>
              <w:t xml:space="preserve"> </w:t>
            </w:r>
            <w:r>
              <w:rPr>
                <w:rFonts w:ascii="Graphik Light;sans-serif" w:hAnsi="Graphik Light;sans-serif"/>
                <w:b w:val="false"/>
                <w:color w:val="1D1D1D"/>
                <w:sz w:val="16"/>
              </w:rPr>
              <w:t>Committee Member</w:t>
            </w:r>
          </w:p>
        </w:tc>
        <w:tc>
          <w:tcPr>
            <w:tcW w:w="2294" w:type="dxa"/>
            <w:gridSpan w:val="3"/>
            <w:tcBorders/>
            <w:tcMar>
              <w:top w:w="0" w:type="dxa"/>
              <w:left w:w="0" w:type="dxa"/>
              <w:bottom w:w="0" w:type="dxa"/>
              <w:right w:w="0" w:type="dxa"/>
            </w:tcMar>
            <w:vAlign w:val="center"/>
          </w:tcPr>
          <w:p>
            <w:pPr>
              <w:pStyle w:val="TableContents"/>
              <w:bidi w:val="0"/>
              <w:spacing w:lineRule="auto" w:line="336" w:before="90" w:after="283"/>
              <w:jc w:val="left"/>
              <w:rPr/>
            </w:pPr>
            <w:r>
              <w:rPr>
                <w:rFonts w:ascii="Graphik Semibold;sans-serif" w:hAnsi="Graphik Semibold;sans-serif"/>
                <w:b/>
                <w:color w:val="005CBA"/>
                <w:sz w:val="16"/>
              </w:rPr>
              <w:t>C</w:t>
            </w:r>
            <w:r>
              <w:rPr>
                <w:color w:val="1D1D1D"/>
              </w:rPr>
              <w:t xml:space="preserve"> </w:t>
            </w:r>
            <w:r>
              <w:rPr>
                <w:rFonts w:ascii="Graphik Light;sans-serif" w:hAnsi="Graphik Light;sans-serif"/>
                <w:b w:val="false"/>
                <w:color w:val="1D1D1D"/>
                <w:sz w:val="16"/>
              </w:rPr>
              <w:t>Committee Chairperson</w:t>
            </w:r>
          </w:p>
        </w:tc>
        <w:tc>
          <w:tcPr>
            <w:tcW w:w="1845" w:type="dxa"/>
            <w:gridSpan w:val="3"/>
            <w:tcBorders/>
            <w:tcMar>
              <w:top w:w="0" w:type="dxa"/>
              <w:left w:w="0" w:type="dxa"/>
              <w:bottom w:w="0" w:type="dxa"/>
              <w:right w:w="0" w:type="dxa"/>
            </w:tcMar>
            <w:vAlign w:val="center"/>
          </w:tcPr>
          <w:p>
            <w:pPr>
              <w:pStyle w:val="TableContents"/>
              <w:bidi w:val="0"/>
              <w:spacing w:lineRule="auto" w:line="288" w:before="90" w:after="283"/>
              <w:jc w:val="left"/>
              <w:rPr/>
            </w:pPr>
            <w:r>
              <w:rPr>
                <w:rFonts w:ascii="Wingdings;sans-serif" w:hAnsi="Wingdings;sans-serif"/>
                <w:b/>
                <w:color w:val="8E4FBE"/>
                <w:sz w:val="16"/>
              </w:rPr>
              <w:t>«</w:t>
            </w:r>
            <w:r>
              <w:rPr>
                <w:color w:val="1D1D1D"/>
              </w:rPr>
              <w:t xml:space="preserve"> </w:t>
            </w:r>
            <w:r>
              <w:rPr>
                <w:rFonts w:ascii="Graphik Light;sans-serif" w:hAnsi="Graphik Light;sans-serif"/>
                <w:b w:val="false"/>
                <w:color w:val="1D1D1D"/>
                <w:sz w:val="16"/>
              </w:rPr>
              <w:t>Chair of the Board</w:t>
            </w:r>
          </w:p>
        </w:tc>
        <w:tc>
          <w:tcPr>
            <w:tcW w:w="3165" w:type="dxa"/>
            <w:gridSpan w:val="3"/>
            <w:tcBorders/>
            <w:tcMar>
              <w:top w:w="0" w:type="dxa"/>
              <w:left w:w="0" w:type="dxa"/>
              <w:bottom w:w="0" w:type="dxa"/>
              <w:right w:w="0" w:type="dxa"/>
            </w:tcMar>
            <w:vAlign w:val="center"/>
          </w:tcPr>
          <w:p>
            <w:pPr>
              <w:pStyle w:val="TableContents"/>
              <w:bidi w:val="0"/>
              <w:spacing w:lineRule="auto" w:line="288" w:before="90" w:after="283"/>
              <w:jc w:val="left"/>
              <w:rPr/>
            </w:pPr>
            <w:r>
              <w:rPr>
                <w:rFonts w:ascii="Graphik Semibold;sans-serif" w:hAnsi="Graphik Semibold;sans-serif"/>
                <w:b/>
                <w:color w:val="8E4FBE"/>
                <w:sz w:val="16"/>
              </w:rPr>
              <w:t>$</w:t>
            </w:r>
            <w:r>
              <w:rPr>
                <w:color w:val="1D1D1D"/>
              </w:rPr>
              <w:t xml:space="preserve"> </w:t>
            </w:r>
            <w:r>
              <w:rPr>
                <w:rFonts w:ascii="Graphik Light;sans-serif" w:hAnsi="Graphik Light;sans-serif"/>
                <w:b w:val="false"/>
                <w:color w:val="1D1D1D"/>
                <w:sz w:val="16"/>
              </w:rPr>
              <w:t xml:space="preserve">Audit Committee Financial Expert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60400"/>
                <wp:effectExtent l="0" t="0" r="0" b="0"/>
                <wp:wrapNone/>
                <wp:docPr id="41" name="Frame1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Proxy Statement Summary</w:t>
      </w:r>
    </w:p>
    <w:p>
      <w:pPr>
        <w:pStyle w:val="TextBody"/>
        <w:bidi w:val="0"/>
        <w:spacing w:lineRule="auto" w:line="288" w:before="0" w:after="0"/>
        <w:jc w:val="left"/>
        <w:rPr>
          <w:rFonts w:ascii="Graphik Medium;sans-serif" w:hAnsi="Graphik Medium;sans-serif"/>
          <w:b w:val="false"/>
          <w:color w:val="1D1D1D"/>
          <w:sz w:val="30"/>
        </w:rPr>
      </w:pPr>
      <w:r>
        <w:rPr>
          <w:rFonts w:ascii="Graphik Medium;sans-serif" w:hAnsi="Graphik Medium;sans-serif"/>
          <w:b w:val="false"/>
          <w:color w:val="1D1D1D"/>
          <w:sz w:val="30"/>
        </w:rPr>
        <w:t xml:space="preserve">2024 Financial and Business Highlights and Recent Company Developments </w:t>
      </w:r>
    </w:p>
    <w:tbl>
      <w:tblPr>
        <w:tblW w:w="10205" w:type="dxa"/>
        <w:jc w:val="center"/>
        <w:tblInd w:w="0" w:type="dxa"/>
        <w:tblLayout w:type="fixed"/>
        <w:tblCellMar>
          <w:top w:w="28" w:type="dxa"/>
          <w:left w:w="28" w:type="dxa"/>
          <w:bottom w:w="28" w:type="dxa"/>
          <w:right w:w="28" w:type="dxa"/>
        </w:tblCellMar>
      </w:tblPr>
      <w:tblGrid>
        <w:gridCol w:w="487"/>
        <w:gridCol w:w="429"/>
        <w:gridCol w:w="432"/>
        <w:gridCol w:w="109"/>
        <w:gridCol w:w="109"/>
        <w:gridCol w:w="109"/>
        <w:gridCol w:w="921"/>
        <w:gridCol w:w="921"/>
        <w:gridCol w:w="922"/>
        <w:gridCol w:w="109"/>
        <w:gridCol w:w="109"/>
        <w:gridCol w:w="109"/>
        <w:gridCol w:w="820"/>
        <w:gridCol w:w="820"/>
        <w:gridCol w:w="821"/>
        <w:gridCol w:w="109"/>
        <w:gridCol w:w="109"/>
        <w:gridCol w:w="109"/>
        <w:gridCol w:w="774"/>
        <w:gridCol w:w="774"/>
        <w:gridCol w:w="1103"/>
      </w:tblGrid>
      <w:tr>
        <w:trPr/>
        <w:tc>
          <w:tcPr>
            <w:tcW w:w="48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005CBA"/>
                <w:sz w:val="56"/>
              </w:rPr>
            </w:pPr>
            <w:r>
              <w:rPr>
                <w:rFonts w:ascii="Graphik Medium;sans-serif" w:hAnsi="Graphik Medium;sans-serif"/>
                <w:b w:val="false"/>
                <w:color w:val="005CBA"/>
                <w:sz w:val="56"/>
              </w:rPr>
              <w:t>23%</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Increase in revenue from $361.1M in 2023 to $445.8M in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005CBA"/>
                <w:sz w:val="56"/>
              </w:rPr>
            </w:pPr>
            <w:r>
              <w:rPr>
                <w:rFonts w:ascii="Graphik Medium;sans-serif" w:hAnsi="Graphik Medium;sans-serif"/>
                <w:b w:val="false"/>
                <w:color w:val="005CBA"/>
                <w:sz w:val="56"/>
              </w:rPr>
              <w:t>152,750</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Total test volume for 2024, an increase of 20% from the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88" w:before="0" w:after="140"/>
              <w:jc w:val="left"/>
              <w:rPr/>
            </w:pPr>
            <w:r>
              <w:rPr>
                <w:rFonts w:ascii="Graphik Medium;sans-serif" w:hAnsi="Graphik Medium;sans-serif"/>
                <w:b w:val="false"/>
                <w:color w:val="005CBA"/>
                <w:sz w:val="56"/>
              </w:rPr>
              <w:t>$75.1</w:t>
            </w:r>
            <w:r>
              <w:rPr>
                <w:rFonts w:ascii="Graphik Medium;sans-serif" w:hAnsi="Graphik Medium;sans-serif"/>
                <w:b w:val="false"/>
                <w:color w:val="005CBA"/>
                <w:sz w:val="48"/>
              </w:rPr>
              <w:t>M</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Cash generated from operating activities for the full year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tcMar>
              <w:top w:w="0" w:type="dxa"/>
              <w:left w:w="0" w:type="dxa"/>
              <w:bottom w:w="0" w:type="dxa"/>
              <w:right w:w="0" w:type="dxa"/>
            </w:tcMar>
            <w:vAlign w:val="center"/>
          </w:tcPr>
          <w:p>
            <w:pPr>
              <w:pStyle w:val="TableContents"/>
              <w:bidi w:val="0"/>
              <w:spacing w:lineRule="auto" w:line="288" w:before="0" w:after="140"/>
              <w:jc w:val="left"/>
              <w:rPr/>
            </w:pPr>
            <w:r>
              <w:rPr>
                <w:rFonts w:ascii="Graphik Medium;sans-serif" w:hAnsi="Graphik Medium;sans-serif"/>
                <w:b w:val="false"/>
                <w:color w:val="005CBA"/>
                <w:sz w:val="56"/>
              </w:rPr>
              <w:t>$289.4</w:t>
            </w:r>
            <w:r>
              <w:rPr>
                <w:rFonts w:ascii="Graphik Medium;sans-serif" w:hAnsi="Graphik Medium;sans-serif"/>
                <w:b w:val="false"/>
                <w:color w:val="005CBA"/>
                <w:sz w:val="48"/>
              </w:rPr>
              <w:t>M</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 xml:space="preserve">Cash and cash equivalents as of end </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of year 2024</w:t>
            </w:r>
          </w:p>
        </w:tc>
      </w:tr>
      <w:tr>
        <w:trPr/>
        <w:tc>
          <w:tcPr>
            <w:tcW w:w="1348"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90"/>
        <w:ind w:left="0" w:right="0" w:hanging="270"/>
        <w:jc w:val="left"/>
        <w:rPr/>
      </w:pPr>
      <w:r>
        <w:rPr>
          <w:color w:val="1D1D1D"/>
        </w:rPr>
        <w:t>•</w:t>
      </w:r>
      <w:r>
        <w:rPr>
          <w:rFonts w:ascii="Graphik Light;sans-serif" w:hAnsi="Graphik Light;sans-serif"/>
          <w:b w:val="false"/>
          <w:color w:val="1D1D1D"/>
          <w:sz w:val="18"/>
        </w:rPr>
        <w:t>Through Level I evidence, Decipher secured its position as the only gene expression test included in V1.2025 of the NCCN Clinical Practice Guidelines in Oncology (NCCN Guidelines®) for Prostate Cancer published in December 2024.</w:t>
      </w:r>
    </w:p>
    <w:p>
      <w:pPr>
        <w:pStyle w:val="TextBody"/>
        <w:bidi w:val="0"/>
        <w:spacing w:lineRule="auto" w:line="336" w:before="0" w:after="90"/>
        <w:ind w:left="0" w:right="0" w:hanging="270"/>
        <w:jc w:val="left"/>
        <w:rPr/>
      </w:pPr>
      <w:r>
        <w:rPr>
          <w:color w:val="1D1D1D"/>
        </w:rPr>
        <w:t>•</w:t>
      </w:r>
      <w:r>
        <w:rPr>
          <w:rFonts w:ascii="Graphik Light;sans-serif" w:hAnsi="Graphik Light;sans-serif"/>
          <w:b w:val="false"/>
          <w:color w:val="1D1D1D"/>
          <w:sz w:val="18"/>
        </w:rPr>
        <w:t>Received approval from Molecular Diagnostic Services Program (MolDx) for the technical assessment submission for Decipher for use in the metastatic population.</w:t>
      </w:r>
    </w:p>
    <w:p>
      <w:pPr>
        <w:pStyle w:val="TextBody"/>
        <w:bidi w:val="0"/>
        <w:spacing w:lineRule="auto" w:line="336" w:before="0" w:after="90"/>
        <w:ind w:left="0" w:right="0" w:hanging="270"/>
        <w:jc w:val="left"/>
        <w:rPr/>
      </w:pPr>
      <w:r>
        <w:rPr>
          <w:color w:val="1D1D1D"/>
        </w:rPr>
        <w:t>•</w:t>
      </w:r>
      <w:r>
        <w:rPr>
          <w:rFonts w:ascii="Graphik Light;sans-serif" w:hAnsi="Graphik Light;sans-serif"/>
          <w:b w:val="false"/>
          <w:color w:val="1D1D1D"/>
          <w:sz w:val="18"/>
        </w:rPr>
        <w:t>Expanded clinical evidence for Decipher Prostate with 57 publications, posters and presentations, including a presentation at the European Society for Medical Oncology (ESMO) 2024 Congress on new data from the STAMPEDE trial, a multi-center, randomized, phase 3 clinical trial showing that the test was prognostic for clinical outcomes and predicted benefit from docetaxel in patients with metastatic prostate cancer.</w:t>
      </w:r>
    </w:p>
    <w:p>
      <w:pPr>
        <w:pStyle w:val="TextBody"/>
        <w:bidi w:val="0"/>
        <w:spacing w:lineRule="auto" w:line="336" w:before="0" w:after="360"/>
        <w:ind w:left="0" w:right="0" w:hanging="270"/>
        <w:jc w:val="left"/>
        <w:rPr/>
      </w:pPr>
      <w:r>
        <w:rPr>
          <w:color w:val="1D1D1D"/>
        </w:rPr>
        <w:t>•</w:t>
      </w:r>
      <w:r>
        <w:rPr>
          <w:rFonts w:ascii="Graphik Light;sans-serif" w:hAnsi="Graphik Light;sans-serif"/>
          <w:b w:val="false"/>
          <w:color w:val="1D1D1D"/>
          <w:sz w:val="18"/>
        </w:rPr>
        <w:t xml:space="preserve">Received Medicare coverage for Afirma testing of patients with thyroid nodules classified as “Bethesda V,” giving more patients access to the test annually.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Graphik Medium;sans-serif" w:hAnsi="Graphik Medium;sans-serif"/>
          <w:b w:val="false"/>
          <w:color w:val="1D1D1D"/>
          <w:sz w:val="30"/>
        </w:rPr>
      </w:pPr>
      <w:r>
        <w:rPr>
          <w:rFonts w:ascii="Graphik Medium;sans-serif" w:hAnsi="Graphik Medium;sans-serif"/>
          <w:b w:val="false"/>
          <w:color w:val="1D1D1D"/>
          <w:sz w:val="30"/>
        </w:rPr>
        <w:t>Governance and Board Highlights</w:t>
      </w:r>
    </w:p>
    <w:p>
      <w:pPr>
        <w:pStyle w:val="TextBody"/>
        <w:bidi w:val="0"/>
        <w:spacing w:lineRule="auto" w:line="288" w:before="180" w:after="300"/>
        <w:jc w:val="left"/>
        <w:rPr>
          <w:rFonts w:ascii="Graphik Semibold;sans-serif" w:hAnsi="Graphik Semibold;sans-serif"/>
          <w:b/>
          <w:color w:val="005CBA"/>
          <w:sz w:val="24"/>
        </w:rPr>
      </w:pPr>
      <w:r>
        <w:rPr>
          <w:rFonts w:ascii="Graphik Semibold;sans-serif" w:hAnsi="Graphik Semibold;sans-serif"/>
          <w:b/>
          <w:color w:val="005CBA"/>
          <w:sz w:val="24"/>
        </w:rPr>
        <w:t>Board Composition</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Gender</w:t>
      </w:r>
    </w:p>
    <w:p>
      <w:pPr>
        <w:pStyle w:val="TextBody"/>
        <w:bidi w:val="0"/>
        <w:spacing w:before="0" w:after="0"/>
        <w:jc w:val="left"/>
        <w:rPr/>
      </w:pPr>
      <w:r>
        <w:rPr/>
        <w:drawing>
          <wp:inline distT="0" distB="0" distL="0" distR="0">
            <wp:extent cx="1457325" cy="2095500"/>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1457325" cy="2095500"/>
                    </a:xfrm>
                    <a:prstGeom prst="rect">
                      <a:avLst/>
                    </a:prstGeom>
                  </pic:spPr>
                </pic:pic>
              </a:graphicData>
            </a:graphic>
          </wp:inline>
        </w:drawing>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Age</w:t>
      </w:r>
    </w:p>
    <w:p>
      <w:pPr>
        <w:pStyle w:val="TextBody"/>
        <w:bidi w:val="0"/>
        <w:spacing w:before="0" w:after="0"/>
        <w:jc w:val="left"/>
        <w:rPr/>
      </w:pPr>
      <w:r>
        <w:rPr/>
        <w:drawing>
          <wp:inline distT="0" distB="0" distL="0" distR="0">
            <wp:extent cx="1457325" cy="2095500"/>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1457325" cy="2095500"/>
                    </a:xfrm>
                    <a:prstGeom prst="rect">
                      <a:avLst/>
                    </a:prstGeom>
                  </pic:spPr>
                </pic:pic>
              </a:graphicData>
            </a:graphic>
          </wp:inline>
        </w:drawing>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Tenure</w:t>
      </w:r>
    </w:p>
    <w:p>
      <w:pPr>
        <w:pStyle w:val="TextBody"/>
        <w:bidi w:val="0"/>
        <w:spacing w:before="0" w:after="0"/>
        <w:jc w:val="left"/>
        <w:rPr/>
      </w:pPr>
      <w:r>
        <w:rPr/>
        <w:drawing>
          <wp:inline distT="0" distB="0" distL="0" distR="0">
            <wp:extent cx="1457325" cy="2095500"/>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1457325" cy="2095500"/>
                    </a:xfrm>
                    <a:prstGeom prst="rect">
                      <a:avLst/>
                    </a:prstGeom>
                  </pic:spPr>
                </pic:pic>
              </a:graphicData>
            </a:graphic>
          </wp:inline>
        </w:drawing>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Independence</w:t>
      </w:r>
    </w:p>
    <w:p>
      <w:pPr>
        <w:pStyle w:val="TextBody"/>
        <w:bidi w:val="0"/>
        <w:spacing w:before="0" w:after="0"/>
        <w:jc w:val="left"/>
        <w:rPr/>
      </w:pPr>
      <w:r>
        <w:rPr/>
        <w:drawing>
          <wp:inline distT="0" distB="0" distL="0" distR="0">
            <wp:extent cx="1457325" cy="2095500"/>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1457325" cy="2095500"/>
                    </a:xfrm>
                    <a:prstGeom prst="rect">
                      <a:avLst/>
                    </a:prstGeom>
                  </pic:spPr>
                </pic:pic>
              </a:graphicData>
            </a:graphic>
          </wp:inline>
        </w:drawing>
      </w:r>
    </w:p>
    <w:p>
      <w:pPr>
        <w:pStyle w:val="TextBody"/>
        <w:bidi w:val="0"/>
        <w:spacing w:before="18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660400"/>
                <wp:effectExtent l="0" t="0" r="0" b="0"/>
                <wp:wrapNone/>
                <wp:docPr id="46" name="Frame1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Proxy Statement Summary</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Governance and Board Practices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are committed to good corporate governance, which strengthens the accountability of our Board of Directors and promotes the long-term interests of our stockholders. The list below highlights our independent board and leadership and other corporate governance practices, as discussed further in this Proxy Statement.</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Majority of directors are independent (eight out of nine current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Board leadership structure with an independent Chair of the Board of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All committees of our Board of Directors, including our Regulatory and Compliance Committee, are composed only of independent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Following approval by our stockholders at the 2023 Annual Meeting of Stockholders (the “2023 Annual Meeting”), we filed a Restated Certificate of Incorporation (the “Restated Certificate”) to implement a declassification of the Board of Directors over a three-year period and provide for the annual election of directors for one-year terms, commencing upon the expiration of the directors’ then-current terms. Beginning with our 2026 Annual Meeting of Stockholders, all director nominees will stand for election for only one-year terms, such terms expiring at the next Annual Meeting of Stockholders.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Our Nominating and Corporate Governance Committee oversees our programs relating to corporate responsibility and sustainability, including Environmental, Social, and Corporate Governance (“ESG”), in collaboration with our Audit Committee, Compensation Committee, and Regulatory and Compliance Committee on certain ESG matters, as appropriate and as described in each respective committee charter.</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We provide annual reporting on corporate responsibility and sustainability initiatives for those investors who are focused on these topics.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Our Board of Directors is focused on enhancing the composition of the Board. Currently, two out of our nine members of the Board of Directors are women, and two out of nine members of the Board of Directors are from underrepresented groups.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We employ comprehensive enterprise risk management practices, including oversight of cybersecurity, data privacy, legal, compliance and regulatory matters, and other critical evolving areas, such as corporate sustainability initiatives.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Independent directors conduct regular executive sessions without management present.</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Directors maintain open communication and strong working relationships among themselves and have regular and direct access to management.</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Directors conduct a robust annual Board of Directors and committee self-assessment process.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We have a majority voting standard for uncontested elections of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We have robust related party transaction standards for any direct or indirect involvement of a director or member of management in the company’s business activities.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We have robust stock ownership guidelines that require our C-Level executive officers and the non-employee directors on our Board of Directors to hold shares of our common stock, as further discussed herein. </w:t>
      </w:r>
    </w:p>
    <w:p>
      <w:pPr>
        <w:pStyle w:val="TextBody"/>
        <w:bidi w:val="0"/>
        <w:spacing w:lineRule="auto" w:line="336" w:before="0" w:after="240"/>
        <w:ind w:left="0" w:right="0" w:hanging="270"/>
        <w:jc w:val="left"/>
        <w:rPr/>
      </w:pPr>
      <w:r>
        <w:rPr>
          <w:color w:val="005CBA"/>
        </w:rPr>
        <w:t>•</w:t>
      </w:r>
      <w:r>
        <w:rPr>
          <w:rFonts w:ascii="Graphik Light;sans-serif" w:hAnsi="Graphik Light;sans-serif"/>
          <w:b w:val="false"/>
          <w:color w:val="1D1D1D"/>
          <w:sz w:val="18"/>
        </w:rPr>
        <w:t>We have a clawback policy, adopted in accordance with the Nasdaq Stock Market listing standards and compliant with the Securities and Exchange Commission (the “SEC”) rules, that provides for the recoupment of certain executive officer incentive compensation in the event we are required to restate our financial statements.</w:t>
      </w:r>
    </w:p>
    <w:tbl>
      <w:tblPr>
        <w:tblW w:w="5759" w:type="dxa"/>
        <w:jc w:val="left"/>
        <w:tblInd w:w="0" w:type="dxa"/>
        <w:tblLayout w:type="fixed"/>
        <w:tblCellMar>
          <w:top w:w="28" w:type="dxa"/>
          <w:left w:w="28" w:type="dxa"/>
          <w:bottom w:w="28" w:type="dxa"/>
          <w:right w:w="28" w:type="dxa"/>
        </w:tblCellMar>
      </w:tblPr>
      <w:tblGrid>
        <w:gridCol w:w="1843"/>
        <w:gridCol w:w="1620"/>
        <w:gridCol w:w="2296"/>
      </w:tblGrid>
      <w:tr>
        <w:trPr/>
        <w:tc>
          <w:tcPr>
            <w:tcW w:w="184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005CBA"/>
                <w:sz w:val="35"/>
              </w:rPr>
            </w:pPr>
            <w:r>
              <w:rPr>
                <w:rFonts w:ascii="Graphik Medium;sans-serif" w:hAnsi="Graphik Medium;sans-serif"/>
                <w:b w:val="false"/>
                <w:color w:val="005CBA"/>
                <w:sz w:val="35"/>
              </w:rPr>
              <w:t>One-Year Terms</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For all directors commencing at our 2026 annual meeting</w:t>
            </w:r>
          </w:p>
        </w:tc>
      </w:tr>
      <w:tr>
        <w:trPr/>
        <w:tc>
          <w:tcPr>
            <w:tcW w:w="5759"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69" w:type="dxa"/>
        <w:jc w:val="left"/>
        <w:tblInd w:w="0" w:type="dxa"/>
        <w:tblLayout w:type="fixed"/>
        <w:tblCellMar>
          <w:top w:w="28" w:type="dxa"/>
          <w:left w:w="28" w:type="dxa"/>
          <w:bottom w:w="28" w:type="dxa"/>
          <w:right w:w="28" w:type="dxa"/>
        </w:tblCellMar>
      </w:tblPr>
      <w:tblGrid>
        <w:gridCol w:w="1430"/>
        <w:gridCol w:w="1257"/>
        <w:gridCol w:w="1782"/>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005CBA"/>
                <w:sz w:val="35"/>
              </w:rPr>
            </w:pPr>
            <w:r>
              <w:rPr>
                <w:rFonts w:ascii="Graphik Medium;sans-serif" w:hAnsi="Graphik Medium;sans-serif"/>
                <w:b w:val="false"/>
                <w:color w:val="005CBA"/>
                <w:sz w:val="35"/>
              </w:rPr>
              <w:t>Majority Voting Standard</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For uncontested elections of directors</w:t>
            </w:r>
          </w:p>
        </w:tc>
      </w:tr>
      <w:tr>
        <w:trPr/>
        <w:tc>
          <w:tcPr>
            <w:tcW w:w="4469"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795" w:type="dxa"/>
        <w:jc w:val="left"/>
        <w:tblInd w:w="0" w:type="dxa"/>
        <w:tblLayout w:type="fixed"/>
        <w:tblCellMar>
          <w:top w:w="28" w:type="dxa"/>
          <w:left w:w="28" w:type="dxa"/>
          <w:bottom w:w="28" w:type="dxa"/>
          <w:right w:w="28" w:type="dxa"/>
        </w:tblCellMar>
      </w:tblPr>
      <w:tblGrid>
        <w:gridCol w:w="1215"/>
        <w:gridCol w:w="1069"/>
        <w:gridCol w:w="1511"/>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raphik Medium;sans-serif" w:hAnsi="Graphik Medium;sans-serif"/>
                <w:b w:val="false"/>
                <w:color w:val="005CBA"/>
                <w:sz w:val="35"/>
              </w:rPr>
            </w:pPr>
            <w:r>
              <w:rPr>
                <w:rFonts w:ascii="Graphik Medium;sans-serif" w:hAnsi="Graphik Medium;sans-serif"/>
                <w:b w:val="false"/>
                <w:color w:val="005CBA"/>
                <w:sz w:val="35"/>
              </w:rPr>
              <w:t>Only Independent</w:t>
            </w:r>
          </w:p>
          <w:p>
            <w:pPr>
              <w:pStyle w:val="TableContents"/>
              <w:bidi w:val="0"/>
              <w:spacing w:lineRule="auto" w:line="288" w:before="0" w:after="140"/>
              <w:jc w:val="left"/>
              <w:rPr>
                <w:rFonts w:ascii="Graphik Medium;sans-serif" w:hAnsi="Graphik Medium;sans-serif"/>
                <w:b w:val="false"/>
                <w:color w:val="005CBA"/>
                <w:sz w:val="35"/>
              </w:rPr>
            </w:pPr>
            <w:r>
              <w:rPr>
                <w:rFonts w:ascii="Graphik Medium;sans-serif" w:hAnsi="Graphik Medium;sans-serif"/>
                <w:b w:val="false"/>
                <w:color w:val="005CBA"/>
                <w:sz w:val="35"/>
              </w:rPr>
              <w:t>Directors</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On all Board of Directors committees</w:t>
            </w:r>
          </w:p>
        </w:tc>
      </w:tr>
      <w:tr>
        <w:trPr/>
        <w:tc>
          <w:tcPr>
            <w:tcW w:w="3795"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645" w:type="dxa"/>
        <w:jc w:val="left"/>
        <w:tblInd w:w="0" w:type="dxa"/>
        <w:tblLayout w:type="fixed"/>
        <w:tblCellMar>
          <w:top w:w="28" w:type="dxa"/>
          <w:left w:w="28" w:type="dxa"/>
          <w:bottom w:w="28" w:type="dxa"/>
          <w:right w:w="28" w:type="dxa"/>
        </w:tblCellMar>
      </w:tblPr>
      <w:tblGrid>
        <w:gridCol w:w="2129"/>
        <w:gridCol w:w="1870"/>
        <w:gridCol w:w="2646"/>
      </w:tblGrid>
      <w:tr>
        <w:trPr/>
        <w:tc>
          <w:tcPr>
            <w:tcW w:w="212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88" w:before="0" w:after="140"/>
              <w:jc w:val="left"/>
              <w:rPr>
                <w:rFonts w:ascii="Graphik Medium;sans-serif" w:hAnsi="Graphik Medium;sans-serif"/>
                <w:b w:val="false"/>
                <w:color w:val="005CBA"/>
                <w:sz w:val="35"/>
              </w:rPr>
            </w:pPr>
            <w:r>
              <w:rPr>
                <w:rFonts w:ascii="Graphik Medium;sans-serif" w:hAnsi="Graphik Medium;sans-serif"/>
                <w:b w:val="false"/>
                <w:color w:val="005CBA"/>
                <w:sz w:val="35"/>
              </w:rPr>
              <w:t>Regular Executive Sessions</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Conducted by independent directors without management present</w:t>
            </w:r>
          </w:p>
        </w:tc>
      </w:tr>
      <w:tr>
        <w:trPr/>
        <w:tc>
          <w:tcPr>
            <w:tcW w:w="6645"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60400"/>
                <wp:effectExtent l="0" t="0" r="0" b="0"/>
                <wp:wrapNone/>
                <wp:docPr id="47" name="Frame1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4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6" descr=""/>
                          <pic:cNvPicPr>
                            <a:picLocks noChangeAspect="1" noChangeArrowheads="1"/>
                          </pic:cNvPicPr>
                        </pic:nvPicPr>
                        <pic:blipFill>
                          <a:blip r:embed="rId37"/>
                          <a:stretch>
                            <a:fillRect/>
                          </a:stretch>
                        </pic:blipFill>
                        <pic:spPr bwMode="auto">
                          <a:xfrm>
                            <a:off x="0" y="0"/>
                            <a:ext cx="371475" cy="304800"/>
                          </a:xfrm>
                          <a:prstGeom prst="rect">
                            <a:avLst/>
                          </a:prstGeom>
                        </pic:spPr>
                      </pic:pic>
                    </a:graphicData>
                  </a:graphic>
                </wp:inline>
              </w:drawing>
            </w:r>
          </w:p>
        </w:tc>
      </w:tr>
    </w:tbl>
    <w:tbl>
      <w:tblPr>
        <w:tblW w:w="2172" w:type="dxa"/>
        <w:jc w:val="left"/>
        <w:tblInd w:w="0" w:type="dxa"/>
        <w:tblLayout w:type="fixed"/>
        <w:tblCellMar>
          <w:top w:w="28" w:type="dxa"/>
          <w:left w:w="28" w:type="dxa"/>
          <w:bottom w:w="28" w:type="dxa"/>
          <w:right w:w="28" w:type="dxa"/>
        </w:tblCellMar>
      </w:tblPr>
      <w:tblGrid>
        <w:gridCol w:w="377"/>
        <w:gridCol w:w="331"/>
        <w:gridCol w:w="331"/>
        <w:gridCol w:w="331"/>
        <w:gridCol w:w="331"/>
        <w:gridCol w:w="471"/>
      </w:tblGrid>
      <w:tr>
        <w:trPr/>
        <w:tc>
          <w:tcPr>
            <w:tcW w:w="3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7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Graphik Medium;sans-serif" w:hAnsi="Graphik Medium;sans-serif"/>
                <w:b/>
                <w:color w:val="1D1D1D"/>
                <w:sz w:val="22"/>
              </w:rPr>
            </w:pPr>
            <w:r>
              <w:rPr>
                <w:rFonts w:ascii="Graphik Medium;sans-serif" w:hAnsi="Graphik Medium;sans-serif"/>
                <w:b/>
                <w:color w:val="1D1D1D"/>
                <w:sz w:val="22"/>
              </w:rPr>
              <w:t>PROPOSAL ONE</w:t>
            </w:r>
          </w:p>
        </w:tc>
      </w:tr>
      <w:tr>
        <w:trPr/>
        <w:tc>
          <w:tcPr>
            <w:tcW w:w="1039"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Directors and Nominees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number of directors is currently set at nine. Following approval by our stockholders at the 2023 Annual Meeting, we filed a Restated Certificate to implement a declassification of the Board of Directors over a three-year period and provide for the annual election of directors for one-year terms, commencing upon the expiration of the directors’ then-current terms. As of the date of the Annual Meeting, five directors are either serving or completing a three-year term, two directors are serving or completing a one-year term and two directors are serving or completing an initial term, as follows:</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Robert S. Epstein</w:t>
      </w:r>
      <w:r>
        <w:rPr>
          <w:rFonts w:ascii="Graphik Light;sans-serif" w:hAnsi="Graphik Light;sans-serif"/>
          <w:b w:val="false"/>
          <w:color w:val="1D1D1D"/>
          <w:sz w:val="18"/>
        </w:rPr>
        <w:t>,</w:t>
      </w:r>
      <w:r>
        <w:rPr>
          <w:color w:val="1D1D1D"/>
        </w:rPr>
        <w:t xml:space="preserve"> </w:t>
      </w:r>
      <w:r>
        <w:rPr>
          <w:rFonts w:ascii="Graphik Semibold;sans-serif" w:hAnsi="Graphik Semibold;sans-serif"/>
          <w:b/>
          <w:color w:val="1D1D1D"/>
          <w:sz w:val="18"/>
        </w:rPr>
        <w:t>M.D., M.S</w:t>
      </w:r>
      <w:r>
        <w:rPr>
          <w:rFonts w:ascii="Graphik Semibold;sans-serif" w:hAnsi="Graphik Semibold;sans-serif"/>
          <w:b w:val="false"/>
          <w:color w:val="1D1D1D"/>
          <w:sz w:val="18"/>
        </w:rPr>
        <w:t>.</w:t>
      </w:r>
      <w:r>
        <w:rPr>
          <w:rFonts w:ascii="Graphik Light;sans-serif" w:hAnsi="Graphik Light;sans-serif"/>
          <w:b w:val="false"/>
          <w:color w:val="1D1D1D"/>
          <w:sz w:val="18"/>
        </w:rPr>
        <w:t xml:space="preserve">, and </w:t>
      </w:r>
      <w:r>
        <w:rPr>
          <w:rFonts w:ascii="Graphik Semibold;sans-serif" w:hAnsi="Graphik Semibold;sans-serif"/>
          <w:b/>
          <w:color w:val="1D1D1D"/>
          <w:sz w:val="18"/>
        </w:rPr>
        <w:t>Evan Jones</w:t>
      </w:r>
      <w:r>
        <w:rPr>
          <w:color w:val="1D1D1D"/>
        </w:rPr>
        <w:t xml:space="preserve"> </w:t>
      </w:r>
      <w:r>
        <w:rPr>
          <w:rFonts w:ascii="Graphik Light;sans-serif" w:hAnsi="Graphik Light;sans-serif"/>
          <w:b w:val="false"/>
          <w:color w:val="1D1D1D"/>
          <w:sz w:val="18"/>
        </w:rPr>
        <w:t>were elected to the Board of Directors at our 2023 Annual Meeting of Stockholders, and their three-year terms will expire at the Annual Meeting of Stockholders to be held in 2026 (the “2026 Annual Meeting”);</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Muna Bhanji</w:t>
      </w:r>
      <w:r>
        <w:rPr>
          <w:color w:val="1D1D1D"/>
        </w:rPr>
        <w:t xml:space="preserve"> </w:t>
      </w:r>
      <w:r>
        <w:rPr>
          <w:rFonts w:ascii="Graphik Light;sans-serif" w:hAnsi="Graphik Light;sans-serif"/>
          <w:b w:val="false"/>
          <w:color w:val="1D1D1D"/>
          <w:sz w:val="18"/>
        </w:rPr>
        <w:t xml:space="preserve">and </w:t>
      </w:r>
      <w:r>
        <w:rPr>
          <w:rFonts w:ascii="Graphik Semibold;sans-serif" w:hAnsi="Graphik Semibold;sans-serif"/>
          <w:b/>
          <w:color w:val="1D1D1D"/>
          <w:sz w:val="18"/>
        </w:rPr>
        <w:t>Marc Stapley</w:t>
      </w:r>
      <w:r>
        <w:rPr>
          <w:color w:val="1D1D1D"/>
        </w:rPr>
        <w:t xml:space="preserve"> </w:t>
      </w:r>
      <w:r>
        <w:rPr>
          <w:rFonts w:ascii="Graphik Light;sans-serif" w:hAnsi="Graphik Light;sans-serif"/>
          <w:b w:val="false"/>
          <w:color w:val="1D1D1D"/>
          <w:sz w:val="18"/>
        </w:rPr>
        <w:t>were elected to the Board of Directors at our 2024 Annual Meeting of Stockholders, and their one-year terms will expire at the Annual Meeting;</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Eliav Barr</w:t>
      </w:r>
      <w:r>
        <w:rPr>
          <w:rFonts w:ascii="Graphik Light;sans-serif" w:hAnsi="Graphik Light;sans-serif"/>
          <w:b w:val="false"/>
          <w:color w:val="1D1D1D"/>
          <w:sz w:val="18"/>
        </w:rPr>
        <w:t xml:space="preserve">, </w:t>
      </w:r>
      <w:r>
        <w:rPr>
          <w:rFonts w:ascii="Graphik Semibold;sans-serif" w:hAnsi="Graphik Semibold;sans-serif"/>
          <w:b/>
          <w:color w:val="1D1D1D"/>
          <w:sz w:val="18"/>
        </w:rPr>
        <w:t>Karin Eastham</w:t>
      </w:r>
      <w:r>
        <w:rPr>
          <w:color w:val="1D1D1D"/>
        </w:rPr>
        <w:t xml:space="preserve"> </w:t>
      </w:r>
      <w:r>
        <w:rPr>
          <w:rFonts w:ascii="Graphik Light;sans-serif" w:hAnsi="Graphik Light;sans-serif"/>
          <w:b w:val="false"/>
          <w:color w:val="1D1D1D"/>
          <w:sz w:val="18"/>
        </w:rPr>
        <w:t xml:space="preserve">and </w:t>
      </w:r>
      <w:r>
        <w:rPr>
          <w:rFonts w:ascii="Graphik Semibold;sans-serif" w:hAnsi="Graphik Semibold;sans-serif"/>
          <w:b/>
          <w:color w:val="1D1D1D"/>
          <w:sz w:val="18"/>
        </w:rPr>
        <w:t>Jens Holstein</w:t>
      </w:r>
      <w:r>
        <w:rPr>
          <w:color w:val="1D1D1D"/>
        </w:rPr>
        <w:t xml:space="preserve"> </w:t>
      </w:r>
      <w:r>
        <w:rPr>
          <w:rFonts w:ascii="Graphik Light;sans-serif" w:hAnsi="Graphik Light;sans-serif"/>
          <w:b w:val="false"/>
          <w:color w:val="1D1D1D"/>
          <w:sz w:val="18"/>
        </w:rPr>
        <w:t>were elected to the Board of Directors at our 2022 Annual Meeting of Stockholders, and their three-year terms will expire at the Annual Meeting; and</w:t>
      </w:r>
    </w:p>
    <w:p>
      <w:pPr>
        <w:pStyle w:val="TextBody"/>
        <w:bidi w:val="0"/>
        <w:spacing w:lineRule="auto" w:line="336" w:before="0" w:after="180"/>
        <w:ind w:left="0" w:right="0" w:hanging="270"/>
        <w:jc w:val="left"/>
        <w:rPr/>
      </w:pPr>
      <w:r>
        <w:rPr>
          <w:color w:val="005CBA"/>
        </w:rPr>
        <w:t>•</w:t>
      </w:r>
      <w:r>
        <w:rPr>
          <w:rFonts w:ascii="Graphik Semibold;sans-serif" w:hAnsi="Graphik Semibold;sans-serif"/>
          <w:b/>
          <w:color w:val="1D1D1D"/>
          <w:sz w:val="18"/>
        </w:rPr>
        <w:t>Tom Miller</w:t>
      </w:r>
      <w:r>
        <w:rPr>
          <w:color w:val="1D1D1D"/>
        </w:rPr>
        <w:t xml:space="preserve"> </w:t>
      </w:r>
      <w:r>
        <w:rPr>
          <w:rFonts w:ascii="Graphik Light;sans-serif" w:hAnsi="Graphik Light;sans-serif"/>
          <w:b w:val="false"/>
          <w:color w:val="1D1D1D"/>
          <w:sz w:val="18"/>
        </w:rPr>
        <w:t xml:space="preserve">and </w:t>
      </w:r>
      <w:r>
        <w:rPr>
          <w:rFonts w:ascii="Graphik Semibold;sans-serif" w:hAnsi="Graphik Semibold;sans-serif"/>
          <w:b/>
          <w:color w:val="1D1D1D"/>
          <w:sz w:val="18"/>
        </w:rPr>
        <w:t>Brent Shafer</w:t>
      </w:r>
      <w:r>
        <w:rPr>
          <w:color w:val="1D1D1D"/>
        </w:rPr>
        <w:t xml:space="preserve"> </w:t>
      </w:r>
      <w:r>
        <w:rPr>
          <w:rFonts w:ascii="Graphik Light;sans-serif" w:hAnsi="Graphik Light;sans-serif"/>
          <w:b w:val="false"/>
          <w:color w:val="1D1D1D"/>
          <w:sz w:val="18"/>
        </w:rPr>
        <w:t>were appointed to the Board of Directors in September 2024, and their initial terms will expire at the Annual Meeting.</w:t>
      </w:r>
    </w:p>
    <w:tbl>
      <w:tblPr>
        <w:tblW w:w="4223" w:type="dxa"/>
        <w:jc w:val="left"/>
        <w:tblInd w:w="0" w:type="dxa"/>
        <w:tblLayout w:type="fixed"/>
        <w:tblCellMar>
          <w:top w:w="28" w:type="dxa"/>
          <w:left w:w="28" w:type="dxa"/>
          <w:bottom w:w="28" w:type="dxa"/>
          <w:right w:w="28" w:type="dxa"/>
        </w:tblCellMar>
      </w:tblPr>
      <w:tblGrid>
        <w:gridCol w:w="124"/>
        <w:gridCol w:w="109"/>
        <w:gridCol w:w="109"/>
        <w:gridCol w:w="1169"/>
        <w:gridCol w:w="1169"/>
        <w:gridCol w:w="11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sans-serif" w:hAnsi="Graphik;sans-serif"/>
                <w:b/>
                <w:color w:val="FFFFFF"/>
                <w:sz w:val="22"/>
              </w:rPr>
            </w:pPr>
            <w:r>
              <w:rPr>
                <w:rFonts w:ascii="Graphik;sans-serif" w:hAnsi="Graphik;sans-serif"/>
                <w:b/>
                <w:color w:val="FFFFFF"/>
                <w:sz w:val="22"/>
              </w:rPr>
              <w:t>YOUR VOTE IS IMPORTANT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D1ECF7"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66700" cy="266700"/>
                  <wp:effectExtent l="0" t="0" r="0" b="0"/>
                  <wp:docPr id="4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7" descr=""/>
                          <pic:cNvPicPr>
                            <a:picLocks noChangeAspect="1" noChangeArrowheads="1"/>
                          </pic:cNvPicPr>
                        </pic:nvPicPr>
                        <pic:blipFill>
                          <a:blip r:embed="rId38"/>
                          <a:stretch>
                            <a:fillRect/>
                          </a:stretch>
                        </pic:blipFill>
                        <pic:spPr bwMode="auto">
                          <a:xfrm>
                            <a:off x="0" y="0"/>
                            <a:ext cx="266700" cy="266700"/>
                          </a:xfrm>
                          <a:prstGeom prst="rect">
                            <a:avLst/>
                          </a:prstGeom>
                        </pic:spPr>
                      </pic:pic>
                    </a:graphicData>
                  </a:graphic>
                </wp:inline>
              </w:drawing>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Our Board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of Directors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 xml:space="preserve">recommends a </w:t>
            </w:r>
          </w:p>
          <w:p>
            <w:pPr>
              <w:pStyle w:val="TableContents"/>
              <w:bidi w:val="0"/>
              <w:spacing w:lineRule="auto" w:line="336" w:before="0" w:after="0"/>
              <w:jc w:val="center"/>
              <w:rPr/>
            </w:pPr>
            <w:r>
              <w:rPr>
                <w:rFonts w:ascii="Graphik Medium;sans-serif" w:hAnsi="Graphik Medium;sans-serif"/>
                <w:b w:val="false"/>
                <w:color w:val="1D1D1D"/>
                <w:sz w:val="20"/>
              </w:rPr>
              <w:t xml:space="preserve">vote </w:t>
            </w:r>
            <w:r>
              <w:rPr>
                <w:rFonts w:ascii="Graphik;sans-serif" w:hAnsi="Graphik;sans-serif"/>
                <w:b/>
                <w:color w:val="8E4FBE"/>
                <w:sz w:val="20"/>
              </w:rPr>
              <w:t>FOR</w:t>
            </w:r>
            <w:r>
              <w:rPr>
                <w:color w:val="1D1D1D"/>
              </w:rPr>
              <w:t xml:space="preserve"> </w:t>
            </w:r>
            <w:r>
              <w:rPr>
                <w:rFonts w:ascii="Graphik Medium;sans-serif" w:hAnsi="Graphik Medium;sans-serif"/>
                <w:b w:val="false"/>
                <w:color w:val="1D1D1D"/>
                <w:sz w:val="20"/>
              </w:rPr>
              <w:t xml:space="preserve">this </w:t>
            </w:r>
          </w:p>
          <w:p>
            <w:pPr>
              <w:pStyle w:val="TableContents"/>
              <w:bidi w:val="0"/>
              <w:spacing w:lineRule="auto" w:line="336" w:before="0" w:after="0"/>
              <w:jc w:val="center"/>
              <w:rPr>
                <w:rFonts w:ascii="Graphik Medium;sans-serif" w:hAnsi="Graphik Medium;sans-serif"/>
                <w:b w:val="false"/>
                <w:color w:val="1D1D1D"/>
                <w:sz w:val="20"/>
              </w:rPr>
            </w:pPr>
            <w:r>
              <w:rPr>
                <w:rFonts w:ascii="Graphik Medium;sans-serif" w:hAnsi="Graphik Medium;sans-serif"/>
                <w:b w:val="false"/>
                <w:color w:val="1D1D1D"/>
                <w:sz w:val="20"/>
              </w:rPr>
              <w:t>proposal</w:t>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0"/>
        <w:ind w:left="0" w:right="0" w:hanging="270"/>
        <w:jc w:val="left"/>
        <w:rPr>
          <w:rFonts w:ascii="Graphik Light;sans-serif" w:hAnsi="Graphik Light;sans-serif"/>
          <w:b w:val="false"/>
          <w:color w:val="1D1D1D"/>
          <w:sz w:val="18"/>
        </w:rPr>
      </w:pPr>
      <w:r>
        <w:rPr>
          <w:rFonts w:ascii="Graphik Light;sans-serif" w:hAnsi="Graphik Light;sans-serif"/>
          <w:b w:val="false"/>
          <w:color w:val="1D1D1D"/>
          <w:sz w:val="18"/>
        </w:rPr>
        <w:t xml:space="preserve">Dr. Epstein is currently the Chair of the Board of Directors and will continue to serve in such role following the Annual Meeting. The Nominating and Corporate Governance Committee of the Board of Directors has recommended, and the Board of Directors has designated, Dr. Barr, Ms. Bhanji, Ms. Eastham, Mr. Holstein, Dr. Miller, Mr. Shafer and Mr. Stapley as the nominees for directors at the Annual Meeting to serve until the 2026 Annual Meeting or until their successors are duly elected or qualified.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Director Biographical Information</w:t>
      </w:r>
    </w:p>
    <w:p>
      <w:pPr>
        <w:pStyle w:val="TextBody"/>
        <w:bidi w:val="0"/>
        <w:spacing w:lineRule="auto" w:line="336" w:before="0" w:after="300"/>
        <w:jc w:val="left"/>
        <w:rPr>
          <w:rFonts w:ascii="Graphik Light;sans-serif" w:hAnsi="Graphik Light;sans-serif"/>
          <w:b w:val="false"/>
          <w:color w:val="1D1D1D"/>
          <w:sz w:val="18"/>
        </w:rPr>
      </w:pPr>
      <w:r>
        <w:rPr>
          <w:rFonts w:ascii="Graphik Light;sans-serif" w:hAnsi="Graphik Light;sans-serif"/>
          <w:b w:val="false"/>
          <w:color w:val="1D1D1D"/>
          <w:sz w:val="18"/>
        </w:rPr>
        <w:t>Names of the director nominees and the other members of the Board of Directors and certain biographical information as of April 21, 2025 are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60400"/>
                <wp:effectExtent l="0" t="0" r="0" b="0"/>
                <wp:wrapNone/>
                <wp:docPr id="50" name="Frame1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center"/>
        <w:tblInd w:w="0" w:type="dxa"/>
        <w:tblLayout w:type="fixed"/>
        <w:tblCellMar>
          <w:top w:w="28" w:type="dxa"/>
          <w:left w:w="28" w:type="dxa"/>
          <w:bottom w:w="28" w:type="dxa"/>
          <w:right w:w="28" w:type="dxa"/>
        </w:tblCellMar>
      </w:tblPr>
      <w:tblGrid>
        <w:gridCol w:w="298"/>
        <w:gridCol w:w="262"/>
        <w:gridCol w:w="262"/>
        <w:gridCol w:w="453"/>
        <w:gridCol w:w="453"/>
        <w:gridCol w:w="454"/>
        <w:gridCol w:w="262"/>
        <w:gridCol w:w="262"/>
        <w:gridCol w:w="264"/>
        <w:gridCol w:w="109"/>
        <w:gridCol w:w="109"/>
        <w:gridCol w:w="109"/>
        <w:gridCol w:w="2021"/>
        <w:gridCol w:w="2021"/>
        <w:gridCol w:w="286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970"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5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8" descr=""/>
                          <pic:cNvPicPr>
                            <a:picLocks noChangeAspect="1" noChangeArrowheads="1"/>
                          </pic:cNvPicPr>
                        </pic:nvPicPr>
                        <pic:blipFill>
                          <a:blip r:embed="rId39"/>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Marc Stapley</w:t>
            </w:r>
            <w:r>
              <w:rPr>
                <w:color w:val="1D1D1D"/>
              </w:rPr>
              <w:t xml:space="preserve"> </w:t>
            </w:r>
            <w:r>
              <w:rPr>
                <w:rFonts w:ascii="Graphik Light;sans-serif" w:hAnsi="Graphik Light;sans-serif"/>
                <w:b w:val="false"/>
                <w:color w:val="1D1D1D"/>
                <w:sz w:val="18"/>
              </w:rPr>
              <w:t xml:space="preserve">has served as our Chief Executive Officer since June 1, 2021 and as a member of our Board of Directors since June 8, 2021. He served as the Chief Executive Officer of Helix, Inc., a genomics company, from 2019 to 2021. Prior to that, Mr. Stapley served in key managerial positions at Illumina, Inc., a genetic sequencing company, including as Chief Financial Officer from 2012 to 2017, as Chief Administrative Officer from 2015 to 2017, and as Executive Vice President from 2017 to 2019. From 2009 to 2012, Mr. Stapley served as Senior Vice President, Finance at Pfizer Inc., a pharmaceutical company. Mr. Stapley has served as a member of the board of directors of Glaukos Corporation, an ophthalmic medical technology company, since 2014, and has served as a member of the board of directors of Helix since 2015. Mr. Stapley holds a B.Sc. (Honors) in Mathematics from The University of Reading (England).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We believe that Mr. Stapley is qualified to serve on our Board of Directors due to his significant leadership experience in the diagnostics and genetic sequencing fields, as well as his experience as our Chief Executive Officer and his service on the boards of directors of other life sciences and healthcare companies.</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MARC STAPLEY</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55</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2021</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8"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573"/>
        <w:gridCol w:w="504"/>
        <w:gridCol w:w="319"/>
        <w:gridCol w:w="262"/>
        <w:gridCol w:w="262"/>
        <w:gridCol w:w="264"/>
        <w:gridCol w:w="109"/>
        <w:gridCol w:w="109"/>
        <w:gridCol w:w="109"/>
        <w:gridCol w:w="2011"/>
        <w:gridCol w:w="2011"/>
        <w:gridCol w:w="285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3006"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5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9" descr=""/>
                          <pic:cNvPicPr>
                            <a:picLocks noChangeAspect="1" noChangeArrowheads="1"/>
                          </pic:cNvPicPr>
                        </pic:nvPicPr>
                        <pic:blipFill>
                          <a:blip r:embed="rId40"/>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Eliav Barr, M.D.</w:t>
            </w:r>
            <w:r>
              <w:rPr>
                <w:rFonts w:ascii="Graphik Light;sans-serif" w:hAnsi="Graphik Light;sans-serif"/>
                <w:b w:val="false"/>
                <w:color w:val="1D1D1D"/>
                <w:sz w:val="18"/>
              </w:rPr>
              <w:t xml:space="preserve">, has served on our Board of Directors since August 2022. Dr. Barr has served as Head of Global Clinical Development and Chief Medical Officer at Merck Research Laboratories (“MRL”), a division of Merck &amp; Co., Inc. (“Merck”), since April 2022. He is also the Chairperson of the Late Development Review Committee at MRL, the governance committee that oversees the development programs for pipeline and in-line products in the Cardiovascular, Diabetes/Endocrine/ Metabolism, Immunology, Neurology, Oncology, Psychiatry, Respiratory, and Vaccines/Infectious Diseases therapeutic areas. Dr. Barr has held numerous leadership positions within MRL since joining the company in 1995, including serving as Senior Vice President, Global Medical and Scientific Affairs from 2018 to 2022. Prior to joining Merck, Dr. Barr pursued post-doctoral training at the University of Michigan and was on faculty at the University of Chicago. He holds a B.S. from Pennsylvania State University and an M.D. from Jefferson Medical College of Thomas Jefferson University and completed an Internal Medicine residency and Cardiology Fellowship at Johns Hopkins.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We believe that Dr. Barr is qualified to serve on our Board of Directors due to his knowledge of the life sciences industry, his medical experience and his extensive executive and senior management experience in the biopharmaceutical industry.</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ELIAV BARR</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60</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2022</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Regulatory and Compliance</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60400"/>
                <wp:effectExtent l="0" t="0" r="0" b="0"/>
                <wp:wrapNone/>
                <wp:docPr id="53" name="Frame1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298"/>
        <w:gridCol w:w="262"/>
        <w:gridCol w:w="262"/>
        <w:gridCol w:w="669"/>
        <w:gridCol w:w="385"/>
        <w:gridCol w:w="385"/>
        <w:gridCol w:w="262"/>
        <w:gridCol w:w="262"/>
        <w:gridCol w:w="264"/>
        <w:gridCol w:w="109"/>
        <w:gridCol w:w="109"/>
        <w:gridCol w:w="109"/>
        <w:gridCol w:w="1998"/>
        <w:gridCol w:w="1998"/>
        <w:gridCol w:w="283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3049"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5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0" descr=""/>
                          <pic:cNvPicPr>
                            <a:picLocks noChangeAspect="1" noChangeArrowheads="1"/>
                          </pic:cNvPicPr>
                        </pic:nvPicPr>
                        <pic:blipFill>
                          <a:blip r:embed="rId41"/>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Muna Bhanji, R.Ph.</w:t>
            </w:r>
            <w:r>
              <w:rPr>
                <w:rFonts w:ascii="Graphik Light;sans-serif" w:hAnsi="Graphik Light;sans-serif"/>
                <w:b w:val="false"/>
                <w:color w:val="1D1D1D"/>
                <w:sz w:val="18"/>
              </w:rPr>
              <w:t xml:space="preserve">, has served on our Board of Directors since March 2021. Ms. Bhanji is the Founder and President of TIBA Global Access LLC, an independent senior advisory/consultancy focused on commercialization and market access strategy development, serving the biopharmaceutical industry. Her prior experience includes an over 34-year tenure at Merck, during which she held a number of senior leadership roles within the U.S. and Global commercial organizations, including Senior Vice President, Oncology and Senior Vice President, Hospital &amp; Specialty Franchises. Most recently, through December 2020, she served as the Senior Vice President, Global Market Access &amp; Policy. In addition to serving as a director on a private company board, she currently serves on the board of directors of Intellia Therapeutics, Inc., Cytokinetics, Inc., Ardelyx, Inc. and Corus International, an international NGO. Prior to that, she had served on the boards of Possible Health, a Nepal-based NGO and the Foundation of Managed Care Pharmacy and had also chaired Merck’s Supervisory Board in the Netherlands. Ms. Bhanji earned her Bachelor of Pharmacy degree from Rutgers School of Pharmacy and an M.B.A. from St. Joseph’s University.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We believe that Ms. Bhanji is qualified to serve on our Board of Directors due to her extensive experience in strategic roles in the biopharmaceutical industry.</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MUNA BHANJI</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62</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2021</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Nominating and Corporate Governance</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Regulatory and Compliance</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9"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481"/>
        <w:gridCol w:w="481"/>
        <w:gridCol w:w="482"/>
        <w:gridCol w:w="262"/>
        <w:gridCol w:w="262"/>
        <w:gridCol w:w="264"/>
        <w:gridCol w:w="109"/>
        <w:gridCol w:w="109"/>
        <w:gridCol w:w="109"/>
        <w:gridCol w:w="1996"/>
        <w:gridCol w:w="1996"/>
        <w:gridCol w:w="28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r>
      <w:tr>
        <w:trPr/>
        <w:tc>
          <w:tcPr>
            <w:tcW w:w="3054"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5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1" descr=""/>
                          <pic:cNvPicPr>
                            <a:picLocks noChangeAspect="1" noChangeArrowheads="1"/>
                          </pic:cNvPicPr>
                        </pic:nvPicPr>
                        <pic:blipFill>
                          <a:blip r:embed="rId42"/>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4"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Karin Eastham</w:t>
            </w:r>
            <w:r>
              <w:rPr>
                <w:color w:val="1D1D1D"/>
              </w:rPr>
              <w:t xml:space="preserve"> </w:t>
            </w:r>
            <w:r>
              <w:rPr>
                <w:rFonts w:ascii="Graphik Light;sans-serif" w:hAnsi="Graphik Light;sans-serif"/>
                <w:b w:val="false"/>
                <w:color w:val="1D1D1D"/>
                <w:sz w:val="18"/>
              </w:rPr>
              <w:t xml:space="preserve">has served on our Board of Directors since December 2012. Ms. Eastham has served on the board of directors of Personalis, Inc., a biotechnology company, since September 2019, and has served as chair of the board of directors of Personalis, Inc. since May 2022. She also has served on the boards of directors of Nektar Therapeutics, a biopharmaceutical company, and Geron Corporation, a biotechnology company. From 2004 to 2008, Ms. Eastham served as Executive Vice President and Chief Operating Officer, and as a member of the Board of Trustees, of the Burnham Institute for Medical Research, a nonprofit corporation engaged in biomedical research. From 1999 to 2004, Ms. Eastham served as Senior Vice President, Chief Financial Officer and Secretary of Diversa Corporation, a biotechnology company. Ms. Eastham previously held similar positions with several life sciences companies. Ms. Eastham also previously served as a member of the board of directors of Illumina, Inc. from 2004 to 2019, MorphoSys AG from 2012 to 2017, Amylin Pharmaceuticals, Inc. from 2005 until its acquisition in 2012, Genoptix, Inc. from 2008 until its acquisition in 2011, Tercica, Inc. from 2003 until its acquisition in 2008, and Trius Therapeutics, Inc. from 2007 until its acquisition in 2013. Ms. Eastham received a B.S. in Accounting and an M.B.A. from Indiana University and is a Certified Public Accountant (inactive).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We believe that Ms. Eastham is qualified to serve on our Board of Directors due to her experience as a director of numerous life sciences companies, as well as her extensive senior management experience in the biopharmaceutical industry.</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KARIN EASTHAM</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75</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2012</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Compensation (Chair)</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60400"/>
                <wp:effectExtent l="0" t="0" r="0" b="0"/>
                <wp:wrapNone/>
                <wp:docPr id="56" name="Frame1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63"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298"/>
        <w:gridCol w:w="262"/>
        <w:gridCol w:w="262"/>
        <w:gridCol w:w="538"/>
        <w:gridCol w:w="451"/>
        <w:gridCol w:w="452"/>
        <w:gridCol w:w="262"/>
        <w:gridCol w:w="262"/>
        <w:gridCol w:w="264"/>
        <w:gridCol w:w="109"/>
        <w:gridCol w:w="109"/>
        <w:gridCol w:w="109"/>
        <w:gridCol w:w="1999"/>
        <w:gridCol w:w="1999"/>
        <w:gridCol w:w="282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r>
      <w:tr>
        <w:trPr/>
        <w:tc>
          <w:tcPr>
            <w:tcW w:w="3051"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5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2" descr=""/>
                          <pic:cNvPicPr>
                            <a:picLocks noChangeAspect="1" noChangeArrowheads="1"/>
                          </pic:cNvPicPr>
                        </pic:nvPicPr>
                        <pic:blipFill>
                          <a:blip r:embed="rId43"/>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restart"/>
            <w:tcBorders/>
            <w:tcMar>
              <w:top w:w="0" w:type="dxa"/>
              <w:left w:w="0" w:type="dxa"/>
              <w:bottom w:w="0" w:type="dxa"/>
              <w:right w:w="0" w:type="dxa"/>
            </w:tcMar>
            <w:vAlign w:val="center"/>
          </w:tcPr>
          <w:p>
            <w:pPr>
              <w:pStyle w:val="TableContents"/>
              <w:bidi w:val="0"/>
              <w:spacing w:lineRule="auto" w:line="336" w:before="0" w:after="180"/>
              <w:jc w:val="both"/>
              <w:rPr/>
            </w:pPr>
            <w:r>
              <w:rPr>
                <w:rFonts w:ascii="Graphik Semibold;sans-serif" w:hAnsi="Graphik Semibold;sans-serif"/>
                <w:b/>
                <w:color w:val="1D1D1D"/>
                <w:sz w:val="18"/>
              </w:rPr>
              <w:t>Robert S. Epstein, M.D., M.S.</w:t>
            </w:r>
            <w:r>
              <w:rPr>
                <w:rFonts w:ascii="Graphik Light;sans-serif" w:hAnsi="Graphik Light;sans-serif"/>
                <w:b w:val="false"/>
                <w:color w:val="1D1D1D"/>
                <w:sz w:val="18"/>
              </w:rPr>
              <w:t xml:space="preserve">, has served on our Board of Directors since January 2015 and is Chair of the Board of Directors. Dr. Epstein has served as a strategic consultant to life sciences companies since 2013. From 2010 to 2012, Dr. Epstein served as President of the Medco-UBC Division and as Chief Research and Development Officer of Medco Health Solutions, Inc., a managed healthcare company. Prior to that, Dr. Epstein served as Medco’s Chief Medical Officer from 1997 to 2010. Dr. Epstein has served as a member of the board of directors of Fate Therapeutics, Inc. since March 2014 and Illumina, Inc. since November 2012. Dr. Epstein previously served as a member of the board of directors of Aveo Pharmaceuticals, Inc. from 2012 to 2014 and was Chairman of the Board of Decipher Biosciences, Inc. from 2019 until 2021. Dr. Epstein is the former president of the International Society of Pharmacoeconomics and Outcomes Research, and served on the board of directors of the Drug Information Association and the International Society of Quality of Life. He has also served on the Centers for Disease Control and Prevention Evaluation of Genomic Applications in Practice &amp; Prevention Stakeholder Committee and the Agency for Healthcare Research and Quality Centers for Education and Research on Therapeutics Committee. Dr. Epstein holds a B.S. in Biomedical Science and an M.D. from the University of Michigan, and an M.S. in Preventive Medicine from the University of Maryland. </w:t>
            </w:r>
          </w:p>
          <w:p>
            <w:pPr>
              <w:pStyle w:val="TableContents"/>
              <w:bidi w:val="0"/>
              <w:spacing w:lineRule="auto" w:line="336" w:before="0" w:after="180"/>
              <w:jc w:val="both"/>
              <w:rPr>
                <w:rFonts w:ascii="Graphik;sans-serif" w:hAnsi="Graphik;sans-serif"/>
                <w:b w:val="false"/>
                <w:color w:val="005CBA"/>
                <w:sz w:val="18"/>
              </w:rPr>
            </w:pPr>
            <w:r>
              <w:rPr>
                <w:rFonts w:ascii="Graphik;sans-serif" w:hAnsi="Graphik;sans-serif"/>
                <w:b w:val="false"/>
                <w:color w:val="005CBA"/>
                <w:sz w:val="18"/>
              </w:rPr>
              <w:t>We believe that Dr. Epstein is qualified to serve on our Board of Directors due to his extensive experience in strategic roles in healthcare companies, his expertise in reimbursement and FDA regulation, and his experience as a director of publicly traded companies in the life sciences industry.</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ROBERT S. EPSTEIN</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70</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2015</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Nominating and Corporate Governance (Chair)</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499"/>
        <w:gridCol w:w="499"/>
        <w:gridCol w:w="500"/>
        <w:gridCol w:w="262"/>
        <w:gridCol w:w="262"/>
        <w:gridCol w:w="264"/>
        <w:gridCol w:w="109"/>
        <w:gridCol w:w="109"/>
        <w:gridCol w:w="109"/>
        <w:gridCol w:w="1981"/>
        <w:gridCol w:w="1981"/>
        <w:gridCol w:w="280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r>
      <w:tr>
        <w:trPr/>
        <w:tc>
          <w:tcPr>
            <w:tcW w:w="3108"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5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3" descr=""/>
                          <pic:cNvPicPr>
                            <a:picLocks noChangeAspect="1" noChangeArrowheads="1"/>
                          </pic:cNvPicPr>
                        </pic:nvPicPr>
                        <pic:blipFill>
                          <a:blip r:embed="rId44"/>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8"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3"/>
            <w:vMerge w:val="restart"/>
            <w:tcBorders/>
            <w:tcMar>
              <w:top w:w="0" w:type="dxa"/>
              <w:left w:w="0" w:type="dxa"/>
              <w:bottom w:w="0" w:type="dxa"/>
              <w:right w:w="0" w:type="dxa"/>
            </w:tcMar>
            <w:vAlign w:val="center"/>
          </w:tcPr>
          <w:p>
            <w:pPr>
              <w:pStyle w:val="TableContents"/>
              <w:bidi w:val="0"/>
              <w:spacing w:lineRule="auto" w:line="336" w:before="0" w:after="180"/>
              <w:jc w:val="both"/>
              <w:rPr/>
            </w:pPr>
            <w:r>
              <w:rPr>
                <w:rFonts w:ascii="Graphik Semibold;sans-serif" w:hAnsi="Graphik Semibold;sans-serif"/>
                <w:b/>
                <w:color w:val="1D1D1D"/>
                <w:sz w:val="18"/>
              </w:rPr>
              <w:t>Jens Holstein</w:t>
            </w:r>
            <w:r>
              <w:rPr>
                <w:color w:val="1D1D1D"/>
              </w:rPr>
              <w:t xml:space="preserve"> </w:t>
            </w:r>
            <w:r>
              <w:rPr>
                <w:rFonts w:ascii="Graphik Light;sans-serif" w:hAnsi="Graphik Light;sans-serif"/>
                <w:b w:val="false"/>
                <w:color w:val="1D1D1D"/>
                <w:sz w:val="18"/>
              </w:rPr>
              <w:t xml:space="preserve">has served on our Board of Directors since August 2020. Mr. Holstein has served as Chief Financial Officer of BioNTech SE, a biotechnology company, since July 2021. Previously, Mr. Holstein served as Chief Financial Officer of MorphoSys AG, a biopharmaceutical company, from 2011 to 2020. From 1995 to 2011, Mr. Holstein held various positions at Fresenius SE &amp; Co. KGaA, a healthcare company, including regional Chief Financial Officer of Fresenius Kabi AG for the EME (Europe/Middle East) region and managing director of Fresenius Kabi Deutschland GmbH. Prior to joining Fresenius, Mr. Holstein spent several years in the consulting industry, with positions in Frankfurt and London. Mr. Holstein served as a director of InflaRx N.V., a biopharmaceutical company, from 2018 to 2020. Mr. Holstein holds a diploma in Business Administration from the University of Münster, Germany. </w:t>
            </w:r>
          </w:p>
          <w:p>
            <w:pPr>
              <w:pStyle w:val="TableContents"/>
              <w:bidi w:val="0"/>
              <w:spacing w:lineRule="auto" w:line="336" w:before="0" w:after="180"/>
              <w:jc w:val="both"/>
              <w:rPr>
                <w:rFonts w:ascii="Graphik;sans-serif" w:hAnsi="Graphik;sans-serif"/>
                <w:b w:val="false"/>
                <w:color w:val="005CBA"/>
                <w:sz w:val="18"/>
              </w:rPr>
            </w:pPr>
            <w:r>
              <w:rPr>
                <w:rFonts w:ascii="Graphik;sans-serif" w:hAnsi="Graphik;sans-serif"/>
                <w:b w:val="false"/>
                <w:color w:val="005CBA"/>
                <w:sz w:val="18"/>
              </w:rPr>
              <w:t xml:space="preserve">We believe that Mr. Holstein is qualified to serve on our Board of Directors due to his significant experience as the chief financial officer of a publicly traded biopharmaceutical company, as well as his extensive experience in management positions in life science and healthcare companies. </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JENS HOLSTEIN</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61</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2020</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Audit (Chair)</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Compensation</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60400"/>
                <wp:effectExtent l="0" t="0" r="0" b="0"/>
                <wp:wrapNone/>
                <wp:docPr id="59" name="Frame1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298"/>
        <w:gridCol w:w="262"/>
        <w:gridCol w:w="262"/>
        <w:gridCol w:w="616"/>
        <w:gridCol w:w="476"/>
        <w:gridCol w:w="363"/>
        <w:gridCol w:w="262"/>
        <w:gridCol w:w="262"/>
        <w:gridCol w:w="264"/>
        <w:gridCol w:w="109"/>
        <w:gridCol w:w="109"/>
        <w:gridCol w:w="109"/>
        <w:gridCol w:w="1991"/>
        <w:gridCol w:w="1991"/>
        <w:gridCol w:w="283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r>
      <w:tr>
        <w:trPr/>
        <w:tc>
          <w:tcPr>
            <w:tcW w:w="3065"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6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 descr=""/>
                          <pic:cNvPicPr>
                            <a:picLocks noChangeAspect="1" noChangeArrowheads="1"/>
                          </pic:cNvPicPr>
                        </pic:nvPicPr>
                        <pic:blipFill>
                          <a:blip r:embed="rId45"/>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5"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vMerge w:val="restart"/>
            <w:tcBorders/>
            <w:tcMar>
              <w:top w:w="0" w:type="dxa"/>
              <w:left w:w="0" w:type="dxa"/>
              <w:bottom w:w="0" w:type="dxa"/>
              <w:right w:w="0" w:type="dxa"/>
            </w:tcMar>
            <w:vAlign w:val="center"/>
          </w:tcPr>
          <w:p>
            <w:pPr>
              <w:pStyle w:val="TableContents"/>
              <w:bidi w:val="0"/>
              <w:spacing w:lineRule="auto" w:line="336" w:before="0" w:after="180"/>
              <w:jc w:val="both"/>
              <w:rPr/>
            </w:pPr>
            <w:r>
              <w:rPr>
                <w:rFonts w:ascii="Graphik Semibold;sans-serif" w:hAnsi="Graphik Semibold;sans-serif"/>
                <w:b/>
                <w:color w:val="1D1D1D"/>
                <w:sz w:val="18"/>
              </w:rPr>
              <w:t>Evan Jones</w:t>
            </w:r>
            <w:r>
              <w:rPr>
                <w:color w:val="1D1D1D"/>
              </w:rPr>
              <w:t xml:space="preserve"> </w:t>
            </w:r>
            <w:r>
              <w:rPr>
                <w:rFonts w:ascii="Graphik Light;sans-serif" w:hAnsi="Graphik Light;sans-serif"/>
                <w:b w:val="false"/>
                <w:color w:val="1D1D1D"/>
                <w:sz w:val="18"/>
              </w:rPr>
              <w:t xml:space="preserve">has served on our Board of Directors since February 2008. Mr. Jones has also served as Managing Member of jVen Capital, LLC, a life sciences investment company, since 2007. He served as Chief Executive Officer of OpGen, Inc., a genetic analysis company, from 2013 to 2020, and also served as a director from 2009 to 2021. He was a co-founder of Digene Corporation, a biotechnology company focused on women’s health and molecular diagnostic testing, serving as chairman of its board of directors from 1995 until its acquisition in 2007 and served as Chief Executive Officer from 1990 to 2006 and as President from 1990 to 1999. Mr. Jones served as a member of the board of directors of Foundation Medicine, Inc. until its merger with Roche Holdings, Inc. in 2018. Mr. Jones served as a director of Fluidigm Corporation from 2011 to 2017. Mr. Jones currently serves on the board of directors of ProtaGene GmbH, a private company, and Brightside Health, Inc., a private company. Mr. Jones received a B.A. in biochemistry from the University of Colorado and an M.B.A. from The Wharton School at the University of Pennsylvania. </w:t>
            </w:r>
          </w:p>
          <w:p>
            <w:pPr>
              <w:pStyle w:val="TableContents"/>
              <w:bidi w:val="0"/>
              <w:spacing w:lineRule="auto" w:line="336" w:before="0" w:after="180"/>
              <w:jc w:val="both"/>
              <w:rPr>
                <w:rFonts w:ascii="Graphik;sans-serif" w:hAnsi="Graphik;sans-serif"/>
                <w:b w:val="false"/>
                <w:color w:val="005CBA"/>
                <w:sz w:val="18"/>
              </w:rPr>
            </w:pPr>
            <w:r>
              <w:rPr>
                <w:rFonts w:ascii="Graphik;sans-serif" w:hAnsi="Graphik;sans-serif"/>
                <w:b w:val="false"/>
                <w:color w:val="005CBA"/>
                <w:sz w:val="18"/>
              </w:rPr>
              <w:t>We believe that Mr. Jones is qualified to serve on our Board of Directors due to his knowledge of the life sciences industry and his experience as a chief executive officer and as a board member of other publicly traded and privately held life sciences companies.</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EVAN JONES</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68</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2008</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Regulatory and Compliance (Chair)</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Audit</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Nominating and Corporate Governance</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613"/>
        <w:gridCol w:w="416"/>
        <w:gridCol w:w="397"/>
        <w:gridCol w:w="262"/>
        <w:gridCol w:w="262"/>
        <w:gridCol w:w="264"/>
        <w:gridCol w:w="109"/>
        <w:gridCol w:w="109"/>
        <w:gridCol w:w="109"/>
        <w:gridCol w:w="1999"/>
        <w:gridCol w:w="1999"/>
        <w:gridCol w:w="2844"/>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r>
      <w:tr>
        <w:trPr/>
        <w:tc>
          <w:tcPr>
            <w:tcW w:w="3036"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6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5" descr=""/>
                          <pic:cNvPicPr>
                            <a:picLocks noChangeAspect="1" noChangeArrowheads="1"/>
                          </pic:cNvPicPr>
                        </pic:nvPicPr>
                        <pic:blipFill>
                          <a:blip r:embed="rId46"/>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Tom Miller, Ph.D.</w:t>
            </w:r>
            <w:r>
              <w:rPr>
                <w:rFonts w:ascii="Graphik Light;sans-serif" w:hAnsi="Graphik Light;sans-serif"/>
                <w:b w:val="false"/>
                <w:color w:val="1D1D1D"/>
                <w:sz w:val="18"/>
              </w:rPr>
              <w:t xml:space="preserve">, has served on our Board of Directors since September 2024. Dr. Miller is a scientist and entrepreneur with a focus on the nexus of AI, chemistry and biology. Since 2020, he has served as Co-founder and Chief Executive Officer of Iambic Therapeutics, a clinical-stage biotechnology company that is disrupting the therapeutics landscape with a unique, AI-driven, drug-discovery platform. Prior to this, he served for over 10 years as a professor at the California Institute of Technology (Caltech), receiving tenure, publishing over 140 peer-reviewed articles and patents, and receiving numerous awards for research and entrepreneurial excellence. Dr. Miller earned a B.S. in Chemistry and Mathematics from Texas A&amp;M University and a Ph.D. in Theoretical Chemistry from the University of Oxford.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 xml:space="preserve">We believe that Dr. Miller is qualified to serve on our Board of Directors due to his expertise in AI, emerging technologies and data analytics. </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TOM MILLER</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46</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2024</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Regulatory and Compliance</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660400"/>
                <wp:effectExtent l="0" t="0" r="0" b="0"/>
                <wp:wrapNone/>
                <wp:docPr id="62" name="Frame1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298"/>
        <w:gridCol w:w="262"/>
        <w:gridCol w:w="262"/>
        <w:gridCol w:w="619"/>
        <w:gridCol w:w="404"/>
        <w:gridCol w:w="405"/>
        <w:gridCol w:w="262"/>
        <w:gridCol w:w="262"/>
        <w:gridCol w:w="264"/>
        <w:gridCol w:w="109"/>
        <w:gridCol w:w="109"/>
        <w:gridCol w:w="109"/>
        <w:gridCol w:w="2000"/>
        <w:gridCol w:w="2000"/>
        <w:gridCol w:w="284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3038"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6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6" descr=""/>
                          <pic:cNvPicPr>
                            <a:picLocks noChangeAspect="1" noChangeArrowheads="1"/>
                          </pic:cNvPicPr>
                        </pic:nvPicPr>
                        <pic:blipFill>
                          <a:blip r:embed="rId47"/>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8"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Brent Shafer</w:t>
            </w:r>
            <w:r>
              <w:rPr>
                <w:color w:val="1D1D1D"/>
              </w:rPr>
              <w:t xml:space="preserve"> </w:t>
            </w:r>
            <w:r>
              <w:rPr>
                <w:rFonts w:ascii="Graphik Light;sans-serif" w:hAnsi="Graphik Light;sans-serif"/>
                <w:b w:val="false"/>
                <w:color w:val="1D1D1D"/>
                <w:sz w:val="18"/>
              </w:rPr>
              <w:t xml:space="preserve">has served on our Board of Directors since September 2024. Mr. Shafer is a veteran healthcare industry leader with over 40 years of experience in health information technology, medical devices and other related industries. Mr. Shafer has served as the interim Chief Executive Officer and Chair of the board of Baxter International, Inc. since February 2025 and has served as a director since May 2022. From 2018 to 2021, he was Chairman and Chief Executive Officer of Cerner Corporation, which was acquired by Oracle Corporation. Prior to that, Mr. Shafer held key roles at Royal Philips, the health technology company, including as Chief Executive Officer of Philips North America and of the Philips Home Healthcare Solutions business. Before joining Philips, Mr. Shafer was Vice President and General Manager of Hillrom’s Patient Care Environment Division and worked at GE Medical Systems in key sales, marketing and general management positions. Following early roles at Intermountain Healthcare’s Primary Children’s Hospital and Johnson &amp; Johnson, Mr. Shafer held senior roles at Hewlett-Packard’s Medical Products Group. He currently serves on the board of Tactile Systems Technology, Inc. Mr. Shafer holds a B.S. in Communications from the University of Utah. </w:t>
            </w:r>
          </w:p>
          <w:p>
            <w:pPr>
              <w:pStyle w:val="TableContents"/>
              <w:bidi w:val="0"/>
              <w:spacing w:lineRule="auto" w:line="336" w:before="0" w:after="180"/>
              <w:jc w:val="left"/>
              <w:rPr>
                <w:rFonts w:ascii="Graphik;sans-serif" w:hAnsi="Graphik;sans-serif"/>
                <w:b w:val="false"/>
                <w:color w:val="005CBA"/>
                <w:sz w:val="18"/>
              </w:rPr>
            </w:pPr>
            <w:r>
              <w:rPr>
                <w:rFonts w:ascii="Graphik;sans-serif" w:hAnsi="Graphik;sans-serif"/>
                <w:b w:val="false"/>
                <w:color w:val="005CBA"/>
                <w:sz w:val="18"/>
              </w:rPr>
              <w:t xml:space="preserve">We believe that Mr. Shafer is qualified to serve on our Board of Directors due to his extensive experience in health information technologies, medical devices and various healthcare solutions and his experience as a chief executive officer and a board member of other publicly traded companies. </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BRENT SHAFER</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67</w:t>
            </w:r>
          </w:p>
          <w:p>
            <w:pPr>
              <w:pStyle w:val="TableContents"/>
              <w:bidi w:val="0"/>
              <w:spacing w:lineRule="auto" w:line="336" w:before="0" w:after="90"/>
              <w:jc w:val="left"/>
              <w:rPr/>
            </w:pPr>
            <w:r>
              <w:rPr>
                <w:rFonts w:ascii="Graphik Medium;sans-serif" w:hAnsi="Graphik Medium;sans-serif"/>
                <w:b/>
                <w:color w:val="1D1D1D"/>
                <w:sz w:val="18"/>
              </w:rPr>
              <w:t xml:space="preserve">Director Since: </w:t>
            </w:r>
            <w:r>
              <w:rPr>
                <w:rFonts w:ascii="Graphik Light;sans-serif" w:hAnsi="Graphik Light;sans-serif"/>
                <w:b w:val="false"/>
                <w:color w:val="1D1D1D"/>
                <w:sz w:val="18"/>
              </w:rPr>
              <w:t>2024</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Committees: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Compensation</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Required Vote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director nominee shall be elected to the Board if the number of votes cast “FOR” such director nominee’s election exceeds the number of votes cast “AGAINST” such director nominee’s election. Abstentions and broker non-votes with respect to any director nominee will have no effect as they are not considered votes cast for the foregoing purpose. This proposal is considered to be a non-routine proposal on which a broker or other nominee does not have discretionary authority to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2"/>
        <w:gridCol w:w="2942"/>
        <w:gridCol w:w="2949"/>
        <w:gridCol w:w="109"/>
        <w:gridCol w:w="109"/>
        <w:gridCol w:w="109"/>
        <w:gridCol w:w="205"/>
        <w:gridCol w:w="205"/>
        <w:gridCol w:w="2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restart"/>
            <w:tcBorders/>
            <w:shd w:fill="005CBA"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6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7" descr=""/>
                          <pic:cNvPicPr>
                            <a:picLocks noChangeAspect="1" noChangeArrowheads="1"/>
                          </pic:cNvPicPr>
                        </pic:nvPicPr>
                        <pic:blipFill>
                          <a:blip r:embed="rId48"/>
                          <a:stretch>
                            <a:fillRect/>
                          </a:stretch>
                        </pic:blipFill>
                        <pic:spPr bwMode="auto">
                          <a:xfrm>
                            <a:off x="0" y="0"/>
                            <a:ext cx="361950" cy="361950"/>
                          </a:xfrm>
                          <a:prstGeom prst="rect">
                            <a:avLst/>
                          </a:prstGeom>
                        </pic:spPr>
                      </pic:pic>
                    </a:graphicData>
                  </a:graphic>
                </wp:inline>
              </w:drawing>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lineRule="auto" w:line="336" w:before="0" w:after="0"/>
              <w:jc w:val="left"/>
              <w:rPr/>
            </w:pPr>
            <w:r>
              <w:rPr>
                <w:rFonts w:ascii="Graphik Medium;sans-serif" w:hAnsi="Graphik Medium;sans-serif"/>
                <w:b w:val="false"/>
                <w:color w:val="005CBA"/>
                <w:sz w:val="20"/>
              </w:rPr>
              <w:t xml:space="preserve">The Board of Directors recommends a vote </w:t>
            </w:r>
            <w:r>
              <w:rPr>
                <w:color w:val="8E4FBE"/>
              </w:rPr>
              <w:t>“</w:t>
            </w:r>
            <w:r>
              <w:rPr>
                <w:rFonts w:ascii="Graphik;sans-serif" w:hAnsi="Graphik;sans-serif"/>
                <w:b/>
                <w:color w:val="8E4FBE"/>
                <w:sz w:val="20"/>
              </w:rPr>
              <w:t>FOR”</w:t>
            </w:r>
            <w:r>
              <w:rPr>
                <w:color w:val="005CBA"/>
              </w:rPr>
              <w:t xml:space="preserve"> </w:t>
            </w:r>
            <w:r>
              <w:rPr>
                <w:rFonts w:ascii="Graphik Medium;sans-serif" w:hAnsi="Graphik Medium;sans-serif"/>
                <w:b w:val="false"/>
                <w:color w:val="005CBA"/>
                <w:sz w:val="20"/>
              </w:rPr>
              <w:t>the election of each of the seven director nominees: Eliav Barr, Muna Bhanji, Karin Eastham, Jens Holstein, Tom Miller, Brent Shafer and Marc Stapley.</w:t>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Director Nominations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of Directors for appointment, nomination or election.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660400"/>
                <wp:effectExtent l="0" t="0" r="0" b="0"/>
                <wp:wrapNone/>
                <wp:docPr id="65" name="Frame1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One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legal, accounting, finance, or marketing, or industry and technology knowledge, that may be useful to our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our company and the Board of Directors. Although our company has no formal diversity policy for Board of Directors members, the Board of Directors and the Nominating and Corporate Governance Committee consider, amongst many factors, diversity of backgrounds and experiences when selecting nominees.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Nominating and Corporate Governance Committee believes it appropriate for at least one, and preferably multiple, members of the Board of Directors to meet the criteria for an “audit committee financial expert” as defined by Securities and Exchange Commission (the “SEC”) rules, and that a majority of the members of the Board of Directors meet the definition of “independent director” under the rules of The Nasdaq Stock Market. The Nominating and Corporate Governance Committee believes it appropriate for certain key members of our management — currently, our Chief Executive Officer — to participate as members of the Board of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Prior to each Annual Meeting of Stockholders, the Nominating and Corporate Governance Committee identifies director nominees by evaluating the current directors whose term will expire at such Annual Meeting of Stockholders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or if a vacancy is created on the Board of Directors as a result of a resignation, an increase in the size of the Board of Directors or other event, then the Nominating and Corporate Governance Committee will consider various candidates for Board of Directors membership, including those suggested by the members of the Nominating and Corporate Governance Committee, by other board members, by any search firm engaged by the Nominating and Corporate Governance Committee and by stockholders, as applicable. Each of the nominees presented for election at this Annual Meeting is an incumbent member of the Board of Directors standing for re-election as a director.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addition, our amended and restated bylaws contain provisions that address the process by which a stockholder may nominate an individual to stand for election to the Board of Directors at an Annual Meeting of Stockholders. In order to nominate a candidate for director, a stockholder must give timely notice in writing to our Secretary and otherwise comply with the procedures set forth in our amended and restated bylaws, including with respect to the form and content of such notice.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addition, stockholders who intend to solicit proxies in support of director nominees other than the company’s nominees at an Annual Meeting of Stockholders must also comply with the additional requirements of Rule 14a-19(b) of the Securities Exchange Act of 1934, as amended (the “Exchange Act”). To be timely for our 2026 Annual Meeting, our amended and restated bylaws provide that we must have received the stockholder’s notice not earlier than 5:00 p.m. Eastern Time on February 17, 2026 and not later than 5:00 p.m. Eastern Time on March 19, 2026.</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Stockholder nominations must be made in accordance with the procedures outlined in, and include the information required by, our amended and restated bylaws and must be addressed to: Secretary, Veracyte, Inc., 6000 Shoreline Court, Suite 300, South San Francisco, California 94080. You may obtain a copy of the full text of this provision of the amended and restated bylaws by writing to our Secretary at the above address.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Director Expertise, Experience and Attributes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Board of Directors is comprised of a diverse mix of directors with complementary expertise, experience and attributes, as summarized in the table below. This table is not exhaustive and our directors may also have additional skills, experience or attributes in addition to what is set forth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60400"/>
                <wp:effectExtent l="0" t="0" r="0" b="0"/>
                <wp:wrapNone/>
                <wp:docPr id="66" name="Frame1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750"/>
        <w:gridCol w:w="647"/>
        <w:gridCol w:w="532"/>
        <w:gridCol w:w="237"/>
        <w:gridCol w:w="213"/>
        <w:gridCol w:w="215"/>
        <w:gridCol w:w="267"/>
        <w:gridCol w:w="267"/>
        <w:gridCol w:w="269"/>
        <w:gridCol w:w="336"/>
        <w:gridCol w:w="336"/>
        <w:gridCol w:w="338"/>
        <w:gridCol w:w="314"/>
        <w:gridCol w:w="314"/>
        <w:gridCol w:w="316"/>
        <w:gridCol w:w="324"/>
        <w:gridCol w:w="324"/>
        <w:gridCol w:w="326"/>
        <w:gridCol w:w="238"/>
        <w:gridCol w:w="238"/>
        <w:gridCol w:w="240"/>
        <w:gridCol w:w="240"/>
        <w:gridCol w:w="240"/>
        <w:gridCol w:w="242"/>
        <w:gridCol w:w="271"/>
        <w:gridCol w:w="271"/>
        <w:gridCol w:w="273"/>
        <w:gridCol w:w="298"/>
        <w:gridCol w:w="298"/>
        <w:gridCol w:w="300"/>
        <w:gridCol w:w="109"/>
        <w:gridCol w:w="109"/>
        <w:gridCol w:w="1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Eliav Barr</w:t>
            </w:r>
          </w:p>
        </w:tc>
        <w:tc>
          <w:tcPr>
            <w:tcW w:w="80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Muna Bhanji</w:t>
            </w:r>
          </w:p>
        </w:tc>
        <w:tc>
          <w:tcPr>
            <w:tcW w:w="101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Karin Eastham</w:t>
            </w:r>
          </w:p>
        </w:tc>
        <w:tc>
          <w:tcPr>
            <w:tcW w:w="94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Robert Epstein</w:t>
            </w:r>
          </w:p>
        </w:tc>
        <w:tc>
          <w:tcPr>
            <w:tcW w:w="97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Jens Holstein</w:t>
            </w:r>
          </w:p>
        </w:tc>
        <w:tc>
          <w:tcPr>
            <w:tcW w:w="71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Evan Jones</w:t>
            </w:r>
          </w:p>
        </w:tc>
        <w:tc>
          <w:tcPr>
            <w:tcW w:w="72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Tom Miller</w:t>
            </w:r>
          </w:p>
        </w:tc>
        <w:tc>
          <w:tcPr>
            <w:tcW w:w="81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Brent Shafer</w:t>
            </w:r>
          </w:p>
        </w:tc>
        <w:tc>
          <w:tcPr>
            <w:tcW w:w="89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Marc Stapley</w:t>
            </w:r>
          </w:p>
        </w:tc>
        <w:tc>
          <w:tcPr>
            <w:tcW w:w="38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98CBE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Skills or Experience</w:t>
            </w:r>
          </w:p>
        </w:tc>
        <w:tc>
          <w:tcPr>
            <w:tcW w:w="66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Senior Leadership</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cMar>
              <w:top w:w="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6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8" descr=""/>
                          <pic:cNvPicPr>
                            <a:picLocks noChangeAspect="1" noChangeArrowheads="1"/>
                          </pic:cNvPicPr>
                        </pic:nvPicPr>
                        <pic:blipFill>
                          <a:blip r:embed="rId49"/>
                          <a:stretch>
                            <a:fillRect/>
                          </a:stretch>
                        </pic:blipFill>
                        <pic:spPr bwMode="auto">
                          <a:xfrm>
                            <a:off x="0" y="0"/>
                            <a:ext cx="95250" cy="95250"/>
                          </a:xfrm>
                          <a:prstGeom prst="rect">
                            <a:avLst/>
                          </a:prstGeom>
                        </pic:spPr>
                      </pic:pic>
                    </a:graphicData>
                  </a:graphic>
                </wp:inline>
              </w:drawing>
            </w:r>
          </w:p>
        </w:tc>
        <w:tc>
          <w:tcPr>
            <w:tcW w:w="80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6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9" descr=""/>
                          <pic:cNvPicPr>
                            <a:picLocks noChangeAspect="1" noChangeArrowheads="1"/>
                          </pic:cNvPicPr>
                        </pic:nvPicPr>
                        <pic:blipFill>
                          <a:blip r:embed="rId50"/>
                          <a:stretch>
                            <a:fillRect/>
                          </a:stretch>
                        </pic:blipFill>
                        <pic:spPr bwMode="auto">
                          <a:xfrm>
                            <a:off x="0" y="0"/>
                            <a:ext cx="95250" cy="95250"/>
                          </a:xfrm>
                          <a:prstGeom prst="rect">
                            <a:avLst/>
                          </a:prstGeom>
                        </pic:spPr>
                      </pic:pic>
                    </a:graphicData>
                  </a:graphic>
                </wp:inline>
              </w:drawing>
            </w:r>
          </w:p>
        </w:tc>
        <w:tc>
          <w:tcPr>
            <w:tcW w:w="101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6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0" descr=""/>
                          <pic:cNvPicPr>
                            <a:picLocks noChangeAspect="1" noChangeArrowheads="1"/>
                          </pic:cNvPicPr>
                        </pic:nvPicPr>
                        <pic:blipFill>
                          <a:blip r:embed="rId51"/>
                          <a:stretch>
                            <a:fillRect/>
                          </a:stretch>
                        </pic:blipFill>
                        <pic:spPr bwMode="auto">
                          <a:xfrm>
                            <a:off x="0" y="0"/>
                            <a:ext cx="95250" cy="95250"/>
                          </a:xfrm>
                          <a:prstGeom prst="rect">
                            <a:avLst/>
                          </a:prstGeom>
                        </pic:spPr>
                      </pic:pic>
                    </a:graphicData>
                  </a:graphic>
                </wp:inline>
              </w:drawing>
            </w:r>
          </w:p>
        </w:tc>
        <w:tc>
          <w:tcPr>
            <w:tcW w:w="94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1" descr=""/>
                          <pic:cNvPicPr>
                            <a:picLocks noChangeAspect="1" noChangeArrowheads="1"/>
                          </pic:cNvPicPr>
                        </pic:nvPicPr>
                        <pic:blipFill>
                          <a:blip r:embed="rId52"/>
                          <a:stretch>
                            <a:fillRect/>
                          </a:stretch>
                        </pic:blipFill>
                        <pic:spPr bwMode="auto">
                          <a:xfrm>
                            <a:off x="0" y="0"/>
                            <a:ext cx="95250" cy="95250"/>
                          </a:xfrm>
                          <a:prstGeom prst="rect">
                            <a:avLst/>
                          </a:prstGeom>
                        </pic:spPr>
                      </pic:pic>
                    </a:graphicData>
                  </a:graphic>
                </wp:inline>
              </w:drawing>
            </w:r>
          </w:p>
        </w:tc>
        <w:tc>
          <w:tcPr>
            <w:tcW w:w="97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2" descr=""/>
                          <pic:cNvPicPr>
                            <a:picLocks noChangeAspect="1" noChangeArrowheads="1"/>
                          </pic:cNvPicPr>
                        </pic:nvPicPr>
                        <pic:blipFill>
                          <a:blip r:embed="rId53"/>
                          <a:stretch>
                            <a:fillRect/>
                          </a:stretch>
                        </pic:blipFill>
                        <pic:spPr bwMode="auto">
                          <a:xfrm>
                            <a:off x="0" y="0"/>
                            <a:ext cx="95250" cy="95250"/>
                          </a:xfrm>
                          <a:prstGeom prst="rect">
                            <a:avLst/>
                          </a:prstGeom>
                        </pic:spPr>
                      </pic:pic>
                    </a:graphicData>
                  </a:graphic>
                </wp:inline>
              </w:drawing>
            </w:r>
          </w:p>
        </w:tc>
        <w:tc>
          <w:tcPr>
            <w:tcW w:w="7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3" descr=""/>
                          <pic:cNvPicPr>
                            <a:picLocks noChangeAspect="1" noChangeArrowheads="1"/>
                          </pic:cNvPicPr>
                        </pic:nvPicPr>
                        <pic:blipFill>
                          <a:blip r:embed="rId54"/>
                          <a:stretch>
                            <a:fillRect/>
                          </a:stretch>
                        </pic:blipFill>
                        <pic:spPr bwMode="auto">
                          <a:xfrm>
                            <a:off x="0" y="0"/>
                            <a:ext cx="95250" cy="95250"/>
                          </a:xfrm>
                          <a:prstGeom prst="rect">
                            <a:avLst/>
                          </a:prstGeom>
                        </pic:spPr>
                      </pic:pic>
                    </a:graphicData>
                  </a:graphic>
                </wp:inline>
              </w:drawing>
            </w:r>
          </w:p>
        </w:tc>
        <w:tc>
          <w:tcPr>
            <w:tcW w:w="7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4" descr=""/>
                          <pic:cNvPicPr>
                            <a:picLocks noChangeAspect="1" noChangeArrowheads="1"/>
                          </pic:cNvPicPr>
                        </pic:nvPicPr>
                        <pic:blipFill>
                          <a:blip r:embed="rId55"/>
                          <a:stretch>
                            <a:fillRect/>
                          </a:stretch>
                        </pic:blipFill>
                        <pic:spPr bwMode="auto">
                          <a:xfrm>
                            <a:off x="0" y="0"/>
                            <a:ext cx="95250" cy="95250"/>
                          </a:xfrm>
                          <a:prstGeom prst="rect">
                            <a:avLst/>
                          </a:prstGeom>
                        </pic:spPr>
                      </pic:pic>
                    </a:graphicData>
                  </a:graphic>
                </wp:inline>
              </w:drawing>
            </w:r>
          </w:p>
        </w:tc>
        <w:tc>
          <w:tcPr>
            <w:tcW w:w="8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5" descr=""/>
                          <pic:cNvPicPr>
                            <a:picLocks noChangeAspect="1" noChangeArrowheads="1"/>
                          </pic:cNvPicPr>
                        </pic:nvPicPr>
                        <pic:blipFill>
                          <a:blip r:embed="rId56"/>
                          <a:stretch>
                            <a:fillRect/>
                          </a:stretch>
                        </pic:blipFill>
                        <pic:spPr bwMode="auto">
                          <a:xfrm>
                            <a:off x="0" y="0"/>
                            <a:ext cx="95250" cy="95250"/>
                          </a:xfrm>
                          <a:prstGeom prst="rect">
                            <a:avLst/>
                          </a:prstGeom>
                        </pic:spPr>
                      </pic:pic>
                    </a:graphicData>
                  </a:graphic>
                </wp:inline>
              </w:drawing>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6" descr=""/>
                          <pic:cNvPicPr>
                            <a:picLocks noChangeAspect="1" noChangeArrowheads="1"/>
                          </pic:cNvPicPr>
                        </pic:nvPicPr>
                        <pic:blipFill>
                          <a:blip r:embed="rId57"/>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Diagnostics</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7" descr=""/>
                          <pic:cNvPicPr>
                            <a:picLocks noChangeAspect="1" noChangeArrowheads="1"/>
                          </pic:cNvPicPr>
                        </pic:nvPicPr>
                        <pic:blipFill>
                          <a:blip r:embed="rId58"/>
                          <a:stretch>
                            <a:fillRect/>
                          </a:stretch>
                        </pic:blipFill>
                        <pic:spPr bwMode="auto">
                          <a:xfrm>
                            <a:off x="0" y="0"/>
                            <a:ext cx="95250" cy="95250"/>
                          </a:xfrm>
                          <a:prstGeom prst="rect">
                            <a:avLst/>
                          </a:prstGeom>
                        </pic:spPr>
                      </pic:pic>
                    </a:graphicData>
                  </a:graphic>
                </wp:inline>
              </w:drawing>
            </w:r>
          </w:p>
        </w:tc>
        <w:tc>
          <w:tcPr>
            <w:tcW w:w="94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8" descr=""/>
                          <pic:cNvPicPr>
                            <a:picLocks noChangeAspect="1" noChangeArrowheads="1"/>
                          </pic:cNvPicPr>
                        </pic:nvPicPr>
                        <pic:blipFill>
                          <a:blip r:embed="rId59"/>
                          <a:stretch>
                            <a:fillRect/>
                          </a:stretch>
                        </pic:blipFill>
                        <pic:spPr bwMode="auto">
                          <a:xfrm>
                            <a:off x="0" y="0"/>
                            <a:ext cx="95250" cy="95250"/>
                          </a:xfrm>
                          <a:prstGeom prst="rect">
                            <a:avLst/>
                          </a:prstGeom>
                        </pic:spPr>
                      </pic:pic>
                    </a:graphicData>
                  </a:graphic>
                </wp:inline>
              </w:drawing>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9" descr=""/>
                          <pic:cNvPicPr>
                            <a:picLocks noChangeAspect="1" noChangeArrowheads="1"/>
                          </pic:cNvPicPr>
                        </pic:nvPicPr>
                        <pic:blipFill>
                          <a:blip r:embed="rId60"/>
                          <a:stretch>
                            <a:fillRect/>
                          </a:stretch>
                        </pic:blipFill>
                        <pic:spPr bwMode="auto">
                          <a:xfrm>
                            <a:off x="0" y="0"/>
                            <a:ext cx="95250" cy="95250"/>
                          </a:xfrm>
                          <a:prstGeom prst="rect">
                            <a:avLst/>
                          </a:prstGeom>
                        </pic:spPr>
                      </pic:pic>
                    </a:graphicData>
                  </a:graphic>
                </wp:inline>
              </w:drawing>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7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0" descr=""/>
                          <pic:cNvPicPr>
                            <a:picLocks noChangeAspect="1" noChangeArrowheads="1"/>
                          </pic:cNvPicPr>
                        </pic:nvPicPr>
                        <pic:blipFill>
                          <a:blip r:embed="rId61"/>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Biopharma</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1" descr=""/>
                          <pic:cNvPicPr>
                            <a:picLocks noChangeAspect="1" noChangeArrowheads="1"/>
                          </pic:cNvPicPr>
                        </pic:nvPicPr>
                        <pic:blipFill>
                          <a:blip r:embed="rId62"/>
                          <a:stretch>
                            <a:fillRect/>
                          </a:stretch>
                        </pic:blipFill>
                        <pic:spPr bwMode="auto">
                          <a:xfrm>
                            <a:off x="0" y="0"/>
                            <a:ext cx="95250" cy="95250"/>
                          </a:xfrm>
                          <a:prstGeom prst="rect">
                            <a:avLst/>
                          </a:prstGeom>
                        </pic:spPr>
                      </pic:pic>
                    </a:graphicData>
                  </a:graphic>
                </wp:inline>
              </w:drawing>
            </w:r>
          </w:p>
        </w:tc>
        <w:tc>
          <w:tcPr>
            <w:tcW w:w="80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2" descr=""/>
                          <pic:cNvPicPr>
                            <a:picLocks noChangeAspect="1" noChangeArrowheads="1"/>
                          </pic:cNvPicPr>
                        </pic:nvPicPr>
                        <pic:blipFill>
                          <a:blip r:embed="rId63"/>
                          <a:stretch>
                            <a:fillRect/>
                          </a:stretch>
                        </pic:blipFill>
                        <pic:spPr bwMode="auto">
                          <a:xfrm>
                            <a:off x="0" y="0"/>
                            <a:ext cx="95250" cy="95250"/>
                          </a:xfrm>
                          <a:prstGeom prst="rect">
                            <a:avLst/>
                          </a:prstGeom>
                        </pic:spPr>
                      </pic:pic>
                    </a:graphicData>
                  </a:graphic>
                </wp:inline>
              </w:drawing>
            </w:r>
          </w:p>
        </w:tc>
        <w:tc>
          <w:tcPr>
            <w:tcW w:w="101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3" descr=""/>
                          <pic:cNvPicPr>
                            <a:picLocks noChangeAspect="1" noChangeArrowheads="1"/>
                          </pic:cNvPicPr>
                        </pic:nvPicPr>
                        <pic:blipFill>
                          <a:blip r:embed="rId64"/>
                          <a:stretch>
                            <a:fillRect/>
                          </a:stretch>
                        </pic:blipFill>
                        <pic:spPr bwMode="auto">
                          <a:xfrm>
                            <a:off x="0" y="0"/>
                            <a:ext cx="95250" cy="95250"/>
                          </a:xfrm>
                          <a:prstGeom prst="rect">
                            <a:avLst/>
                          </a:prstGeom>
                        </pic:spPr>
                      </pic:pic>
                    </a:graphicData>
                  </a:graphic>
                </wp:inline>
              </w:drawing>
            </w:r>
          </w:p>
        </w:tc>
        <w:tc>
          <w:tcPr>
            <w:tcW w:w="94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4" descr=""/>
                          <pic:cNvPicPr>
                            <a:picLocks noChangeAspect="1" noChangeArrowheads="1"/>
                          </pic:cNvPicPr>
                        </pic:nvPicPr>
                        <pic:blipFill>
                          <a:blip r:embed="rId65"/>
                          <a:stretch>
                            <a:fillRect/>
                          </a:stretch>
                        </pic:blipFill>
                        <pic:spPr bwMode="auto">
                          <a:xfrm>
                            <a:off x="0" y="0"/>
                            <a:ext cx="95250" cy="95250"/>
                          </a:xfrm>
                          <a:prstGeom prst="rect">
                            <a:avLst/>
                          </a:prstGeom>
                        </pic:spPr>
                      </pic:pic>
                    </a:graphicData>
                  </a:graphic>
                </wp:inline>
              </w:drawing>
            </w:r>
          </w:p>
        </w:tc>
        <w:tc>
          <w:tcPr>
            <w:tcW w:w="97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5" descr=""/>
                          <pic:cNvPicPr>
                            <a:picLocks noChangeAspect="1" noChangeArrowheads="1"/>
                          </pic:cNvPicPr>
                        </pic:nvPicPr>
                        <pic:blipFill>
                          <a:blip r:embed="rId66"/>
                          <a:stretch>
                            <a:fillRect/>
                          </a:stretch>
                        </pic:blipFill>
                        <pic:spPr bwMode="auto">
                          <a:xfrm>
                            <a:off x="0" y="0"/>
                            <a:ext cx="95250" cy="95250"/>
                          </a:xfrm>
                          <a:prstGeom prst="rect">
                            <a:avLst/>
                          </a:prstGeom>
                        </pic:spPr>
                      </pic:pic>
                    </a:graphicData>
                  </a:graphic>
                </wp:inline>
              </w:drawing>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6" descr=""/>
                          <pic:cNvPicPr>
                            <a:picLocks noChangeAspect="1" noChangeArrowheads="1"/>
                          </pic:cNvPicPr>
                        </pic:nvPicPr>
                        <pic:blipFill>
                          <a:blip r:embed="rId67"/>
                          <a:stretch>
                            <a:fillRect/>
                          </a:stretch>
                        </pic:blipFill>
                        <pic:spPr bwMode="auto">
                          <a:xfrm>
                            <a:off x="0" y="0"/>
                            <a:ext cx="95250" cy="95250"/>
                          </a:xfrm>
                          <a:prstGeom prst="rect">
                            <a:avLst/>
                          </a:prstGeom>
                        </pic:spPr>
                      </pic:pic>
                    </a:graphicData>
                  </a:graphic>
                </wp:inline>
              </w:drawing>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7" descr=""/>
                          <pic:cNvPicPr>
                            <a:picLocks noChangeAspect="1" noChangeArrowheads="1"/>
                          </pic:cNvPicPr>
                        </pic:nvPicPr>
                        <pic:blipFill>
                          <a:blip r:embed="rId68"/>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U.S. Healthcare Reimbursement</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8" descr=""/>
                          <pic:cNvPicPr>
                            <a:picLocks noChangeAspect="1" noChangeArrowheads="1"/>
                          </pic:cNvPicPr>
                        </pic:nvPicPr>
                        <pic:blipFill>
                          <a:blip r:embed="rId69"/>
                          <a:stretch>
                            <a:fillRect/>
                          </a:stretch>
                        </pic:blipFill>
                        <pic:spPr bwMode="auto">
                          <a:xfrm>
                            <a:off x="0" y="0"/>
                            <a:ext cx="95250" cy="95250"/>
                          </a:xfrm>
                          <a:prstGeom prst="rect">
                            <a:avLst/>
                          </a:prstGeom>
                        </pic:spPr>
                      </pic:pic>
                    </a:graphicData>
                  </a:graphic>
                </wp:inline>
              </w:drawing>
            </w:r>
          </w:p>
        </w:tc>
        <w:tc>
          <w:tcPr>
            <w:tcW w:w="101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9" descr=""/>
                          <pic:cNvPicPr>
                            <a:picLocks noChangeAspect="1" noChangeArrowheads="1"/>
                          </pic:cNvPicPr>
                        </pic:nvPicPr>
                        <pic:blipFill>
                          <a:blip r:embed="rId70"/>
                          <a:stretch>
                            <a:fillRect/>
                          </a:stretch>
                        </pic:blipFill>
                        <pic:spPr bwMode="auto">
                          <a:xfrm>
                            <a:off x="0" y="0"/>
                            <a:ext cx="95250" cy="95250"/>
                          </a:xfrm>
                          <a:prstGeom prst="rect">
                            <a:avLst/>
                          </a:prstGeom>
                        </pic:spPr>
                      </pic:pic>
                    </a:graphicData>
                  </a:graphic>
                </wp:inline>
              </w:drawing>
            </w:r>
          </w:p>
        </w:tc>
        <w:tc>
          <w:tcPr>
            <w:tcW w:w="94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8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0" descr=""/>
                          <pic:cNvPicPr>
                            <a:picLocks noChangeAspect="1" noChangeArrowheads="1"/>
                          </pic:cNvPicPr>
                        </pic:nvPicPr>
                        <pic:blipFill>
                          <a:blip r:embed="rId71"/>
                          <a:stretch>
                            <a:fillRect/>
                          </a:stretch>
                        </pic:blipFill>
                        <pic:spPr bwMode="auto">
                          <a:xfrm>
                            <a:off x="0" y="0"/>
                            <a:ext cx="95250" cy="95250"/>
                          </a:xfrm>
                          <a:prstGeom prst="rect">
                            <a:avLst/>
                          </a:prstGeom>
                        </pic:spPr>
                      </pic:pic>
                    </a:graphicData>
                  </a:graphic>
                </wp:inline>
              </w:drawing>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1" descr=""/>
                          <pic:cNvPicPr>
                            <a:picLocks noChangeAspect="1" noChangeArrowheads="1"/>
                          </pic:cNvPicPr>
                        </pic:nvPicPr>
                        <pic:blipFill>
                          <a:blip r:embed="rId72"/>
                          <a:stretch>
                            <a:fillRect/>
                          </a:stretch>
                        </pic:blipFill>
                        <pic:spPr bwMode="auto">
                          <a:xfrm>
                            <a:off x="0" y="0"/>
                            <a:ext cx="95250" cy="95250"/>
                          </a:xfrm>
                          <a:prstGeom prst="rect">
                            <a:avLst/>
                          </a:prstGeom>
                        </pic:spPr>
                      </pic:pic>
                    </a:graphicData>
                  </a:graphic>
                </wp:inline>
              </w:drawing>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2" descr=""/>
                          <pic:cNvPicPr>
                            <a:picLocks noChangeAspect="1" noChangeArrowheads="1"/>
                          </pic:cNvPicPr>
                        </pic:nvPicPr>
                        <pic:blipFill>
                          <a:blip r:embed="rId73"/>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Global Enterprise</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3" descr=""/>
                          <pic:cNvPicPr>
                            <a:picLocks noChangeAspect="1" noChangeArrowheads="1"/>
                          </pic:cNvPicPr>
                        </pic:nvPicPr>
                        <pic:blipFill>
                          <a:blip r:embed="rId74"/>
                          <a:stretch>
                            <a:fillRect/>
                          </a:stretch>
                        </pic:blipFill>
                        <pic:spPr bwMode="auto">
                          <a:xfrm>
                            <a:off x="0" y="0"/>
                            <a:ext cx="95250" cy="95250"/>
                          </a:xfrm>
                          <a:prstGeom prst="rect">
                            <a:avLst/>
                          </a:prstGeom>
                        </pic:spPr>
                      </pic:pic>
                    </a:graphicData>
                  </a:graphic>
                </wp:inline>
              </w:drawing>
            </w:r>
          </w:p>
        </w:tc>
        <w:tc>
          <w:tcPr>
            <w:tcW w:w="80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4" descr=""/>
                          <pic:cNvPicPr>
                            <a:picLocks noChangeAspect="1" noChangeArrowheads="1"/>
                          </pic:cNvPicPr>
                        </pic:nvPicPr>
                        <pic:blipFill>
                          <a:blip r:embed="rId75"/>
                          <a:stretch>
                            <a:fillRect/>
                          </a:stretch>
                        </pic:blipFill>
                        <pic:spPr bwMode="auto">
                          <a:xfrm>
                            <a:off x="0" y="0"/>
                            <a:ext cx="95250" cy="95250"/>
                          </a:xfrm>
                          <a:prstGeom prst="rect">
                            <a:avLst/>
                          </a:prstGeom>
                        </pic:spPr>
                      </pic:pic>
                    </a:graphicData>
                  </a:graphic>
                </wp:inline>
              </w:drawing>
            </w:r>
          </w:p>
        </w:tc>
        <w:tc>
          <w:tcPr>
            <w:tcW w:w="101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5" descr=""/>
                          <pic:cNvPicPr>
                            <a:picLocks noChangeAspect="1" noChangeArrowheads="1"/>
                          </pic:cNvPicPr>
                        </pic:nvPicPr>
                        <pic:blipFill>
                          <a:blip r:embed="rId76"/>
                          <a:stretch>
                            <a:fillRect/>
                          </a:stretch>
                        </pic:blipFill>
                        <pic:spPr bwMode="auto">
                          <a:xfrm>
                            <a:off x="0" y="0"/>
                            <a:ext cx="95250" cy="95250"/>
                          </a:xfrm>
                          <a:prstGeom prst="rect">
                            <a:avLst/>
                          </a:prstGeom>
                        </pic:spPr>
                      </pic:pic>
                    </a:graphicData>
                  </a:graphic>
                </wp:inline>
              </w:drawing>
            </w:r>
          </w:p>
        </w:tc>
        <w:tc>
          <w:tcPr>
            <w:tcW w:w="94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6" descr=""/>
                          <pic:cNvPicPr>
                            <a:picLocks noChangeAspect="1" noChangeArrowheads="1"/>
                          </pic:cNvPicPr>
                        </pic:nvPicPr>
                        <pic:blipFill>
                          <a:blip r:embed="rId77"/>
                          <a:stretch>
                            <a:fillRect/>
                          </a:stretch>
                        </pic:blipFill>
                        <pic:spPr bwMode="auto">
                          <a:xfrm>
                            <a:off x="0" y="0"/>
                            <a:ext cx="95250" cy="95250"/>
                          </a:xfrm>
                          <a:prstGeom prst="rect">
                            <a:avLst/>
                          </a:prstGeom>
                        </pic:spPr>
                      </pic:pic>
                    </a:graphicData>
                  </a:graphic>
                </wp:inline>
              </w:drawing>
            </w:r>
          </w:p>
        </w:tc>
        <w:tc>
          <w:tcPr>
            <w:tcW w:w="97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7" descr=""/>
                          <pic:cNvPicPr>
                            <a:picLocks noChangeAspect="1" noChangeArrowheads="1"/>
                          </pic:cNvPicPr>
                        </pic:nvPicPr>
                        <pic:blipFill>
                          <a:blip r:embed="rId78"/>
                          <a:stretch>
                            <a:fillRect/>
                          </a:stretch>
                        </pic:blipFill>
                        <pic:spPr bwMode="auto">
                          <a:xfrm>
                            <a:off x="0" y="0"/>
                            <a:ext cx="95250" cy="95250"/>
                          </a:xfrm>
                          <a:prstGeom prst="rect">
                            <a:avLst/>
                          </a:prstGeom>
                        </pic:spPr>
                      </pic:pic>
                    </a:graphicData>
                  </a:graphic>
                </wp:inline>
              </w:drawing>
            </w:r>
          </w:p>
        </w:tc>
        <w:tc>
          <w:tcPr>
            <w:tcW w:w="7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8" descr=""/>
                          <pic:cNvPicPr>
                            <a:picLocks noChangeAspect="1" noChangeArrowheads="1"/>
                          </pic:cNvPicPr>
                        </pic:nvPicPr>
                        <pic:blipFill>
                          <a:blip r:embed="rId79"/>
                          <a:stretch>
                            <a:fillRect/>
                          </a:stretch>
                        </pic:blipFill>
                        <pic:spPr bwMode="auto">
                          <a:xfrm>
                            <a:off x="0" y="0"/>
                            <a:ext cx="95250" cy="95250"/>
                          </a:xfrm>
                          <a:prstGeom prst="rect">
                            <a:avLst/>
                          </a:prstGeom>
                        </pic:spPr>
                      </pic:pic>
                    </a:graphicData>
                  </a:graphic>
                </wp:inline>
              </w:drawing>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9" descr=""/>
                          <pic:cNvPicPr>
                            <a:picLocks noChangeAspect="1" noChangeArrowheads="1"/>
                          </pic:cNvPicPr>
                        </pic:nvPicPr>
                        <pic:blipFill>
                          <a:blip r:embed="rId80"/>
                          <a:stretch>
                            <a:fillRect/>
                          </a:stretch>
                        </pic:blipFill>
                        <pic:spPr bwMode="auto">
                          <a:xfrm>
                            <a:off x="0" y="0"/>
                            <a:ext cx="95250" cy="95250"/>
                          </a:xfrm>
                          <a:prstGeom prst="rect">
                            <a:avLst/>
                          </a:prstGeom>
                        </pic:spPr>
                      </pic:pic>
                    </a:graphicData>
                  </a:graphic>
                </wp:inline>
              </w:drawing>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9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0" descr=""/>
                          <pic:cNvPicPr>
                            <a:picLocks noChangeAspect="1" noChangeArrowheads="1"/>
                          </pic:cNvPicPr>
                        </pic:nvPicPr>
                        <pic:blipFill>
                          <a:blip r:embed="rId81"/>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 xml:space="preserve">Accounting and Auditing </w:t>
              <w:br/>
              <w:t>(including Sustainability Reporting)</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0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1" descr=""/>
                          <pic:cNvPicPr>
                            <a:picLocks noChangeAspect="1" noChangeArrowheads="1"/>
                          </pic:cNvPicPr>
                        </pic:nvPicPr>
                        <pic:blipFill>
                          <a:blip r:embed="rId82"/>
                          <a:stretch>
                            <a:fillRect/>
                          </a:stretch>
                        </pic:blipFill>
                        <pic:spPr bwMode="auto">
                          <a:xfrm>
                            <a:off x="0" y="0"/>
                            <a:ext cx="95250" cy="95250"/>
                          </a:xfrm>
                          <a:prstGeom prst="rect">
                            <a:avLst/>
                          </a:prstGeom>
                        </pic:spPr>
                      </pic:pic>
                    </a:graphicData>
                  </a:graphic>
                </wp:inline>
              </w:drawing>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0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2" descr=""/>
                          <pic:cNvPicPr>
                            <a:picLocks noChangeAspect="1" noChangeArrowheads="1"/>
                          </pic:cNvPicPr>
                        </pic:nvPicPr>
                        <pic:blipFill>
                          <a:blip r:embed="rId83"/>
                          <a:stretch>
                            <a:fillRect/>
                          </a:stretch>
                        </pic:blipFill>
                        <pic:spPr bwMode="auto">
                          <a:xfrm>
                            <a:off x="0" y="0"/>
                            <a:ext cx="95250" cy="95250"/>
                          </a:xfrm>
                          <a:prstGeom prst="rect">
                            <a:avLst/>
                          </a:prstGeom>
                        </pic:spPr>
                      </pic:pic>
                    </a:graphicData>
                  </a:graphic>
                </wp:inline>
              </w:drawing>
            </w:r>
          </w:p>
        </w:tc>
        <w:tc>
          <w:tcPr>
            <w:tcW w:w="7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0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3" descr=""/>
                          <pic:cNvPicPr>
                            <a:picLocks noChangeAspect="1" noChangeArrowheads="1"/>
                          </pic:cNvPicPr>
                        </pic:nvPicPr>
                        <pic:blipFill>
                          <a:blip r:embed="rId84"/>
                          <a:stretch>
                            <a:fillRect/>
                          </a:stretch>
                        </pic:blipFill>
                        <pic:spPr bwMode="auto">
                          <a:xfrm>
                            <a:off x="0" y="0"/>
                            <a:ext cx="95250" cy="95250"/>
                          </a:xfrm>
                          <a:prstGeom prst="rect">
                            <a:avLst/>
                          </a:prstGeom>
                        </pic:spPr>
                      </pic:pic>
                    </a:graphicData>
                  </a:graphic>
                </wp:inline>
              </w:drawing>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0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4" descr=""/>
                          <pic:cNvPicPr>
                            <a:picLocks noChangeAspect="1" noChangeArrowheads="1"/>
                          </pic:cNvPicPr>
                        </pic:nvPicPr>
                        <pic:blipFill>
                          <a:blip r:embed="rId85"/>
                          <a:stretch>
                            <a:fillRect/>
                          </a:stretch>
                        </pic:blipFill>
                        <pic:spPr bwMode="auto">
                          <a:xfrm>
                            <a:off x="0" y="0"/>
                            <a:ext cx="95250" cy="95250"/>
                          </a:xfrm>
                          <a:prstGeom prst="rect">
                            <a:avLst/>
                          </a:prstGeom>
                        </pic:spPr>
                      </pic:pic>
                    </a:graphicData>
                  </a:graphic>
                </wp:inline>
              </w:drawing>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0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5" descr=""/>
                          <pic:cNvPicPr>
                            <a:picLocks noChangeAspect="1" noChangeArrowheads="1"/>
                          </pic:cNvPicPr>
                        </pic:nvPicPr>
                        <pic:blipFill>
                          <a:blip r:embed="rId86"/>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Public Board</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0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6" descr=""/>
                          <pic:cNvPicPr>
                            <a:picLocks noChangeAspect="1" noChangeArrowheads="1"/>
                          </pic:cNvPicPr>
                        </pic:nvPicPr>
                        <pic:blipFill>
                          <a:blip r:embed="rId87"/>
                          <a:stretch>
                            <a:fillRect/>
                          </a:stretch>
                        </pic:blipFill>
                        <pic:spPr bwMode="auto">
                          <a:xfrm>
                            <a:off x="0" y="0"/>
                            <a:ext cx="95250" cy="95250"/>
                          </a:xfrm>
                          <a:prstGeom prst="rect">
                            <a:avLst/>
                          </a:prstGeom>
                        </pic:spPr>
                      </pic:pic>
                    </a:graphicData>
                  </a:graphic>
                </wp:inline>
              </w:drawing>
            </w:r>
          </w:p>
        </w:tc>
        <w:tc>
          <w:tcPr>
            <w:tcW w:w="101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1D1D1D"/>
              </w:rPr>
              <w:t> </w:t>
            </w:r>
            <w:r>
              <w:rPr/>
              <w:drawing>
                <wp:inline distT="0" distB="0" distL="0" distR="0">
                  <wp:extent cx="95250" cy="95250"/>
                  <wp:effectExtent l="0" t="0" r="0" b="0"/>
                  <wp:docPr id="10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7" descr=""/>
                          <pic:cNvPicPr>
                            <a:picLocks noChangeAspect="1" noChangeArrowheads="1"/>
                          </pic:cNvPicPr>
                        </pic:nvPicPr>
                        <pic:blipFill>
                          <a:blip r:embed="rId88"/>
                          <a:stretch>
                            <a:fillRect/>
                          </a:stretch>
                        </pic:blipFill>
                        <pic:spPr bwMode="auto">
                          <a:xfrm>
                            <a:off x="0" y="0"/>
                            <a:ext cx="95250" cy="95250"/>
                          </a:xfrm>
                          <a:prstGeom prst="rect">
                            <a:avLst/>
                          </a:prstGeom>
                        </pic:spPr>
                      </pic:pic>
                    </a:graphicData>
                  </a:graphic>
                </wp:inline>
              </w:drawing>
            </w:r>
            <w:r>
              <w:rPr>
                <w:rFonts w:ascii="Graphik Medium;sans-serif" w:hAnsi="Graphik Medium;sans-serif"/>
                <w:b w:val="false"/>
                <w:color w:val="8E4FBE"/>
                <w:sz w:val="16"/>
              </w:rPr>
              <w:t>*</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1D1D1D"/>
              </w:rPr>
              <w:t> </w:t>
            </w:r>
            <w:r>
              <w:rPr/>
              <w:drawing>
                <wp:inline distT="0" distB="0" distL="0" distR="0">
                  <wp:extent cx="95250" cy="95250"/>
                  <wp:effectExtent l="0" t="0" r="0" b="0"/>
                  <wp:docPr id="10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8" descr=""/>
                          <pic:cNvPicPr>
                            <a:picLocks noChangeAspect="1" noChangeArrowheads="1"/>
                          </pic:cNvPicPr>
                        </pic:nvPicPr>
                        <pic:blipFill>
                          <a:blip r:embed="rId89"/>
                          <a:stretch>
                            <a:fillRect/>
                          </a:stretch>
                        </pic:blipFill>
                        <pic:spPr bwMode="auto">
                          <a:xfrm>
                            <a:off x="0" y="0"/>
                            <a:ext cx="95250" cy="95250"/>
                          </a:xfrm>
                          <a:prstGeom prst="rect">
                            <a:avLst/>
                          </a:prstGeom>
                        </pic:spPr>
                      </pic:pic>
                    </a:graphicData>
                  </a:graphic>
                </wp:inline>
              </w:drawing>
            </w:r>
            <w:r>
              <w:rPr>
                <w:rFonts w:ascii="Graphik Medium;sans-serif" w:hAnsi="Graphik Medium;sans-serif"/>
                <w:b w:val="false"/>
                <w:color w:val="8E4FBE"/>
                <w:sz w:val="16"/>
              </w:rPr>
              <w:t>*</w:t>
            </w:r>
          </w:p>
        </w:tc>
        <w:tc>
          <w:tcPr>
            <w:tcW w:w="97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0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9" descr=""/>
                          <pic:cNvPicPr>
                            <a:picLocks noChangeAspect="1" noChangeArrowheads="1"/>
                          </pic:cNvPicPr>
                        </pic:nvPicPr>
                        <pic:blipFill>
                          <a:blip r:embed="rId90"/>
                          <a:stretch>
                            <a:fillRect/>
                          </a:stretch>
                        </pic:blipFill>
                        <pic:spPr bwMode="auto">
                          <a:xfrm>
                            <a:off x="0" y="0"/>
                            <a:ext cx="95250" cy="95250"/>
                          </a:xfrm>
                          <a:prstGeom prst="rect">
                            <a:avLst/>
                          </a:prstGeom>
                        </pic:spPr>
                      </pic:pic>
                    </a:graphicData>
                  </a:graphic>
                </wp:inline>
              </w:drawing>
            </w:r>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1D1D1D"/>
              </w:rPr>
              <w:t> </w:t>
            </w:r>
            <w:r>
              <w:rPr/>
              <w:drawing>
                <wp:inline distT="0" distB="0" distL="0" distR="0">
                  <wp:extent cx="95250" cy="95250"/>
                  <wp:effectExtent l="0" t="0" r="0" b="0"/>
                  <wp:docPr id="10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0" descr=""/>
                          <pic:cNvPicPr>
                            <a:picLocks noChangeAspect="1" noChangeArrowheads="1"/>
                          </pic:cNvPicPr>
                        </pic:nvPicPr>
                        <pic:blipFill>
                          <a:blip r:embed="rId91"/>
                          <a:stretch>
                            <a:fillRect/>
                          </a:stretch>
                        </pic:blipFill>
                        <pic:spPr bwMode="auto">
                          <a:xfrm>
                            <a:off x="0" y="0"/>
                            <a:ext cx="95250" cy="95250"/>
                          </a:xfrm>
                          <a:prstGeom prst="rect">
                            <a:avLst/>
                          </a:prstGeom>
                        </pic:spPr>
                      </pic:pic>
                    </a:graphicData>
                  </a:graphic>
                </wp:inline>
              </w:drawing>
            </w:r>
            <w:r>
              <w:rPr>
                <w:rFonts w:ascii="Graphik Medium;sans-serif" w:hAnsi="Graphik Medium;sans-serif"/>
                <w:b w:val="false"/>
                <w:color w:val="8E4FBE"/>
                <w:sz w:val="16"/>
              </w:rPr>
              <w:t>*</w:t>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1D1D1D"/>
              </w:rPr>
              <w:t> </w:t>
            </w:r>
            <w:r>
              <w:rPr/>
              <w:drawing>
                <wp:inline distT="0" distB="0" distL="0" distR="0">
                  <wp:extent cx="95250" cy="95250"/>
                  <wp:effectExtent l="0" t="0" r="0" b="0"/>
                  <wp:docPr id="11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1" descr=""/>
                          <pic:cNvPicPr>
                            <a:picLocks noChangeAspect="1" noChangeArrowheads="1"/>
                          </pic:cNvPicPr>
                        </pic:nvPicPr>
                        <pic:blipFill>
                          <a:blip r:embed="rId92"/>
                          <a:stretch>
                            <a:fillRect/>
                          </a:stretch>
                        </pic:blipFill>
                        <pic:spPr bwMode="auto">
                          <a:xfrm>
                            <a:off x="0" y="0"/>
                            <a:ext cx="95250" cy="95250"/>
                          </a:xfrm>
                          <a:prstGeom prst="rect">
                            <a:avLst/>
                          </a:prstGeom>
                        </pic:spPr>
                      </pic:pic>
                    </a:graphicData>
                  </a:graphic>
                </wp:inline>
              </w:drawing>
            </w:r>
            <w:r>
              <w:rPr>
                <w:rFonts w:ascii="Graphik Medium;sans-serif" w:hAnsi="Graphik Medium;sans-serif"/>
                <w:b w:val="false"/>
                <w:color w:val="8E4FBE"/>
                <w:sz w:val="16"/>
              </w:rPr>
              <w:t>*</w:t>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1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2" descr=""/>
                          <pic:cNvPicPr>
                            <a:picLocks noChangeAspect="1" noChangeArrowheads="1"/>
                          </pic:cNvPicPr>
                        </pic:nvPicPr>
                        <pic:blipFill>
                          <a:blip r:embed="rId93"/>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Technology, Innovation and AI</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1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3" descr=""/>
                          <pic:cNvPicPr>
                            <a:picLocks noChangeAspect="1" noChangeArrowheads="1"/>
                          </pic:cNvPicPr>
                        </pic:nvPicPr>
                        <pic:blipFill>
                          <a:blip r:embed="rId94"/>
                          <a:stretch>
                            <a:fillRect/>
                          </a:stretch>
                        </pic:blipFill>
                        <pic:spPr bwMode="auto">
                          <a:xfrm>
                            <a:off x="0" y="0"/>
                            <a:ext cx="95250" cy="95250"/>
                          </a:xfrm>
                          <a:prstGeom prst="rect">
                            <a:avLst/>
                          </a:prstGeom>
                        </pic:spPr>
                      </pic:pic>
                    </a:graphicData>
                  </a:graphic>
                </wp:inline>
              </w:drawing>
            </w:r>
          </w:p>
        </w:tc>
        <w:tc>
          <w:tcPr>
            <w:tcW w:w="94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1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4" descr=""/>
                          <pic:cNvPicPr>
                            <a:picLocks noChangeAspect="1" noChangeArrowheads="1"/>
                          </pic:cNvPicPr>
                        </pic:nvPicPr>
                        <pic:blipFill>
                          <a:blip r:embed="rId95"/>
                          <a:stretch>
                            <a:fillRect/>
                          </a:stretch>
                        </pic:blipFill>
                        <pic:spPr bwMode="auto">
                          <a:xfrm>
                            <a:off x="0" y="0"/>
                            <a:ext cx="95250" cy="95250"/>
                          </a:xfrm>
                          <a:prstGeom prst="rect">
                            <a:avLst/>
                          </a:prstGeom>
                        </pic:spPr>
                      </pic:pic>
                    </a:graphicData>
                  </a:graphic>
                </wp:inline>
              </w:drawing>
            </w:r>
          </w:p>
        </w:tc>
        <w:tc>
          <w:tcPr>
            <w:tcW w:w="97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1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5" descr=""/>
                          <pic:cNvPicPr>
                            <a:picLocks noChangeAspect="1" noChangeArrowheads="1"/>
                          </pic:cNvPicPr>
                        </pic:nvPicPr>
                        <pic:blipFill>
                          <a:blip r:embed="rId96"/>
                          <a:stretch>
                            <a:fillRect/>
                          </a:stretch>
                        </pic:blipFill>
                        <pic:spPr bwMode="auto">
                          <a:xfrm>
                            <a:off x="0" y="0"/>
                            <a:ext cx="95250" cy="95250"/>
                          </a:xfrm>
                          <a:prstGeom prst="rect">
                            <a:avLst/>
                          </a:prstGeom>
                        </pic:spPr>
                      </pic:pic>
                    </a:graphicData>
                  </a:graphic>
                </wp:inline>
              </w:drawing>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1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6" descr=""/>
                          <pic:cNvPicPr>
                            <a:picLocks noChangeAspect="1" noChangeArrowheads="1"/>
                          </pic:cNvPicPr>
                        </pic:nvPicPr>
                        <pic:blipFill>
                          <a:blip r:embed="rId97"/>
                          <a:stretch>
                            <a:fillRect/>
                          </a:stretch>
                        </pic:blipFill>
                        <pic:spPr bwMode="auto">
                          <a:xfrm>
                            <a:off x="0" y="0"/>
                            <a:ext cx="95250" cy="95250"/>
                          </a:xfrm>
                          <a:prstGeom prst="rect">
                            <a:avLst/>
                          </a:prstGeom>
                        </pic:spPr>
                      </pic:pic>
                    </a:graphicData>
                  </a:graphic>
                </wp:inline>
              </w:drawing>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1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7" descr=""/>
                          <pic:cNvPicPr>
                            <a:picLocks noChangeAspect="1" noChangeArrowheads="1"/>
                          </pic:cNvPicPr>
                        </pic:nvPicPr>
                        <pic:blipFill>
                          <a:blip r:embed="rId98"/>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Cybersecurity</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1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8" descr=""/>
                          <pic:cNvPicPr>
                            <a:picLocks noChangeAspect="1" noChangeArrowheads="1"/>
                          </pic:cNvPicPr>
                        </pic:nvPicPr>
                        <pic:blipFill>
                          <a:blip r:embed="rId99"/>
                          <a:stretch>
                            <a:fillRect/>
                          </a:stretch>
                        </pic:blipFill>
                        <pic:spPr bwMode="auto">
                          <a:xfrm>
                            <a:off x="0" y="0"/>
                            <a:ext cx="95250" cy="95250"/>
                          </a:xfrm>
                          <a:prstGeom prst="rect">
                            <a:avLst/>
                          </a:prstGeom>
                        </pic:spPr>
                      </pic:pic>
                    </a:graphicData>
                  </a:graphic>
                </wp:inline>
              </w:drawing>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1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9" descr=""/>
                          <pic:cNvPicPr>
                            <a:picLocks noChangeAspect="1" noChangeArrowheads="1"/>
                          </pic:cNvPicPr>
                        </pic:nvPicPr>
                        <pic:blipFill>
                          <a:blip r:embed="rId100"/>
                          <a:stretch>
                            <a:fillRect/>
                          </a:stretch>
                        </pic:blipFill>
                        <pic:spPr bwMode="auto">
                          <a:xfrm>
                            <a:off x="0" y="0"/>
                            <a:ext cx="95250" cy="95250"/>
                          </a:xfrm>
                          <a:prstGeom prst="rect">
                            <a:avLst/>
                          </a:prstGeom>
                        </pic:spPr>
                      </pic:pic>
                    </a:graphicData>
                  </a:graphic>
                </wp:inline>
              </w:drawing>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1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0" descr=""/>
                          <pic:cNvPicPr>
                            <a:picLocks noChangeAspect="1" noChangeArrowheads="1"/>
                          </pic:cNvPicPr>
                        </pic:nvPicPr>
                        <pic:blipFill>
                          <a:blip r:embed="rId101"/>
                          <a:stretch>
                            <a:fillRect/>
                          </a:stretch>
                        </pic:blipFill>
                        <pic:spPr bwMode="auto">
                          <a:xfrm>
                            <a:off x="0" y="0"/>
                            <a:ext cx="95250" cy="95250"/>
                          </a:xfrm>
                          <a:prstGeom prst="rect">
                            <a:avLst/>
                          </a:prstGeom>
                        </pic:spPr>
                      </pic:pic>
                    </a:graphicData>
                  </a:graphic>
                </wp:inline>
              </w:drawing>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1" descr=""/>
                          <pic:cNvPicPr>
                            <a:picLocks noChangeAspect="1" noChangeArrowheads="1"/>
                          </pic:cNvPicPr>
                        </pic:nvPicPr>
                        <pic:blipFill>
                          <a:blip r:embed="rId102"/>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Regulatory and Risk Oversight</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2" descr=""/>
                          <pic:cNvPicPr>
                            <a:picLocks noChangeAspect="1" noChangeArrowheads="1"/>
                          </pic:cNvPicPr>
                        </pic:nvPicPr>
                        <pic:blipFill>
                          <a:blip r:embed="rId103"/>
                          <a:stretch>
                            <a:fillRect/>
                          </a:stretch>
                        </pic:blipFill>
                        <pic:spPr bwMode="auto">
                          <a:xfrm>
                            <a:off x="0" y="0"/>
                            <a:ext cx="95250" cy="95250"/>
                          </a:xfrm>
                          <a:prstGeom prst="rect">
                            <a:avLst/>
                          </a:prstGeom>
                        </pic:spPr>
                      </pic:pic>
                    </a:graphicData>
                  </a:graphic>
                </wp:inline>
              </w:drawing>
            </w:r>
          </w:p>
        </w:tc>
        <w:tc>
          <w:tcPr>
            <w:tcW w:w="80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3" descr=""/>
                          <pic:cNvPicPr>
                            <a:picLocks noChangeAspect="1" noChangeArrowheads="1"/>
                          </pic:cNvPicPr>
                        </pic:nvPicPr>
                        <pic:blipFill>
                          <a:blip r:embed="rId104"/>
                          <a:stretch>
                            <a:fillRect/>
                          </a:stretch>
                        </pic:blipFill>
                        <pic:spPr bwMode="auto">
                          <a:xfrm>
                            <a:off x="0" y="0"/>
                            <a:ext cx="95250" cy="95250"/>
                          </a:xfrm>
                          <a:prstGeom prst="rect">
                            <a:avLst/>
                          </a:prstGeom>
                        </pic:spPr>
                      </pic:pic>
                    </a:graphicData>
                  </a:graphic>
                </wp:inline>
              </w:drawing>
            </w:r>
          </w:p>
        </w:tc>
        <w:tc>
          <w:tcPr>
            <w:tcW w:w="101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4" descr=""/>
                          <pic:cNvPicPr>
                            <a:picLocks noChangeAspect="1" noChangeArrowheads="1"/>
                          </pic:cNvPicPr>
                        </pic:nvPicPr>
                        <pic:blipFill>
                          <a:blip r:embed="rId105"/>
                          <a:stretch>
                            <a:fillRect/>
                          </a:stretch>
                        </pic:blipFill>
                        <pic:spPr bwMode="auto">
                          <a:xfrm>
                            <a:off x="0" y="0"/>
                            <a:ext cx="95250" cy="95250"/>
                          </a:xfrm>
                          <a:prstGeom prst="rect">
                            <a:avLst/>
                          </a:prstGeom>
                        </pic:spPr>
                      </pic:pic>
                    </a:graphicData>
                  </a:graphic>
                </wp:inline>
              </w:drawing>
            </w:r>
          </w:p>
        </w:tc>
        <w:tc>
          <w:tcPr>
            <w:tcW w:w="94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5" descr=""/>
                          <pic:cNvPicPr>
                            <a:picLocks noChangeAspect="1" noChangeArrowheads="1"/>
                          </pic:cNvPicPr>
                        </pic:nvPicPr>
                        <pic:blipFill>
                          <a:blip r:embed="rId106"/>
                          <a:stretch>
                            <a:fillRect/>
                          </a:stretch>
                        </pic:blipFill>
                        <pic:spPr bwMode="auto">
                          <a:xfrm>
                            <a:off x="0" y="0"/>
                            <a:ext cx="95250" cy="95250"/>
                          </a:xfrm>
                          <a:prstGeom prst="rect">
                            <a:avLst/>
                          </a:prstGeom>
                        </pic:spPr>
                      </pic:pic>
                    </a:graphicData>
                  </a:graphic>
                </wp:inline>
              </w:drawing>
            </w:r>
          </w:p>
        </w:tc>
        <w:tc>
          <w:tcPr>
            <w:tcW w:w="97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6" descr=""/>
                          <pic:cNvPicPr>
                            <a:picLocks noChangeAspect="1" noChangeArrowheads="1"/>
                          </pic:cNvPicPr>
                        </pic:nvPicPr>
                        <pic:blipFill>
                          <a:blip r:embed="rId107"/>
                          <a:stretch>
                            <a:fillRect/>
                          </a:stretch>
                        </pic:blipFill>
                        <pic:spPr bwMode="auto">
                          <a:xfrm>
                            <a:off x="0" y="0"/>
                            <a:ext cx="95250" cy="95250"/>
                          </a:xfrm>
                          <a:prstGeom prst="rect">
                            <a:avLst/>
                          </a:prstGeom>
                        </pic:spPr>
                      </pic:pic>
                    </a:graphicData>
                  </a:graphic>
                </wp:inline>
              </w:drawing>
            </w:r>
          </w:p>
        </w:tc>
        <w:tc>
          <w:tcPr>
            <w:tcW w:w="71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7" descr=""/>
                          <pic:cNvPicPr>
                            <a:picLocks noChangeAspect="1" noChangeArrowheads="1"/>
                          </pic:cNvPicPr>
                        </pic:nvPicPr>
                        <pic:blipFill>
                          <a:blip r:embed="rId108"/>
                          <a:stretch>
                            <a:fillRect/>
                          </a:stretch>
                        </pic:blipFill>
                        <pic:spPr bwMode="auto">
                          <a:xfrm>
                            <a:off x="0" y="0"/>
                            <a:ext cx="95250" cy="95250"/>
                          </a:xfrm>
                          <a:prstGeom prst="rect">
                            <a:avLst/>
                          </a:prstGeom>
                        </pic:spPr>
                      </pic:pic>
                    </a:graphicData>
                  </a:graphic>
                </wp:inline>
              </w:drawing>
            </w:r>
          </w:p>
        </w:tc>
        <w:tc>
          <w:tcPr>
            <w:tcW w:w="7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8" descr=""/>
                          <pic:cNvPicPr>
                            <a:picLocks noChangeAspect="1" noChangeArrowheads="1"/>
                          </pic:cNvPicPr>
                        </pic:nvPicPr>
                        <pic:blipFill>
                          <a:blip r:embed="rId109"/>
                          <a:stretch>
                            <a:fillRect/>
                          </a:stretch>
                        </pic:blipFill>
                        <pic:spPr bwMode="auto">
                          <a:xfrm>
                            <a:off x="0" y="0"/>
                            <a:ext cx="95250" cy="95250"/>
                          </a:xfrm>
                          <a:prstGeom prst="rect">
                            <a:avLst/>
                          </a:prstGeom>
                        </pic:spPr>
                      </pic:pic>
                    </a:graphicData>
                  </a:graphic>
                </wp:inline>
              </w:drawing>
            </w:r>
          </w:p>
        </w:tc>
        <w:tc>
          <w:tcPr>
            <w:tcW w:w="8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9" descr=""/>
                          <pic:cNvPicPr>
                            <a:picLocks noChangeAspect="1" noChangeArrowheads="1"/>
                          </pic:cNvPicPr>
                        </pic:nvPicPr>
                        <pic:blipFill>
                          <a:blip r:embed="rId110"/>
                          <a:stretch>
                            <a:fillRect/>
                          </a:stretch>
                        </pic:blipFill>
                        <pic:spPr bwMode="auto">
                          <a:xfrm>
                            <a:off x="0" y="0"/>
                            <a:ext cx="95250" cy="95250"/>
                          </a:xfrm>
                          <a:prstGeom prst="rect">
                            <a:avLst/>
                          </a:prstGeom>
                        </pic:spPr>
                      </pic:pic>
                    </a:graphicData>
                  </a:graphic>
                </wp:inline>
              </w:drawing>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2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0" descr=""/>
                          <pic:cNvPicPr>
                            <a:picLocks noChangeAspect="1" noChangeArrowheads="1"/>
                          </pic:cNvPicPr>
                        </pic:nvPicPr>
                        <pic:blipFill>
                          <a:blip r:embed="rId111"/>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Sales and Marketing</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3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1" descr=""/>
                          <pic:cNvPicPr>
                            <a:picLocks noChangeAspect="1" noChangeArrowheads="1"/>
                          </pic:cNvPicPr>
                        </pic:nvPicPr>
                        <pic:blipFill>
                          <a:blip r:embed="rId112"/>
                          <a:stretch>
                            <a:fillRect/>
                          </a:stretch>
                        </pic:blipFill>
                        <pic:spPr bwMode="auto">
                          <a:xfrm>
                            <a:off x="0" y="0"/>
                            <a:ext cx="95250" cy="95250"/>
                          </a:xfrm>
                          <a:prstGeom prst="rect">
                            <a:avLst/>
                          </a:prstGeom>
                        </pic:spPr>
                      </pic:pic>
                    </a:graphicData>
                  </a:graphic>
                </wp:inline>
              </w:drawing>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3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2" descr=""/>
                          <pic:cNvPicPr>
                            <a:picLocks noChangeAspect="1" noChangeArrowheads="1"/>
                          </pic:cNvPicPr>
                        </pic:nvPicPr>
                        <pic:blipFill>
                          <a:blip r:embed="rId113"/>
                          <a:stretch>
                            <a:fillRect/>
                          </a:stretch>
                        </pic:blipFill>
                        <pic:spPr bwMode="auto">
                          <a:xfrm>
                            <a:off x="0" y="0"/>
                            <a:ext cx="95250" cy="95250"/>
                          </a:xfrm>
                          <a:prstGeom prst="rect">
                            <a:avLst/>
                          </a:prstGeom>
                        </pic:spPr>
                      </pic:pic>
                    </a:graphicData>
                  </a:graphic>
                </wp:inline>
              </w:drawing>
            </w:r>
          </w:p>
        </w:tc>
        <w:tc>
          <w:tcPr>
            <w:tcW w:w="8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3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3" descr=""/>
                          <pic:cNvPicPr>
                            <a:picLocks noChangeAspect="1" noChangeArrowheads="1"/>
                          </pic:cNvPicPr>
                        </pic:nvPicPr>
                        <pic:blipFill>
                          <a:blip r:embed="rId114"/>
                          <a:stretch>
                            <a:fillRect/>
                          </a:stretch>
                        </pic:blipFill>
                        <pic:spPr bwMode="auto">
                          <a:xfrm>
                            <a:off x="0" y="0"/>
                            <a:ext cx="95250" cy="95250"/>
                          </a:xfrm>
                          <a:prstGeom prst="rect">
                            <a:avLst/>
                          </a:prstGeom>
                        </pic:spPr>
                      </pic:pic>
                    </a:graphicData>
                  </a:graphic>
                </wp:inline>
              </w:drawing>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98CBE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Diversity</w:t>
            </w:r>
          </w:p>
        </w:tc>
        <w:tc>
          <w:tcPr>
            <w:tcW w:w="66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Gender</w:t>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w:t>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F</w:t>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F</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w:t>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w:t>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w:t>
            </w:r>
          </w:p>
        </w:tc>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w:t>
            </w:r>
          </w:p>
        </w:tc>
        <w:tc>
          <w:tcPr>
            <w:tcW w:w="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w:t>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Race/Ethnicity</w:t>
            </w:r>
          </w:p>
        </w:tc>
        <w:tc>
          <w:tcPr>
            <w:tcW w:w="66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White</w:t>
            </w:r>
          </w:p>
        </w:tc>
        <w:tc>
          <w:tcPr>
            <w:tcW w:w="80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Asian</w:t>
            </w:r>
          </w:p>
        </w:tc>
        <w:tc>
          <w:tcPr>
            <w:tcW w:w="101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White</w:t>
            </w:r>
          </w:p>
        </w:tc>
        <w:tc>
          <w:tcPr>
            <w:tcW w:w="9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White</w:t>
            </w:r>
          </w:p>
        </w:tc>
        <w:tc>
          <w:tcPr>
            <w:tcW w:w="97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White</w:t>
            </w:r>
          </w:p>
        </w:tc>
        <w:tc>
          <w:tcPr>
            <w:tcW w:w="71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White</w:t>
            </w:r>
          </w:p>
        </w:tc>
        <w:tc>
          <w:tcPr>
            <w:tcW w:w="72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White</w:t>
            </w:r>
          </w:p>
        </w:tc>
        <w:tc>
          <w:tcPr>
            <w:tcW w:w="81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White</w:t>
            </w:r>
          </w:p>
        </w:tc>
        <w:tc>
          <w:tcPr>
            <w:tcW w:w="8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White</w:t>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restart"/>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LGBTQ+</w:t>
            </w:r>
          </w:p>
        </w:tc>
        <w:tc>
          <w:tcPr>
            <w:tcW w:w="66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vMerge w:val="continue"/>
            <w:tcBorders>
              <w:top w:val="single" w:sz="4"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665" w:type="dxa"/>
            <w:gridSpan w:val="3"/>
            <w:tcBorders>
              <w:bottom w:val="single" w:sz="8" w:space="0" w:color="005CBA"/>
            </w:tcBorders>
            <w:tcMar>
              <w:top w:w="0" w:type="dxa"/>
              <w:left w:w="0" w:type="dxa"/>
              <w:right w:w="0" w:type="dxa"/>
            </w:tcMar>
            <w:vAlign w:val="center"/>
          </w:tcPr>
          <w:p>
            <w:pPr>
              <w:pStyle w:val="TableContents"/>
              <w:bidi w:val="0"/>
              <w:spacing w:before="0" w:after="0"/>
              <w:jc w:val="center"/>
              <w:rPr/>
            </w:pPr>
            <w:r>
              <w:rPr/>
              <w:drawing>
                <wp:inline distT="0" distB="0" distL="0" distR="0">
                  <wp:extent cx="95250" cy="95250"/>
                  <wp:effectExtent l="0" t="0" r="0" b="0"/>
                  <wp:docPr id="13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4" descr=""/>
                          <pic:cNvPicPr>
                            <a:picLocks noChangeAspect="1" noChangeArrowheads="1"/>
                          </pic:cNvPicPr>
                        </pic:nvPicPr>
                        <pic:blipFill>
                          <a:blip r:embed="rId115"/>
                          <a:stretch>
                            <a:fillRect/>
                          </a:stretch>
                        </pic:blipFill>
                        <pic:spPr bwMode="auto">
                          <a:xfrm>
                            <a:off x="0" y="0"/>
                            <a:ext cx="95250" cy="95250"/>
                          </a:xfrm>
                          <a:prstGeom prst="rect">
                            <a:avLst/>
                          </a:prstGeom>
                        </pic:spPr>
                      </pic:pic>
                    </a:graphicData>
                  </a:graphic>
                </wp:inline>
              </w:drawing>
            </w:r>
          </w:p>
        </w:tc>
        <w:tc>
          <w:tcPr>
            <w:tcW w:w="803"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*Public Board Chair Experience</w:t>
      </w:r>
    </w:p>
    <w:tbl>
      <w:tblPr>
        <w:tblW w:w="10205" w:type="dxa"/>
        <w:jc w:val="left"/>
        <w:tblInd w:w="0" w:type="dxa"/>
        <w:tblLayout w:type="fixed"/>
        <w:tblCellMar>
          <w:top w:w="28" w:type="dxa"/>
          <w:left w:w="28" w:type="dxa"/>
          <w:bottom w:w="28" w:type="dxa"/>
          <w:right w:w="28" w:type="dxa"/>
        </w:tblCellMar>
      </w:tblPr>
      <w:tblGrid>
        <w:gridCol w:w="124"/>
        <w:gridCol w:w="109"/>
        <w:gridCol w:w="109"/>
        <w:gridCol w:w="881"/>
        <w:gridCol w:w="852"/>
        <w:gridCol w:w="763"/>
        <w:gridCol w:w="2379"/>
        <w:gridCol w:w="2296"/>
        <w:gridCol w:w="2317"/>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005CBA"/>
                <w:sz w:val="16"/>
              </w:rPr>
            </w:pPr>
            <w:r>
              <w:rPr>
                <w:rFonts w:ascii="Graphik Semibold;sans-serif" w:hAnsi="Graphik Semibold;sans-serif"/>
                <w:b/>
                <w:color w:val="005CBA"/>
                <w:sz w:val="16"/>
              </w:rPr>
              <w:t>Skill or Experience</w:t>
            </w:r>
          </w:p>
        </w:tc>
        <w:tc>
          <w:tcPr>
            <w:tcW w:w="69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005CBA"/>
                <w:sz w:val="16"/>
              </w:rPr>
            </w:pPr>
            <w:r>
              <w:rPr>
                <w:rFonts w:ascii="Graphik Semibold;sans-serif" w:hAnsi="Graphik Semibold;sans-serif"/>
                <w:b/>
                <w:color w:val="005CBA"/>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5CB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Senior Leadership</w:t>
            </w:r>
          </w:p>
        </w:tc>
        <w:tc>
          <w:tcPr>
            <w:tcW w:w="6992" w:type="dxa"/>
            <w:gridSpan w:val="3"/>
            <w:tcBorders>
              <w:top w:val="single" w:sz="8" w:space="0" w:color="005CB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Extensive executive, director or management experience from leadership and governance roles in corporations, government or public organizations.</w:t>
            </w:r>
          </w:p>
        </w:tc>
        <w:tc>
          <w:tcPr>
            <w:tcW w:w="375" w:type="dxa"/>
            <w:gridSpan w:val="3"/>
            <w:tcBorders>
              <w:top w:val="single" w:sz="8"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Diagnostics</w:t>
            </w:r>
          </w:p>
        </w:tc>
        <w:tc>
          <w:tcPr>
            <w:tcW w:w="699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Expertise in the medical diagnostics industry, including development.</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Biopharma</w:t>
            </w:r>
          </w:p>
        </w:tc>
        <w:tc>
          <w:tcPr>
            <w:tcW w:w="699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Significant background working in the biotechnology industry and in management of life sciences companies; experience in product development.</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U.S. Healthcare Reimbursement</w:t>
            </w:r>
          </w:p>
        </w:tc>
        <w:tc>
          <w:tcPr>
            <w:tcW w:w="699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Expertise in U.S. healthcare reimbursement, including reimbursement pathways, market access and healthcare regulations.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Global Enterprise</w:t>
            </w:r>
          </w:p>
        </w:tc>
        <w:tc>
          <w:tcPr>
            <w:tcW w:w="699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in global operations, including market expansion and international regulatory landscapes.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 xml:space="preserve">Accounting and Auditing </w:t>
              <w:br/>
              <w:t>(including Sustainability Reporting)</w:t>
            </w:r>
          </w:p>
        </w:tc>
        <w:tc>
          <w:tcPr>
            <w:tcW w:w="699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Leadership or management experience resulting in financial proficiency and expertise.</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Public Board</w:t>
            </w:r>
          </w:p>
        </w:tc>
        <w:tc>
          <w:tcPr>
            <w:tcW w:w="699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in roles on the board(s) of other public corporations.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Technology and Innovation</w:t>
            </w:r>
          </w:p>
        </w:tc>
        <w:tc>
          <w:tcPr>
            <w:tcW w:w="699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in technology, digital transformation, AI and data analytics.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 xml:space="preserve">Cybersecurity </w:t>
            </w:r>
          </w:p>
        </w:tc>
        <w:tc>
          <w:tcPr>
            <w:tcW w:w="699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in cybersecurity, including risk assessment and security strategies.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 xml:space="preserve">Regulatory and Risk Oversight </w:t>
            </w:r>
          </w:p>
        </w:tc>
        <w:tc>
          <w:tcPr>
            <w:tcW w:w="699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Experience in risk management and regulatory frameworks.</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Sales and Marketing</w:t>
            </w:r>
          </w:p>
        </w:tc>
        <w:tc>
          <w:tcPr>
            <w:tcW w:w="6992"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Background in sales and marketing initiatives, including brand positioning and engagement.</w:t>
            </w:r>
          </w:p>
        </w:tc>
        <w:tc>
          <w:tcPr>
            <w:tcW w:w="375"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60400"/>
                <wp:effectExtent l="0" t="0" r="0" b="0"/>
                <wp:wrapNone/>
                <wp:docPr id="134" name="Frame2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One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Director Tenure and Age Distribution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 provides information regarding the tenure and age distribution of our Board of Directors as of April 21, 2025.</w:t>
      </w:r>
    </w:p>
    <w:tbl>
      <w:tblPr>
        <w:tblW w:w="8606"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09"/>
        <w:gridCol w:w="109"/>
        <w:gridCol w:w="109"/>
        <w:gridCol w:w="664"/>
        <w:gridCol w:w="664"/>
        <w:gridCol w:w="666"/>
        <w:gridCol w:w="109"/>
        <w:gridCol w:w="109"/>
        <w:gridCol w:w="109"/>
        <w:gridCol w:w="399"/>
        <w:gridCol w:w="399"/>
        <w:gridCol w:w="401"/>
        <w:gridCol w:w="109"/>
        <w:gridCol w:w="109"/>
        <w:gridCol w:w="109"/>
        <w:gridCol w:w="664"/>
        <w:gridCol w:w="664"/>
        <w:gridCol w:w="6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Tenure</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Number of Directors</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Age</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Number of Directors</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More than 10 years</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70+ years</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1</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6 – 10 years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1</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61 – 70 years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0 – 5 years</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6</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45 – 60 years</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3</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Majority Voting Standard for Director Elections and Director Resignation Policy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amended and restated bylaws provide for a majority voting standard for uncontested elections of directors, which provides that, in uncontested director elections, a director nominee will be elected only if the number of votes cast FOR the director nominee exceeds the number of votes cast AGAINST the director nominee. In addition, we have adopted a Director Resignation Policy, which is intended to address a “holdover director” under the Delaware General Corporation Law (the “DGCL”), which is an incumbent director who fails to receive the requisite number of votes for re-election at an Annual Meeting of Stockholders and is required to remain in office until a successor is duly elected and qualified. Our Director Resignation Policy requires each incumbent director nominee at an Annual Meeting of Stockholders to submit an irrevocable contingent resignation letter prior to such Annual Meeting of Stockholders, with such resignation, effective only upon (i) such director nominee’s failure to receive the requisite number of votes for re-election and (ii) our Board of Directors’ acceptance of such resignation. If the director nominee does not receive the requisite number of votes for re-election, our Nominating and Corporate Governance Committee will make a recommendation to our Board of Directors as to whether to accept or reject the resignation, or whether other action should be taken. Our Board of Directors will act on the Nominating and Corporate Governance Committee’s recommendation and publicly disclose its decision and the rationale behind it within 90 days from the date of the certification of the election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Director Independence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Board of Directors has determined that, except for Mr. Stapley, each individual who currently serves as a member of our Board of Directors is, and each individual who served as a member of our Board of Directors in 2024 was, an “independent director” within the meaning of applicable rules of The Nasdaq Stock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As a result, Mr. Stapley is not considered independent as he serves as our Chief Executive Officer. In addition, as required by Nasdaq rules, for each of Ms. Bhanji, Ms. Eastham, Dr. Epstein, Dr. Barr, Mr. Holstein, Mr. Jones, Dr. Miller and Mr. Shafer, the Board of Directors considered their relationships and transactions with us and our security holders and has made a subjective determination that no relationships exist, which, in the opinion of our Board of Directors, would interfere with the exercise of their independent judgment in carrying out the responsibilities of a director. In making these determinations, our Board of Directors reviewed and discussed information provided by the directors with regard to each director’s business and personal activities and relationships as they may relate to us and our management. There are no family relationships among any of our directors or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60400"/>
                <wp:effectExtent l="0" t="0" r="0" b="0"/>
                <wp:wrapNone/>
                <wp:docPr id="135" name="Frame2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One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Compensation Committee Interlocks and Insider Participation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members of our Compensation Committee during 2024 included John L. Bishop, until his term ended on June 12, 2024, Karin Eastham, Jens Holstein and Brent Shafer. No member of our Compensation Committee in 2024 was at any time during 2024 or at any other time an officer or employee of ours, and none had or have any relationships with us that are required to be disclosed under Item 404 of Regulation S-K. None of our executive officers has served as a member of the Board of Directors, or as a member of the compensation or similar committee, of any entity that has one or more executive officers who served on our Board of Directors or Compensation Committee during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Board Meetings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Board of Directors held seven meetings and acted by written consent four times during 2024. Each director attended at least 80% of the aggregate number of meetings held by the Board of Directors and of the committees on which such director served. The independent directors meet in executive sessions at regularly scheduled meetings of the Board of Directors without the participation of the Chief Executive Officer or other members of management. We do not have a policy that requires the attendance of directors at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Board Committees</w:t>
      </w:r>
    </w:p>
    <w:p>
      <w:pPr>
        <w:pStyle w:val="TextBody"/>
        <w:bidi w:val="0"/>
        <w:spacing w:lineRule="auto" w:line="336" w:before="0" w:after="240"/>
        <w:jc w:val="left"/>
        <w:rPr>
          <w:rFonts w:ascii="Graphik Light;sans-serif" w:hAnsi="Graphik Light;sans-serif"/>
          <w:b w:val="false"/>
          <w:color w:val="1D1D1D"/>
          <w:sz w:val="18"/>
        </w:rPr>
      </w:pPr>
      <w:r>
        <w:rPr>
          <w:rFonts w:ascii="Graphik Light;sans-serif" w:hAnsi="Graphik Light;sans-serif"/>
          <w:b w:val="false"/>
          <w:color w:val="1D1D1D"/>
          <w:sz w:val="18"/>
        </w:rPr>
        <w:t>Below is a description of each committee of the Board of Directors. The Board of Directors has determined that each director who serves on the Audit, Compensation, Nominating and Corporate Governance, and Regulatory and Compliance Committees is “independent,” as that term is defined for such committee by applicable listing standards of Nasdaq, rules of the SEC, and the applicable written charter for each of these committees. The charters of the Audit, Compensation, Nominating and Corporate Governance, and Regulatory and Compliance Committees are available on the investor section of our website under the corporate governance tab (https://investor.veracyte.com/corporate-governance). Please note, however, that the information contained on the website is not incorporated by reference in, or considered part of, this proxy statement. We will also provide copies of these documents and our company’s other corporate governance documents, free of charge, to any stockholder upon written request to Veracyte, Inc., Attention: General Counsel, 6000 Shoreline Court, Suite 300, South San Francisco, California 94080.</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743"/>
        <w:gridCol w:w="743"/>
        <w:gridCol w:w="744"/>
        <w:gridCol w:w="109"/>
        <w:gridCol w:w="109"/>
        <w:gridCol w:w="109"/>
        <w:gridCol w:w="109"/>
        <w:gridCol w:w="109"/>
        <w:gridCol w:w="109"/>
        <w:gridCol w:w="2200"/>
        <w:gridCol w:w="2200"/>
        <w:gridCol w:w="220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AUDIT COMMITTEE AND FINANCIAL EXPERT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Audit Committee held seven meetings during 2024.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Audit Committee oversees our corporate accounting and financial reporting process and assists our Board of Directors in oversight of the integrity of our financial statements, our compliance with certain legal and regulatory requirements, our independent auditor’s qualifications, independence and performance, and our internal accounting and financial controls. Our Audit Committee is responsible for the appointment, compensation, retention and oversight of our independent auditor.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Board of Directors has determined that each of Mr. Holstein, Ms. Eastham and Mr. Jones are qualified as an “audit committee financial expert” under the definition outlined by the SEC.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336" w:before="0" w:after="40"/>
              <w:jc w:val="left"/>
              <w:rPr/>
            </w:pPr>
            <w:r>
              <w:rPr>
                <w:rFonts w:ascii="Graphik Medium;sans-serif" w:hAnsi="Graphik Medium;sans-serif"/>
                <w:b/>
                <w:color w:val="1D1D1D"/>
                <w:sz w:val="18"/>
              </w:rPr>
              <w:t>Chair:</w:t>
            </w:r>
            <w:r>
              <w:rPr>
                <w:color w:val="1D1D1D"/>
              </w:rPr>
              <w:t xml:space="preserve">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Jens Holstein</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Members: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Karin Eastham</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5"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60400"/>
                <wp:effectExtent l="0" t="0" r="0" b="0"/>
                <wp:wrapNone/>
                <wp:docPr id="136" name="Frame2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800"/>
        <w:gridCol w:w="800"/>
        <w:gridCol w:w="801"/>
        <w:gridCol w:w="109"/>
        <w:gridCol w:w="109"/>
        <w:gridCol w:w="109"/>
        <w:gridCol w:w="109"/>
        <w:gridCol w:w="109"/>
        <w:gridCol w:w="109"/>
        <w:gridCol w:w="2143"/>
        <w:gridCol w:w="2143"/>
        <w:gridCol w:w="2147"/>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 xml:space="preserve">COMPENSATION COMMITTEE </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held four meetings and acted by written consent three times during 2024.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Compensation Committee oversees our compensation policies, plans and benefits programs and determines and approves or, in the case of our chief executive officer,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non-employee directors’ compensation to the full Board of Directors. The Compensation Committee has the sole authority to select, retain, terminate and approve the fees and other retention terms of consultants as it deems appropriate to perform its duties.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336" w:before="0" w:after="40"/>
              <w:jc w:val="left"/>
              <w:rPr/>
            </w:pPr>
            <w:r>
              <w:rPr>
                <w:rFonts w:ascii="Graphik Medium;sans-serif" w:hAnsi="Graphik Medium;sans-serif"/>
                <w:b/>
                <w:color w:val="1D1D1D"/>
                <w:sz w:val="18"/>
              </w:rPr>
              <w:t>Chair:</w:t>
            </w:r>
            <w:r>
              <w:rPr>
                <w:color w:val="1D1D1D"/>
              </w:rPr>
              <w:t xml:space="preserve">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Karin Eastham</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Members: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 xml:space="preserve">Jens Holstein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78"/>
        <w:gridCol w:w="778"/>
        <w:gridCol w:w="779"/>
        <w:gridCol w:w="109"/>
        <w:gridCol w:w="109"/>
        <w:gridCol w:w="109"/>
        <w:gridCol w:w="109"/>
        <w:gridCol w:w="109"/>
        <w:gridCol w:w="109"/>
        <w:gridCol w:w="2165"/>
        <w:gridCol w:w="2165"/>
        <w:gridCol w:w="216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9"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NOMINATING AND CORPORATE GOVERNANCE</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9"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Nominating and Corporate Governance Committee held five meetings and acted by written consent one time during 2024.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 as well as recommendations and monitoring related to the company’s Environmental, Social and Corporate Governance ("ESG") efforts.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9"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9"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cMar>
              <w:top w:w="0" w:type="dxa"/>
              <w:left w:w="0" w:type="dxa"/>
              <w:bottom w:w="0" w:type="dxa"/>
              <w:right w:w="0" w:type="dxa"/>
            </w:tcMar>
            <w:vAlign w:val="center"/>
          </w:tcPr>
          <w:p>
            <w:pPr>
              <w:pStyle w:val="TableContents"/>
              <w:bidi w:val="0"/>
              <w:spacing w:lineRule="auto" w:line="336" w:before="0" w:after="40"/>
              <w:jc w:val="left"/>
              <w:rPr/>
            </w:pPr>
            <w:r>
              <w:rPr>
                <w:rFonts w:ascii="Graphik Medium;sans-serif" w:hAnsi="Graphik Medium;sans-serif"/>
                <w:b/>
                <w:color w:val="1D1D1D"/>
                <w:sz w:val="18"/>
              </w:rPr>
              <w:t>Chair:</w:t>
            </w:r>
            <w:r>
              <w:rPr>
                <w:color w:val="1D1D1D"/>
              </w:rPr>
              <w:t xml:space="preserve">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Robert S. Epstein</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Members: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Muna Bhanji</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9" w:type="dxa"/>
            <w:gridSpan w:val="3"/>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849"/>
        <w:gridCol w:w="849"/>
        <w:gridCol w:w="850"/>
        <w:gridCol w:w="109"/>
        <w:gridCol w:w="109"/>
        <w:gridCol w:w="109"/>
        <w:gridCol w:w="109"/>
        <w:gridCol w:w="109"/>
        <w:gridCol w:w="109"/>
        <w:gridCol w:w="2094"/>
        <w:gridCol w:w="2094"/>
        <w:gridCol w:w="209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shd w:fill="005CB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REGULATORY AND COMPLIANCE</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Regulatory and Compliance Committee held four meetings during 2024.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Regulatory and Compliance Committee assists our Board of Directors in meeting its responsibilities with regard to oversight of our compliance with healthcare legal and regulatory requirements applicable to our business.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336" w:before="0" w:after="40"/>
              <w:jc w:val="left"/>
              <w:rPr/>
            </w:pPr>
            <w:r>
              <w:rPr>
                <w:rFonts w:ascii="Graphik Medium;sans-serif" w:hAnsi="Graphik Medium;sans-serif"/>
                <w:b/>
                <w:color w:val="1D1D1D"/>
                <w:sz w:val="18"/>
              </w:rPr>
              <w:t>Chair:</w:t>
            </w:r>
            <w:r>
              <w:rPr>
                <w:color w:val="1D1D1D"/>
              </w:rPr>
              <w:t xml:space="preserve">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Evan Jones</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Members: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Muna Bhanji</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 xml:space="preserve">Eliav Barr </w:t>
            </w:r>
          </w:p>
          <w:p>
            <w:pPr>
              <w:pStyle w:val="TableContents"/>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3"/>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60400"/>
                <wp:effectExtent l="0" t="0" r="0" b="0"/>
                <wp:wrapNone/>
                <wp:docPr id="137" name="Frame2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17</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3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5" descr=""/>
                          <pic:cNvPicPr>
                            <a:picLocks noChangeAspect="1" noChangeArrowheads="1"/>
                          </pic:cNvPicPr>
                        </pic:nvPicPr>
                        <pic:blipFill>
                          <a:blip r:embed="rId116"/>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Corporate Governance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Structure of the Board of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Board of Directors was previously divided into three classes, with each class serving staggered three-year terms. As part of our regular engagement with our stockholders and our commitment to ESG, including our regular review of our corporate governance structure and evaluation of recent trends in corporate governance, following approval by our stockholders at the 2023 Annual Meeting, we filed a Restated Certificate to implement a declassification of the Board of Directors over a three-year period, and provide for the annual election of directors for one-year terms, commencing upon the expiration of the directors’ then-current terms. The declassification of our Board of Directors began with the directors nominated for election at the 2024 Annual Meeting, and beginning with our 2026 Annual Meeting, all directors will stand for election for one-year terms.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Board Leadership Structure and Role in Risk Oversight</w:t>
      </w:r>
    </w:p>
    <w:p>
      <w:pPr>
        <w:pStyle w:val="TextBody"/>
        <w:bidi w:val="0"/>
        <w:spacing w:lineRule="auto" w:line="336" w:before="0" w:after="180"/>
        <w:jc w:val="left"/>
        <w:rPr/>
      </w:pPr>
      <w:r>
        <w:rPr>
          <w:rFonts w:ascii="Graphik Light;sans-serif" w:hAnsi="Graphik Light;sans-serif"/>
          <w:b w:val="false"/>
          <w:color w:val="1D1D1D"/>
          <w:sz w:val="18"/>
        </w:rPr>
        <w:t xml:space="preserve">Our Nominating and Corporate Governance Committee periodically considers the leadership structure of our Board of Directors and makes such recommendations to our Board of Directors as our Nominating and Corporate Governance Committee deems appropriate. Our Board of Directors believes it is important to have flexibility in selecting the Chair of the Board of Directors and our Board of Directors leadership structure. The Board of Directors believes that is currently in the best interests of Veracyte and its stockholders for Dr. Epstein, an independent director, to serve as our Chair. Dr. Epstein has served on our Board of Directors since January 2015 and has deep familiarity with our business and our industry, including </w:t>
      </w:r>
      <w:r>
        <w:rPr>
          <w:rFonts w:ascii="Graphik Light;sans-serif" w:hAnsi="Graphik Light;sans-serif"/>
          <w:b w:val="false"/>
          <w:color w:val="1D1D1D"/>
          <w:sz w:val="18"/>
          <w:shd w:fill="FFFFFF" w:val="clear"/>
        </w:rPr>
        <w:t xml:space="preserve">in-depth knowledge of the issues, opportunities and challenges facing our company and its business and </w:t>
      </w:r>
      <w:r>
        <w:rPr>
          <w:rFonts w:ascii="Graphik Light;sans-serif" w:hAnsi="Graphik Light;sans-serif"/>
          <w:b w:val="false"/>
          <w:color w:val="1D1D1D"/>
          <w:sz w:val="18"/>
        </w:rPr>
        <w:t xml:space="preserve">make him well qualified to serve as our Chair. The Board of Directors believes that this leadership structure provides our Board of Directors with significant strengths and an independent leadership perspective. In his capacity as Chair, Dr. Epstein also serves </w:t>
      </w:r>
      <w:r>
        <w:rPr>
          <w:rFonts w:ascii="Graphik Light;sans-serif" w:hAnsi="Graphik Light;sans-serif"/>
          <w:b w:val="false"/>
          <w:i/>
          <w:color w:val="1D1D1D"/>
          <w:sz w:val="18"/>
        </w:rPr>
        <w:t>ex officio</w:t>
      </w:r>
      <w:r>
        <w:rPr>
          <w:color w:val="1D1D1D"/>
        </w:rPr>
        <w:t xml:space="preserve"> </w:t>
      </w:r>
      <w:r>
        <w:rPr>
          <w:rFonts w:ascii="Graphik Light;sans-serif" w:hAnsi="Graphik Light;sans-serif"/>
          <w:b w:val="false"/>
          <w:color w:val="1D1D1D"/>
          <w:sz w:val="18"/>
        </w:rPr>
        <w:t>on all committees of the Board of Directors and chairs executive sessions of the independent directors. The Board of Directors retains the authority to modify this structure as it deems appropriate. In making Board of Directors leadership structure determinations, the Board of Directors considers many factors, including the specific needs of the business and what is in the best interests of our stockholders. Any changes to the leadership structure of our Board of Directors, if made, will be disclosed on the Investor Relations portion of our website, and in our proxy materials for the next Annual Meeting of Stockholders. Our Board of Directors, in its sole discretion, may seek input from our stockholders on the leadership structure of the Board of Directors.</w:t>
      </w:r>
      <w:r>
        <w:rPr>
          <w:color w:val="1D1D1D"/>
          <w:shd w:fill="FFFFFF" w:val="clear"/>
        </w:rPr>
        <w:t xml:space="preserv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Board of Directors is responsible for overseeing the overall risk management process at Veracyte. The responsibility for managing risk rests with executive management, while the committees of the Board of Directors and the Board of Directors as a whole participate in the oversight process. The risk oversight process of the Board of Directors builds upon management’s enterprise risk management assessment and mitigation processes, which include reviews of long-term strategic and operational planning, strategic biopharmaceutical partnerships and material opportunities, executive talent acquisition, retention, and development, compensation and evaluation, reputational, regulatory and legal compliance including those laws and regulations relating to product and service promotional activities, Medicare billing and reimbursement and provision of laboratory services, cybersecurity, privacy and financial reporting and internal controls. The Board of Directors considers strategic risks and opportunities and regularly receives reports from executive management regarding specific aspects of risk management, including but not limited to, our ability to expand our platform, products and services globally and our ability to potentially inform diagnosis and treatment decisions in new oncology indications. Our Board of Directors reviews strategic and operational risk in the context of discussions, question-and-answer sessions and reports from the management team at each regular Board of Directors meeting, receives reports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660400"/>
                <wp:effectExtent l="0" t="0" r="0" b="0"/>
                <wp:wrapNone/>
                <wp:docPr id="139" name="Frame2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18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Corporate Governance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on all significant committee activities at each regular Board of Directors meeting, and evaluates the risks inherent in significant transactions. Management, under oversight of the Audit Committee, conducts an annual enterprise risk management assessment to assess key enterprise risks over different time horizons: short-term (current to six months), mid-term (six to twelve months) and long-term (more than twelve months). Following such assessment, key risk areas are shared with the Audit Committee and management assigns owners to each risk who are tasked with reviewing and assessing the contributing factors, evaluating management’s existing risk mitigation capabilities, identifying risk mitigation enhancement considerations and potential future state activities, and assessing resources needed to implement desired mitigation enhancements.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Each committee of the Board of Directors meets with key management personnel and representatives of outside advisors to oversee risks associated with their respective principal areas of focus both with management present and in separate executive sessions, as described below. We believe this division of responsibilities is an effective approach for addressing the risks we face and that our Board of Directors leadership structure supports this approach. The Audit Committee reviews (i) our major financial risks and enterprise exposures and the steps management has taken to monitor or mitigate such risks and exposures, including our risk assessment and risk management policies, as well as cybersecurity and data privacy risks and risk exposures in other areas, as the Audit Committee deems appropriate from time to time; (ii) our programs for promoting and monitoring compliance with applicable SEC legal and regulatory requirements, as well as major legal regulatory compliance risk exposures and the steps management has taken to monitor or mitigate such exposures; and (iii) the status of any significant legal and regulatory matters and any material reports or inquiries received from regulators or government agencies that reasonably could be expected to have a significant impact on our financial statements. The Compensation Committee reviews major compensation- and human capital-related risk exposures and the steps management has taken to monitor or mitigate such exposures. The Nominating and Corporate Governance Committee reviews and assesses risks relating to our corporate governance practices, reviews and assesses our performance, risks, controls, and procedures relating to corporate responsibility and sustainability, including ESG matters, reviews the independence of our Board of Directors, and reviews and discusses our Board of Directors’ leadership structure and role in risk oversight. The Regulatory and Compliance Committee assists the Board of Directors with oversight of our compliance with corporate legal and regulatory requirements not already overseen by our Audit Committee.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Oversight of Corporate Strategy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One of our Board of Directors’ key responsibilities is overseeing management’s formulation and execution of corporate strategy. Our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our Board of Directors receives information and formal updates from our management and actively engages with the senior leadership team with respect to our corporate strategy. Our Board of Directors’ diverse skill set and experience enhances its ability to support management in the execution and evaluation of our corporate strategy. The independent members of our Board of Directors also hold regularly scheduled executive sessions at which strategy is discussed.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60400"/>
                <wp:effectExtent l="0" t="0" r="0" b="0"/>
                <wp:wrapNone/>
                <wp:docPr id="140" name="Frame2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Corporate Governance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 xml:space="preserve">Cybersecurity Risk Oversight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of Directors, in coordination with our Audit Committee, oversees our management of risks arising from cybersecurity threats. The Board of Directors and the Audit Committee each receive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The Board of Directors and the Audit Committee also receive prompt and timely information regarding any cybersecurity incident that meets established reporting thresholds, as well as ongoing updates regarding any such incident until it has been addressed. On an annual basis, the Board of Directors and the Audit Committee discuss our approach to cybersecurity risk management with the members of management, including our Chief Information Officer.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Cybersecurity Executive Leadership Team is composed of the Chief Information Officer, in coordination with our Chief Executive Officer, Chief Financial Officer, Chief Compliance Officer and General Counsel. The team works collaboratively across Veracyte to design and implement programs to protect our information systems from cybersecurity threats and to appropriately respond to any cybersecurity incidents in accordance with our cybersecurity incident response plan. To facilitate the success of our cybersecurity risk management program, multidisciplinary teams throughout Veracyte are engaged to address cybersecurity threats and to respond to cybersecurity incidents, including close collaboration with our chief privacy and data officer. Through ongoing communications with these teams, the Chief Information Officer and the Cybersecurity Executive Leadership Team monitor the prevention, detection, mitigation and remediation of cybersecurity threats and incidents in real time, and report such threats and incidents to the Audit Committee when appropriate. </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Veracyte’s Approach to Human Capital Management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Our People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At December 31, 2024, we had 824 employees, of which 219 worked in laboratory operations, 140 in research and development and clinical development, 180 in selling and marketing, and 285 in general and administrative. None of our employees in the U.S. or Israel are the subject of collective bargaining arrangements. Our employees in France belong to local works council and national union, subject to customary collective bargaining arrangements under local law. Our management considers its relationships with employees to be generally positive.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Diversity, Inclusion and Belonging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believe in an inclusive workforce, where people of diverse backgrounds are represented, engaged and empowered to inspire innovative ideas and decisions, aspiring for an employee population that is reflective of the patient population we serve. Women comprised 56% of our employees and 37% at the Vice President level and above, as of December 31, 2024. Two of our nine directors were women, as of December 31, 2024. Additionally, as of December 31, 2024, 45% of our U.S. employees were non-White. Our U.S. workforce diversity data reflects data from those employee respondents who elected to self-identify. Since 2022, we have sponsored employee resource groups, including the launch of the Veracyte Women’s Leadership (VWL) group, and MERGE, the multicultural employee resource group. We continue to support our employees and encourage diversity, inclusion and belonging through resource groups and our company culture work that we hope will empower our employee base.</w:t>
      </w:r>
    </w:p>
    <w:p>
      <w:pPr>
        <w:pStyle w:val="TextBody"/>
        <w:bidi w:val="0"/>
        <w:spacing w:before="18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60400"/>
                <wp:effectExtent l="0" t="0" r="0" b="0"/>
                <wp:wrapNone/>
                <wp:docPr id="141" name="Frame2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Corporate Governance</w:t>
      </w:r>
    </w:p>
    <w:p>
      <w:pPr>
        <w:pStyle w:val="TextBody"/>
        <w:bidi w:val="0"/>
        <w:spacing w:lineRule="auto" w:line="288" w:before="0" w:after="180"/>
        <w:jc w:val="left"/>
        <w:rPr>
          <w:rFonts w:ascii="Graphik Semibold;sans-serif" w:hAnsi="Graphik Semibold;sans-serif"/>
          <w:b/>
          <w:color w:val="005CBA"/>
          <w:sz w:val="24"/>
        </w:rPr>
      </w:pPr>
      <w:r>
        <w:rPr>
          <w:rFonts w:ascii="Graphik Semibold;sans-serif" w:hAnsi="Graphik Semibold;sans-serif"/>
          <w:b/>
          <w:color w:val="005CBA"/>
          <w:sz w:val="24"/>
        </w:rPr>
        <w:t>Race/Ethnicity*</w:t>
      </w:r>
    </w:p>
    <w:p>
      <w:pPr>
        <w:pStyle w:val="TextBody"/>
        <w:bidi w:val="0"/>
        <w:spacing w:lineRule="auto" w:line="288" w:before="0" w:after="180"/>
        <w:jc w:val="left"/>
        <w:rPr>
          <w:rFonts w:ascii="Graphik Semibold;sans-serif" w:hAnsi="Graphik Semibold;sans-serif"/>
          <w:b/>
          <w:color w:val="005CBA"/>
          <w:sz w:val="24"/>
        </w:rPr>
      </w:pPr>
      <w:r>
        <w:rPr>
          <w:rFonts w:ascii="Graphik Semibold;sans-serif" w:hAnsi="Graphik Semibold;sans-serif"/>
          <w:b/>
          <w:color w:val="005CBA"/>
          <w:sz w:val="24"/>
        </w:rPr>
        <w:t>Gender*</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All Employees</w:t>
      </w:r>
    </w:p>
    <w:p>
      <w:pPr>
        <w:pStyle w:val="TextBody"/>
        <w:bidi w:val="0"/>
        <w:spacing w:before="0" w:after="0"/>
        <w:jc w:val="left"/>
        <w:rPr/>
      </w:pPr>
      <w:r>
        <w:rPr/>
        <w:drawing>
          <wp:inline distT="0" distB="0" distL="0" distR="0">
            <wp:extent cx="1552575" cy="2705100"/>
            <wp:effectExtent l="0" t="0" r="0" b="0"/>
            <wp:docPr id="14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6" descr=""/>
                    <pic:cNvPicPr>
                      <a:picLocks noChangeAspect="1" noChangeArrowheads="1"/>
                    </pic:cNvPicPr>
                  </pic:nvPicPr>
                  <pic:blipFill>
                    <a:blip r:embed="rId117"/>
                    <a:stretch>
                      <a:fillRect/>
                    </a:stretch>
                  </pic:blipFill>
                  <pic:spPr bwMode="auto">
                    <a:xfrm>
                      <a:off x="0" y="0"/>
                      <a:ext cx="1552575" cy="2705100"/>
                    </a:xfrm>
                    <a:prstGeom prst="rect">
                      <a:avLst/>
                    </a:prstGeom>
                  </pic:spPr>
                </pic:pic>
              </a:graphicData>
            </a:graphic>
          </wp:inline>
        </w:drawing>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VP Level and Above</w:t>
      </w:r>
    </w:p>
    <w:p>
      <w:pPr>
        <w:pStyle w:val="TextBody"/>
        <w:bidi w:val="0"/>
        <w:spacing w:before="0" w:after="0"/>
        <w:jc w:val="left"/>
        <w:rPr/>
      </w:pPr>
      <w:r>
        <w:rPr/>
        <w:drawing>
          <wp:inline distT="0" distB="0" distL="0" distR="0">
            <wp:extent cx="1457325" cy="2095500"/>
            <wp:effectExtent l="0" t="0" r="0" b="0"/>
            <wp:docPr id="14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7" descr=""/>
                    <pic:cNvPicPr>
                      <a:picLocks noChangeAspect="1" noChangeArrowheads="1"/>
                    </pic:cNvPicPr>
                  </pic:nvPicPr>
                  <pic:blipFill>
                    <a:blip r:embed="rId118"/>
                    <a:stretch>
                      <a:fillRect/>
                    </a:stretch>
                  </pic:blipFill>
                  <pic:spPr bwMode="auto">
                    <a:xfrm>
                      <a:off x="0" y="0"/>
                      <a:ext cx="1457325" cy="2095500"/>
                    </a:xfrm>
                    <a:prstGeom prst="rect">
                      <a:avLst/>
                    </a:prstGeom>
                  </pic:spPr>
                </pic:pic>
              </a:graphicData>
            </a:graphic>
          </wp:inline>
        </w:drawing>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All Employees</w:t>
      </w:r>
    </w:p>
    <w:p>
      <w:pPr>
        <w:pStyle w:val="TextBody"/>
        <w:bidi w:val="0"/>
        <w:spacing w:before="0" w:after="0"/>
        <w:jc w:val="left"/>
        <w:rPr/>
      </w:pPr>
      <w:r>
        <w:rPr/>
        <w:drawing>
          <wp:inline distT="0" distB="0" distL="0" distR="0">
            <wp:extent cx="1457325" cy="2095500"/>
            <wp:effectExtent l="0" t="0" r="0" b="0"/>
            <wp:docPr id="14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8" descr=""/>
                    <pic:cNvPicPr>
                      <a:picLocks noChangeAspect="1" noChangeArrowheads="1"/>
                    </pic:cNvPicPr>
                  </pic:nvPicPr>
                  <pic:blipFill>
                    <a:blip r:embed="rId119"/>
                    <a:stretch>
                      <a:fillRect/>
                    </a:stretch>
                  </pic:blipFill>
                  <pic:spPr bwMode="auto">
                    <a:xfrm>
                      <a:off x="0" y="0"/>
                      <a:ext cx="1457325" cy="2095500"/>
                    </a:xfrm>
                    <a:prstGeom prst="rect">
                      <a:avLst/>
                    </a:prstGeom>
                  </pic:spPr>
                </pic:pic>
              </a:graphicData>
            </a:graphic>
          </wp:inline>
        </w:drawing>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VP Level and Above</w:t>
      </w:r>
    </w:p>
    <w:p>
      <w:pPr>
        <w:pStyle w:val="TextBody"/>
        <w:bidi w:val="0"/>
        <w:spacing w:before="0" w:after="0"/>
        <w:jc w:val="left"/>
        <w:rPr/>
      </w:pPr>
      <w:r>
        <w:rPr/>
        <w:drawing>
          <wp:inline distT="0" distB="0" distL="0" distR="0">
            <wp:extent cx="1457325" cy="2095500"/>
            <wp:effectExtent l="0" t="0" r="0" b="0"/>
            <wp:docPr id="14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19" descr=""/>
                    <pic:cNvPicPr>
                      <a:picLocks noChangeAspect="1" noChangeArrowheads="1"/>
                    </pic:cNvPicPr>
                  </pic:nvPicPr>
                  <pic:blipFill>
                    <a:blip r:embed="rId120"/>
                    <a:stretch>
                      <a:fillRect/>
                    </a:stretch>
                  </pic:blipFill>
                  <pic:spPr bwMode="auto">
                    <a:xfrm>
                      <a:off x="0" y="0"/>
                      <a:ext cx="1457325" cy="2095500"/>
                    </a:xfrm>
                    <a:prstGeom prst="rect">
                      <a:avLst/>
                    </a:prstGeom>
                  </pic:spPr>
                </pic:pic>
              </a:graphicData>
            </a:graphic>
          </wp:inline>
        </w:drawing>
      </w:r>
    </w:p>
    <w:p>
      <w:pPr>
        <w:pStyle w:val="TextBody"/>
        <w:bidi w:val="0"/>
        <w:spacing w:lineRule="auto" w:line="288" w:before="0" w:after="300"/>
        <w:jc w:val="left"/>
        <w:rPr>
          <w:rFonts w:ascii="Graphik Light;sans-serif" w:hAnsi="Graphik Light;sans-serif"/>
          <w:b w:val="false"/>
          <w:color w:val="1D1D1D"/>
          <w:sz w:val="16"/>
        </w:rPr>
      </w:pPr>
      <w:r>
        <w:rPr>
          <w:rFonts w:ascii="Graphik Light;sans-serif" w:hAnsi="Graphik Light;sans-serif"/>
          <w:b w:val="false"/>
          <w:color w:val="1D1D1D"/>
          <w:sz w:val="16"/>
        </w:rPr>
        <w:t xml:space="preserve">*As of December 31, 2024; Race - U.S.-based only; Gender - Global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pride ourselves on our strong culture, which encourages innovation, collaboration, and mutual respect. We were named a Bay Area “Top Workplace” by the Bay Area News Group in 2024, marking the 11th consecutive year we received this distinction. This award is based solely on employee feedback gathered through an anonymous, third-party survey. Our core values across the company are: patient-centric; committed to innovation; empowered and results-focused; collaborative and open; and respectful and compassionate.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are committed to supporting our employees’ long-term success by investing in training programs and educational opportunities to help foster personal and professional growth. We have implemented general and job-specific training programs so that employees can gain the necessary qualifications for their position and can continue to develop and grow within the company. We provide specific management training to support new and emerging managers. </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Board of Directors Evaluations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conduct an annual self-evaluation process for our Board of Directors and its committees. As part of this process, each member of our Board of Directors individually completes a detailed survey prepared by outside counsel or participates in an in-person independent interview to discuss each director's assessment of the performance of the Board of Directors and its committees, their own performance, and the performance of fellow members of the Board of Directors and interaction between the Board of Directors and management. The feedback received is then shared with the Nominating and Corporate Governance Committee, and then presented to and discussed with the full Board of Directors.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Board of Directors evaluation process is used:</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shd w:fill="FFFFFF" w:val="clear"/>
        </w:rPr>
        <w:t>by our Board of Directors and Nominating and Corporate Governance Committee to assess the current composition of our Board of Directors and its committees and make recommendations for the qualifications, expertise and characteristics we should seek in identifying potential new director nominees;</w:t>
      </w:r>
    </w:p>
    <w:p>
      <w:pPr>
        <w:pStyle w:val="TextBody"/>
        <w:bidi w:val="0"/>
        <w:spacing w:lineRule="auto" w:line="336" w:before="0" w:after="90"/>
        <w:ind w:left="0" w:right="0" w:hanging="270"/>
        <w:jc w:val="left"/>
        <w:rPr/>
      </w:pPr>
      <w:r>
        <w:rPr>
          <w:color w:val="005CBA"/>
          <w:shd w:fill="FFFFFF" w:val="clear"/>
        </w:rPr>
        <w:t>•</w:t>
      </w:r>
      <w:r>
        <w:rPr>
          <w:rFonts w:ascii="Graphik Light;sans-serif" w:hAnsi="Graphik Light;sans-serif"/>
          <w:b w:val="false"/>
          <w:color w:val="1D1D1D"/>
          <w:sz w:val="18"/>
          <w:shd w:fill="FFFFFF" w:val="clear"/>
        </w:rPr>
        <w:t>by our Board of Directors and Nominating and Corporate Governance Committee to identify the strengths and areas of opportunity of each member of our Board of Directors and to provide insight into how the contributions of each member of our Board of Directors can be most valuable;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60400"/>
                <wp:effectExtent l="0" t="0" r="0" b="0"/>
                <wp:wrapNone/>
                <wp:docPr id="146" name="Frame2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Corporate Governance</w:t>
      </w:r>
    </w:p>
    <w:p>
      <w:pPr>
        <w:pStyle w:val="TextBody"/>
        <w:bidi w:val="0"/>
        <w:spacing w:lineRule="auto" w:line="336" w:before="0" w:after="90"/>
        <w:ind w:left="0" w:right="0" w:hanging="270"/>
        <w:jc w:val="left"/>
        <w:rPr/>
      </w:pPr>
      <w:r>
        <w:rPr>
          <w:color w:val="005CBA"/>
          <w:shd w:fill="FFFFFF" w:val="clear"/>
        </w:rPr>
        <w:t>•</w:t>
      </w:r>
      <w:r>
        <w:rPr>
          <w:rFonts w:ascii="Graphik Light;sans-serif" w:hAnsi="Graphik Light;sans-serif"/>
          <w:b w:val="false"/>
          <w:color w:val="1D1D1D"/>
          <w:sz w:val="18"/>
          <w:shd w:fill="FFFFFF" w:val="clear"/>
        </w:rPr>
        <w:t>to identify areas to strengthen the quality of discussion and materials presented to the Board of Directors and its committees so that information they receive enables them to function most effectively and to address the issues they consider most critical; and</w:t>
      </w:r>
    </w:p>
    <w:p>
      <w:pPr>
        <w:pStyle w:val="TextBody"/>
        <w:bidi w:val="0"/>
        <w:spacing w:lineRule="auto" w:line="336" w:before="0" w:after="180"/>
        <w:ind w:left="0" w:right="0" w:hanging="270"/>
        <w:jc w:val="left"/>
        <w:rPr/>
      </w:pPr>
      <w:r>
        <w:rPr>
          <w:color w:val="005CBA"/>
          <w:shd w:fill="FFFFFF" w:val="clear"/>
        </w:rPr>
        <w:t>•</w:t>
      </w:r>
      <w:r>
        <w:rPr>
          <w:rFonts w:ascii="Graphik Light;sans-serif" w:hAnsi="Graphik Light;sans-serif"/>
          <w:b w:val="false"/>
          <w:color w:val="1D1D1D"/>
          <w:sz w:val="18"/>
          <w:shd w:fill="FFFFFF" w:val="clear"/>
        </w:rPr>
        <w:t>by our Nominating and Corporate Governance Committee as part of its annual review of each director’s performance when considering whether to nominate the director for re-election to the Board of Directors.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Communications with the Board of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you wish to communicate with the Board of Directors, you may send your communication in writing to: Secretary, Veracyte, Inc., 6000 Shoreline Court, Suite 300, South San Francisco, California 94080. You must include your name and address in the written communication and indicate whether you are our stockholder. The Secretary will review any communications received from a stockholder and all material communications from stockholders will be forwarded to the appropriate director or directors or committee of the Board of Directors based on the subject matter.</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Code of Business Conduct and Ethics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adopted a Code of Business Conduct and Ethics that applies to all of our officers and employees. The Code of Business Conduct and Ethics sets forth the basic principles that guide the business conduct of our employees. Stockholders may request a free copy of our Code of Business Conduct and Ethics by contacting Veracyte, Inc., Attention: General Counsel, 6000 Shoreline Court, Suite 300, South San Francisco, California 94080.</w:t>
      </w:r>
    </w:p>
    <w:p>
      <w:pPr>
        <w:pStyle w:val="TextBody"/>
        <w:bidi w:val="0"/>
        <w:spacing w:lineRule="auto" w:line="336" w:before="0" w:after="180"/>
        <w:jc w:val="left"/>
        <w:rPr/>
      </w:pPr>
      <w:r>
        <w:rPr>
          <w:rFonts w:ascii="Graphik Light;sans-serif" w:hAnsi="Graphik Light;sans-serif"/>
          <w:b w:val="false"/>
          <w:color w:val="1D1D1D"/>
          <w:sz w:val="18"/>
        </w:rPr>
        <w:t xml:space="preserve">We maintain a Compliance and Business Ethics hotline and online portal, sometimes referred to as a “whistleblower hotline,” where employees and others may confidentially and anonymously (subject to local legal regulations) report any concerns about potential misconduct. We also maintain a Compliance and Business Ethics page on our </w:t>
      </w:r>
      <w:r>
        <w:rPr>
          <w:rFonts w:ascii="Graphik;sans-serif" w:hAnsi="Graphik;sans-serif"/>
          <w:b w:val="false"/>
          <w:color w:val="4C0980"/>
          <w:sz w:val="18"/>
        </w:rPr>
        <w:t>veracyte.com</w:t>
      </w:r>
      <w:r>
        <w:rPr>
          <w:color w:val="1D1D1D"/>
        </w:rPr>
        <w:t xml:space="preserve"> </w:t>
      </w:r>
      <w:r>
        <w:rPr>
          <w:rFonts w:ascii="Graphik Light;sans-serif" w:hAnsi="Graphik Light;sans-serif"/>
          <w:b w:val="false"/>
          <w:color w:val="1D1D1D"/>
          <w:sz w:val="18"/>
        </w:rPr>
        <w:t>website to allow for ease of reporting concerns.</w:t>
      </w:r>
    </w:p>
    <w:p>
      <w:pPr>
        <w:pStyle w:val="TextBody"/>
        <w:bidi w:val="0"/>
        <w:spacing w:lineRule="auto" w:line="336" w:before="0" w:after="180"/>
        <w:jc w:val="left"/>
        <w:rPr/>
      </w:pPr>
      <w:r>
        <w:rPr>
          <w:rFonts w:ascii="Graphik Light;sans-serif" w:hAnsi="Graphik Light;sans-serif"/>
          <w:b w:val="false"/>
          <w:color w:val="1D1D1D"/>
          <w:sz w:val="18"/>
        </w:rPr>
        <w:t xml:space="preserve">To date, there have been no waivers under our Code of Business Conduct and Ethics. We intend to disclose future amendments to certain provisions of our Code of Business Conduct and Ethics or waivers of such Code granted to executive officers and directors on our website at </w:t>
      </w:r>
      <w:r>
        <w:rPr>
          <w:rFonts w:ascii="Graphik;sans-serif" w:hAnsi="Graphik;sans-serif"/>
          <w:b w:val="false"/>
          <w:color w:val="4C0980"/>
          <w:sz w:val="18"/>
        </w:rPr>
        <w:t>http://www.veracyte.com</w:t>
      </w:r>
      <w:r>
        <w:rPr>
          <w:color w:val="1D1D1D"/>
        </w:rPr>
        <w:t xml:space="preserve"> </w:t>
      </w:r>
      <w:r>
        <w:rPr>
          <w:rFonts w:ascii="Graphik Light;sans-serif" w:hAnsi="Graphik Light;sans-serif"/>
          <w:b w:val="false"/>
          <w:color w:val="1D1D1D"/>
          <w:sz w:val="18"/>
        </w:rPr>
        <w:t>within four business days following the date of such amendment or waiver.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Please note that the information contained on the website is not incorporated by reference in, or considered part of, this proxy statement.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require all employees to complete Foreign Corrupt Practices Act training through an online platform.</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Corporate Governance Guidelines</w:t>
      </w:r>
    </w:p>
    <w:p>
      <w:pPr>
        <w:pStyle w:val="TextBody"/>
        <w:bidi w:val="0"/>
        <w:spacing w:lineRule="auto" w:line="336" w:before="0" w:after="0"/>
        <w:jc w:val="left"/>
        <w:rPr/>
      </w:pPr>
      <w:r>
        <w:rPr>
          <w:rFonts w:ascii="Graphik Light;sans-serif" w:hAnsi="Graphik Light;sans-serif"/>
          <w:b w:val="false"/>
          <w:color w:val="1D1D1D"/>
          <w:sz w:val="18"/>
        </w:rPr>
        <w:t xml:space="preserve">Our Board of Directors has adopted Corporate Governance Guidelines that set forth expectations for directors, director independence standards, Board of Directors committee structure and functions, and other policies for the governance of the company. Our Corporate Governance Guidelines are available without charge on the “Investors” section of our website, which is located at </w:t>
      </w:r>
      <w:r>
        <w:rPr>
          <w:rFonts w:ascii="Graphik;sans-serif" w:hAnsi="Graphik;sans-serif"/>
          <w:b w:val="false"/>
          <w:color w:val="4C0980"/>
          <w:sz w:val="18"/>
        </w:rPr>
        <w:t>https://investor.veracyte.com</w:t>
      </w:r>
      <w:r>
        <w:rPr>
          <w:rFonts w:ascii="Graphik Light;sans-serif" w:hAnsi="Graphik Light;sans-serif"/>
          <w:b w:val="false"/>
          <w:color w:val="1D1D1D"/>
          <w:sz w:val="18"/>
        </w:rPr>
        <w:t>, by clicking “Governance Overview” in the “Governance” section of our website. Please note that the information contained on the website is not incorporated by reference in, or considered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60400"/>
                <wp:effectExtent l="0" t="0" r="0" b="0"/>
                <wp:wrapNone/>
                <wp:docPr id="147" name="Frame2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4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0" descr=""/>
                          <pic:cNvPicPr>
                            <a:picLocks noChangeAspect="1" noChangeArrowheads="1"/>
                          </pic:cNvPicPr>
                        </pic:nvPicPr>
                        <pic:blipFill>
                          <a:blip r:embed="rId121"/>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2024 Director Compensation</w:t>
      </w:r>
    </w:p>
    <w:p>
      <w:pPr>
        <w:pStyle w:val="TextBody"/>
        <w:bidi w:val="0"/>
        <w:spacing w:lineRule="auto" w:line="336" w:before="0" w:after="180"/>
        <w:jc w:val="left"/>
        <w:rPr/>
      </w:pPr>
      <w:r>
        <w:rPr>
          <w:rFonts w:ascii="Graphik Light;sans-serif" w:hAnsi="Graphik Light;sans-serif"/>
          <w:b w:val="false"/>
          <w:color w:val="1D1D1D"/>
          <w:sz w:val="18"/>
        </w:rPr>
        <w:t xml:space="preserve">For 2024, our Compensation Committee engaged Aon’s Human Capital Solutions practice, a division of Aon plc (“Aon”), an independent compensation consultant, to provide an analysis of non-employee director compensation, including an analysis of compensation paid to non-employee directors by companies in our peer group (as described in </w:t>
      </w:r>
      <w:r>
        <w:rPr>
          <w:color w:val="1D1D1D"/>
        </w:rPr>
        <w:t>“</w:t>
      </w:r>
      <w:r>
        <w:rPr>
          <w:rFonts w:ascii="Graphik Light;sans-serif" w:hAnsi="Graphik Light;sans-serif"/>
          <w:b w:val="false"/>
          <w:i/>
          <w:color w:val="1D1D1D"/>
          <w:sz w:val="18"/>
        </w:rPr>
        <w:t>Compensation Discussion and Analysis — 2024 Peer Group”</w:t>
      </w:r>
      <w:r>
        <w:rPr>
          <w:rFonts w:ascii="Graphik Light;sans-serif" w:hAnsi="Graphik Light;sans-serif"/>
          <w:b w:val="false"/>
          <w:color w:val="1D1D1D"/>
          <w:sz w:val="18"/>
        </w:rPr>
        <w:t xml:space="preserve">), and an assessment of both the cash and equity compensation and an evaluation of the type of equity instruments being awarded. The following table sets forth cash amounts and the value of equity compensation awarded to, earned by or paid to our non-employee directors for their service in 2024. Mr. Stapley is not included in the table below as he did not receive compensation for service as a director in 2024. The compensation received by Mr. Stapley as an employee is shown in the </w:t>
      </w:r>
      <w:r>
        <w:rPr>
          <w:color w:val="1D1D1D"/>
        </w:rPr>
        <w:t>“</w:t>
      </w:r>
      <w:r>
        <w:rPr>
          <w:rFonts w:ascii="Graphik Light;sans-serif" w:hAnsi="Graphik Light;sans-serif"/>
          <w:b w:val="false"/>
          <w:i/>
          <w:color w:val="1D1D1D"/>
          <w:sz w:val="18"/>
        </w:rPr>
        <w:t>Executive Compensation—Summary Compensation Table”</w:t>
      </w:r>
      <w:r>
        <w:rPr>
          <w:color w:val="1D1D1D"/>
        </w:rPr>
        <w:t xml:space="preserve"> </w:t>
      </w:r>
      <w:r>
        <w:rPr>
          <w:rFonts w:ascii="Graphik Light;sans-serif" w:hAnsi="Graphik Light;sans-serif"/>
          <w:b w:val="false"/>
          <w:color w:val="1D1D1D"/>
          <w:sz w:val="18"/>
        </w:rPr>
        <w:t>below.</w:t>
      </w:r>
    </w:p>
    <w:tbl>
      <w:tblPr>
        <w:tblW w:w="6166" w:type="dxa"/>
        <w:jc w:val="left"/>
        <w:tblInd w:w="0" w:type="dxa"/>
        <w:tblLayout w:type="fixed"/>
        <w:tblCellMar>
          <w:top w:w="28" w:type="dxa"/>
          <w:left w:w="28" w:type="dxa"/>
          <w:bottom w:w="28" w:type="dxa"/>
          <w:right w:w="28" w:type="dxa"/>
        </w:tblCellMar>
      </w:tblPr>
      <w:tblGrid>
        <w:gridCol w:w="124"/>
        <w:gridCol w:w="109"/>
        <w:gridCol w:w="109"/>
        <w:gridCol w:w="573"/>
        <w:gridCol w:w="573"/>
        <w:gridCol w:w="578"/>
        <w:gridCol w:w="524"/>
        <w:gridCol w:w="524"/>
        <w:gridCol w:w="526"/>
        <w:gridCol w:w="413"/>
        <w:gridCol w:w="413"/>
        <w:gridCol w:w="286"/>
        <w:gridCol w:w="413"/>
        <w:gridCol w:w="413"/>
        <w:gridCol w:w="2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1574"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Fees Earned</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or Paid in Cash </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t>
            </w:r>
          </w:p>
        </w:tc>
        <w:tc>
          <w:tcPr>
            <w:tcW w:w="1112"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Stock</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Awards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(1)(2)</w:t>
            </w:r>
          </w:p>
        </w:tc>
        <w:tc>
          <w:tcPr>
            <w:tcW w:w="104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Eliav Barr</w:t>
            </w:r>
          </w:p>
        </w:tc>
        <w:tc>
          <w:tcPr>
            <w:tcW w:w="104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55,000 </w:t>
            </w:r>
          </w:p>
        </w:tc>
        <w:tc>
          <w:tcPr>
            <w:tcW w:w="52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249,997 </w:t>
            </w:r>
          </w:p>
        </w:tc>
        <w:tc>
          <w:tcPr>
            <w:tcW w:w="2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304,997 </w:t>
            </w:r>
          </w:p>
        </w:tc>
        <w:tc>
          <w:tcPr>
            <w:tcW w:w="21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Muna Bhanji</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60,000 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249,997 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309,997 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John L. Bishop </w:t>
            </w:r>
            <w:r>
              <w:rPr>
                <w:rFonts w:ascii="Graphik Semibold;sans-serif" w:hAnsi="Graphik Semibold;sans-serif"/>
                <w:b/>
                <w:color w:val="1D1D1D"/>
                <w:sz w:val="10"/>
              </w:rPr>
              <w:t>(3)</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25,875 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25,875 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Karin Eastham</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75,000 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249,997 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324,997 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Robert S. Epstein</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110,000 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249,997 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359,997 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Jens Holstein</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77,500 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249,997 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327,497 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Evan Jones</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75,000 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249,997 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324,997 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Tom Miller</w:t>
            </w:r>
          </w:p>
        </w:tc>
        <w:tc>
          <w:tcPr>
            <w:tcW w:w="104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18,333 </w:t>
            </w:r>
          </w:p>
        </w:tc>
        <w:tc>
          <w:tcPr>
            <w:tcW w:w="5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499,997 </w:t>
            </w:r>
          </w:p>
        </w:tc>
        <w:tc>
          <w:tcPr>
            <w:tcW w:w="2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518,330 </w:t>
            </w:r>
          </w:p>
        </w:tc>
        <w:tc>
          <w:tcPr>
            <w:tcW w:w="2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Brent Shafer</w:t>
            </w:r>
          </w:p>
        </w:tc>
        <w:tc>
          <w:tcPr>
            <w:tcW w:w="104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19,167 </w:t>
            </w:r>
          </w:p>
        </w:tc>
        <w:tc>
          <w:tcPr>
            <w:tcW w:w="52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499,997 </w:t>
            </w:r>
          </w:p>
        </w:tc>
        <w:tc>
          <w:tcPr>
            <w:tcW w:w="2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519,164 </w:t>
            </w:r>
          </w:p>
        </w:tc>
        <w:tc>
          <w:tcPr>
            <w:tcW w:w="21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(1)Amounts represent the aggregate fair value of the awards computed as of the grant date of each stock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Note 9 to Financial Statements in our Annual Report on Form 10-K for the year ended December 31, 2024. There can be no assurance that stock awards will settle (in which case no value will be realized by the individual) or that the value on settlement will approximate the fair value as computed in accordance with ASC 718.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60400"/>
                <wp:effectExtent l="0" t="0" r="0" b="0"/>
                <wp:wrapNone/>
                <wp:docPr id="149" name="Frame2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2024 Director Compensation</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(2)The following sets forth the number of shares of common stock subject to outstanding options or stock awards held by non-employee directors at December 31, 2024:</w:t>
      </w:r>
    </w:p>
    <w:tbl>
      <w:tblPr>
        <w:tblW w:w="4208" w:type="dxa"/>
        <w:jc w:val="left"/>
        <w:tblInd w:w="0" w:type="dxa"/>
        <w:tblLayout w:type="fixed"/>
        <w:tblCellMar>
          <w:top w:w="28" w:type="dxa"/>
          <w:left w:w="28" w:type="dxa"/>
          <w:bottom w:w="28" w:type="dxa"/>
          <w:right w:w="28" w:type="dxa"/>
        </w:tblCellMar>
      </w:tblPr>
      <w:tblGrid>
        <w:gridCol w:w="124"/>
        <w:gridCol w:w="109"/>
        <w:gridCol w:w="109"/>
        <w:gridCol w:w="574"/>
        <w:gridCol w:w="574"/>
        <w:gridCol w:w="577"/>
        <w:gridCol w:w="589"/>
        <w:gridCol w:w="589"/>
        <w:gridCol w:w="5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176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Shares</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Eliav Barr</w:t>
            </w:r>
          </w:p>
        </w:tc>
        <w:tc>
          <w:tcPr>
            <w:tcW w:w="117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18,380 </w:t>
            </w:r>
          </w:p>
        </w:tc>
        <w:tc>
          <w:tcPr>
            <w:tcW w:w="59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Muna Bhanji</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11,473 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John L. Bishop</w:t>
            </w:r>
            <w:r>
              <w:rPr>
                <w:rFonts w:ascii="Graphik Semibold;sans-serif" w:hAnsi="Graphik Semibold;sans-serif"/>
                <w:b/>
                <w:color w:val="1D1D1D"/>
                <w:sz w:val="10"/>
              </w:rPr>
              <w:t>(3)</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Karin Eastham</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61,473 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Robert S. Epstein</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71,473 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Jens Holstein</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46,473 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Evan Jones</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61,473 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Tom Miller</w:t>
            </w:r>
          </w:p>
        </w:tc>
        <w:tc>
          <w:tcPr>
            <w:tcW w:w="117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16,507 </w:t>
            </w:r>
          </w:p>
        </w:tc>
        <w:tc>
          <w:tcPr>
            <w:tcW w:w="59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Brent Shafer</w:t>
            </w:r>
          </w:p>
        </w:tc>
        <w:tc>
          <w:tcPr>
            <w:tcW w:w="117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16,507 </w:t>
            </w:r>
          </w:p>
        </w:tc>
        <w:tc>
          <w:tcPr>
            <w:tcW w:w="59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2141"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300" w:before="9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(3)Mr. Bishop's term on our Board of Directors expired at the 2024 Annual Meeting of Stockholders on June 12, 2024.</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Directors who are employees do not receive any fees or equity awards for their service on the Board of Directors or any committee. In February 2024, our Compensation Committee and Board of Directors reviewed our then-current non-employee director compensation program and competitive market data on the same, determined to increase the cash retainer for service on our Board of Directors from $40,000 to $50,000. The Board of Directors also approved the increase of the additional cash retainer for the chair of the Board of Directors from $40,000 to $50,000. In February 2024, our Compensation Committee of the Board of Directors also determined to retain the equity awards without change from 2023 (as detailed below).</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Cash Retainers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$50,000 annual cash retainer for service on our Board of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$50,000 additional annual cash retainer for service as the chair of our Board of Directors;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$20,000 annual cash retainer for the chair of our Audit Committee and $10,000 for each of its other members;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$15,000 annual cash retainer for the chair of our Compensation Committee and $7,500 for each of its other members;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$10,000 annual cash retainer for the chair of our Nominating and Corporate Governance Committee and $5,000 for each of its other members;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$10,000 annual cash retainer for the chair of our Regulatory and Compliance Committee and $5,000 for each of its other members;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$25,000 additional annual cash retainer for the lead independent director (as needed).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60400"/>
                <wp:effectExtent l="0" t="0" r="0" b="0"/>
                <wp:wrapNone/>
                <wp:docPr id="150" name="Frame3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2024 Director Compensation</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Equity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compensation policy for non-employee directors for the 2024 fiscal year provided that any non-employee director who first joined our Board of Directors was automatically granted restricted stock units (“RSUs”) valued on the grant date at approximately $500,000 (the “Initial RSUs”). The Initial RSUs vest as to one-third of those shares on each of the first, second and third annual anniversaries of the date of grant. In addition, the policy in effect in 2024 provided that on the first business day after each Annual Meeting of Stockholders, each non-employee director who continues to serve on our Board of Directors and who has served as a director for at least six months would be automatically granted RSUs valued on the grant date at approximately $250,000 (the “Annual RSUs”). The Annual RSUs vest in full on the first anniversary of the date of grant or, if earlier, the date of the next Annual Meeting of Stockholders. The vesting of the RSUs described above will accelerate in full upon a change in control. Pursuant to the terms of the 2023 Plan, no non-employee director may receive equity awards that, when combined with cash compensation received for service as a non-employee director, exceeds $750,000 in value in any calendar year, or $1,500,000 in value in the calendar year in which such director first joins our Board of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February 2025, our Compensation Committee and Board of Directors reviewed our then-current non-employee director compensation program and competitive market data on the same, and determined to retain the cash retainer without change from 2024 (as detailed above). In February 2025, our Compensation Committee of the Board of Directors also determined to reduce the initial grant for new non-employee directors to $250,000 from $500,000, while retaining the annual equity awards at $250,000. Additionally, beginning in 2025, the initial grant is to be prorated based on whole months of service prior to the Annual Meeting of Stockholders, and the six-month service requirement for the annual grant was removed.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60400"/>
                <wp:effectExtent l="0" t="0" r="0" b="0"/>
                <wp:wrapNone/>
                <wp:docPr id="151" name="Frame3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25</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5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21" descr=""/>
                          <pic:cNvPicPr>
                            <a:picLocks noChangeAspect="1" noChangeArrowheads="1"/>
                          </pic:cNvPicPr>
                        </pic:nvPicPr>
                        <pic:blipFill>
                          <a:blip r:embed="rId122"/>
                          <a:stretch>
                            <a:fillRect/>
                          </a:stretch>
                        </pic:blipFill>
                        <pic:spPr bwMode="auto">
                          <a:xfrm>
                            <a:off x="0" y="0"/>
                            <a:ext cx="371475" cy="304800"/>
                          </a:xfrm>
                          <a:prstGeom prst="rect">
                            <a:avLst/>
                          </a:prstGeom>
                        </pic:spPr>
                      </pic:pic>
                    </a:graphicData>
                  </a:graphic>
                </wp:inline>
              </w:drawing>
            </w:r>
          </w:p>
        </w:tc>
      </w:tr>
    </w:tbl>
    <w:tbl>
      <w:tblPr>
        <w:tblW w:w="2232" w:type="dxa"/>
        <w:jc w:val="left"/>
        <w:tblInd w:w="0" w:type="dxa"/>
        <w:tblLayout w:type="fixed"/>
        <w:tblCellMar>
          <w:top w:w="28" w:type="dxa"/>
          <w:left w:w="28" w:type="dxa"/>
          <w:bottom w:w="28" w:type="dxa"/>
          <w:right w:w="28" w:type="dxa"/>
        </w:tblCellMar>
      </w:tblPr>
      <w:tblGrid>
        <w:gridCol w:w="388"/>
        <w:gridCol w:w="340"/>
        <w:gridCol w:w="340"/>
        <w:gridCol w:w="340"/>
        <w:gridCol w:w="340"/>
        <w:gridCol w:w="484"/>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23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Graphik Medium;sans-serif" w:hAnsi="Graphik Medium;sans-serif"/>
                <w:b/>
                <w:color w:val="1D1D1D"/>
                <w:sz w:val="22"/>
              </w:rPr>
            </w:pPr>
            <w:r>
              <w:rPr>
                <w:rFonts w:ascii="Graphik Medium;sans-serif" w:hAnsi="Graphik Medium;sans-serif"/>
                <w:b/>
                <w:color w:val="1D1D1D"/>
                <w:sz w:val="22"/>
              </w:rPr>
              <w:t>PROPOSAL TWO</w:t>
            </w:r>
          </w:p>
        </w:tc>
      </w:tr>
      <w:tr>
        <w:trPr/>
        <w:tc>
          <w:tcPr>
            <w:tcW w:w="1068"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Ratification of Appointment of Independent Registered Public Accounting Firm</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Audit Committee has appointed Ernst &amp; Young LLP as our independent registered public accounting firm for the year ending December 31, 2025. Ernst &amp; Young LLP has audited our financial statements since 2014. Representatives of Ernst &amp; Young LLP are expected to be present at the Annual Meeting. They will have an opportunity to make a statement, if they desire to do so, and will be available to respond to appropriate questions.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Independent Registered Public Accounting Firm Fees and Services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presents fees billed for professional audit services and other services rendered to us by Ernst &amp; Young LLP for the years ending December 31, 2024 and 2023, respectively.</w:t>
      </w:r>
    </w:p>
    <w:tbl>
      <w:tblPr>
        <w:tblW w:w="5581" w:type="dxa"/>
        <w:jc w:val="left"/>
        <w:tblInd w:w="0" w:type="dxa"/>
        <w:tblLayout w:type="fixed"/>
        <w:tblCellMar>
          <w:top w:w="28" w:type="dxa"/>
          <w:left w:w="28" w:type="dxa"/>
          <w:bottom w:w="28" w:type="dxa"/>
          <w:right w:w="28" w:type="dxa"/>
        </w:tblCellMar>
      </w:tblPr>
      <w:tblGrid>
        <w:gridCol w:w="124"/>
        <w:gridCol w:w="109"/>
        <w:gridCol w:w="109"/>
        <w:gridCol w:w="593"/>
        <w:gridCol w:w="593"/>
        <w:gridCol w:w="599"/>
        <w:gridCol w:w="563"/>
        <w:gridCol w:w="563"/>
        <w:gridCol w:w="414"/>
        <w:gridCol w:w="563"/>
        <w:gridCol w:w="563"/>
        <w:gridCol w:w="4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6"/>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 Ended December 31,</w:t>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Fees</w:t>
            </w:r>
          </w:p>
        </w:tc>
        <w:tc>
          <w:tcPr>
            <w:tcW w:w="154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2024</w:t>
              <w:br/>
              <w:t>($)</w:t>
            </w:r>
          </w:p>
        </w:tc>
        <w:tc>
          <w:tcPr>
            <w:tcW w:w="154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2023</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Audit Fees</w:t>
            </w:r>
            <w:r>
              <w:rPr>
                <w:rFonts w:ascii="Graphik Light;sans-serif" w:hAnsi="Graphik Light;sans-serif"/>
                <w:b w:val="false"/>
                <w:color w:val="1D1D1D"/>
                <w:sz w:val="10"/>
              </w:rPr>
              <w:t>(1)</w:t>
            </w:r>
          </w:p>
        </w:tc>
        <w:tc>
          <w:tcPr>
            <w:tcW w:w="11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2,615,955 </w:t>
            </w:r>
          </w:p>
        </w:tc>
        <w:tc>
          <w:tcPr>
            <w:tcW w:w="414"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2,519,149 </w:t>
            </w:r>
          </w:p>
        </w:tc>
        <w:tc>
          <w:tcPr>
            <w:tcW w:w="41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Audit-related Fees</w:t>
            </w:r>
            <w:r>
              <w:rPr>
                <w:rFonts w:ascii="Graphik Light;sans-serif" w:hAnsi="Graphik Light;sans-serif"/>
                <w:b w:val="false"/>
                <w:color w:val="1D1D1D"/>
                <w:sz w:val="10"/>
              </w:rPr>
              <w:t>(2)</w:t>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Tax Fees</w:t>
            </w:r>
            <w:r>
              <w:rPr>
                <w:rFonts w:ascii="Graphik Light;sans-serif" w:hAnsi="Graphik Light;sans-serif"/>
                <w:b w:val="false"/>
                <w:color w:val="1D1D1D"/>
                <w:sz w:val="10"/>
              </w:rPr>
              <w:t>(3)</w:t>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All Other Fees</w:t>
            </w:r>
            <w:r>
              <w:rPr>
                <w:rFonts w:ascii="Graphik Light;sans-serif" w:hAnsi="Graphik Light;sans-serif"/>
                <w:b w:val="false"/>
                <w:color w:val="1D1D1D"/>
                <w:sz w:val="10"/>
              </w:rPr>
              <w:t>(4)</w:t>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1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Total</w:t>
            </w:r>
          </w:p>
        </w:tc>
        <w:tc>
          <w:tcPr>
            <w:tcW w:w="11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2,615,955</w:t>
            </w:r>
            <w:r>
              <w:rPr>
                <w:color w:val="1D1D1D"/>
              </w:rPr>
              <w:t> </w:t>
            </w:r>
          </w:p>
        </w:tc>
        <w:tc>
          <w:tcPr>
            <w:tcW w:w="414"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2,519,149</w:t>
            </w:r>
            <w:r>
              <w:rPr>
                <w:color w:val="1D1D1D"/>
              </w:rPr>
              <w:t> </w:t>
            </w:r>
          </w:p>
        </w:tc>
        <w:tc>
          <w:tcPr>
            <w:tcW w:w="41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(1)Audit fees include fees and out-of-pocket expenses, whether or not yet invoiced, for professional services provided in connection with the audit of our annual financial statements and review of our quarterly financial statements.</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(2)Audit-related fees include fees for consultations on accounting and reporting matters for acquisitions.</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(3)Tax fees consist of tax consulting services.</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(4)Other fees consist of consultations not related to audit or tax fees and access to an online accounting literature database.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Pre-approval Policies and Procedures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Audit Committee’s policy is to pre-approve all audit and permissible non-audit services provided by our independent registered public accounting firm. All of the services provided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60400"/>
                <wp:effectExtent l="0" t="0" r="0" b="0"/>
                <wp:wrapNone/>
                <wp:docPr id="153" name="Frame3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Two</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Stockholder ratification of the appointment of Ernst &amp; Young LLP as our independent registered public accounting firm for the year ending December 31, 2025 is not required by our amended and restated bylaws or otherwise. However, the Board of Directors is submitting the selection of Ernst &amp; Young LLP to the stockholders for ratification as a matter of corporate practice. If the stockholders fail to ratify the appointment, the Audit Committee will reconsider whether or not to retain that firm. Even if the appointment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Required Vote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Ratification will require the vote of a majority of the shares present at the Annual Meeting or voting by proxy and entitled to vote at the Annual Meeting. Abstentions will have the same effect as votes “AGAINST” this proposal. Broker non-votes will have no effect on this proposal as they are not considered entitled to vote for the foregoing purpose. This proposal is considered to be a routine proposal on which a broker or other nominee has discretionary authority to vote. Accordingly, we do not expect any broker non-votes to result from this proposal.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2"/>
        <w:gridCol w:w="2942"/>
        <w:gridCol w:w="2949"/>
        <w:gridCol w:w="109"/>
        <w:gridCol w:w="109"/>
        <w:gridCol w:w="109"/>
        <w:gridCol w:w="205"/>
        <w:gridCol w:w="205"/>
        <w:gridCol w:w="2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restart"/>
            <w:tcBorders/>
            <w:shd w:fill="005CBA"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5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2" descr=""/>
                          <pic:cNvPicPr>
                            <a:picLocks noChangeAspect="1" noChangeArrowheads="1"/>
                          </pic:cNvPicPr>
                        </pic:nvPicPr>
                        <pic:blipFill>
                          <a:blip r:embed="rId123"/>
                          <a:stretch>
                            <a:fillRect/>
                          </a:stretch>
                        </pic:blipFill>
                        <pic:spPr bwMode="auto">
                          <a:xfrm>
                            <a:off x="0" y="0"/>
                            <a:ext cx="361950" cy="361950"/>
                          </a:xfrm>
                          <a:prstGeom prst="rect">
                            <a:avLst/>
                          </a:prstGeom>
                        </pic:spPr>
                      </pic:pic>
                    </a:graphicData>
                  </a:graphic>
                </wp:inline>
              </w:drawing>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lineRule="auto" w:line="336" w:before="0" w:after="0"/>
              <w:jc w:val="left"/>
              <w:rPr/>
            </w:pPr>
            <w:r>
              <w:rPr>
                <w:rFonts w:ascii="Graphik Medium;sans-serif" w:hAnsi="Graphik Medium;sans-serif"/>
                <w:b w:val="false"/>
                <w:color w:val="005CBA"/>
                <w:sz w:val="20"/>
              </w:rPr>
              <w:t xml:space="preserve">The Board of Directors recommends a vote </w:t>
            </w:r>
            <w:r>
              <w:rPr>
                <w:color w:val="8E4FBE"/>
              </w:rPr>
              <w:t>“</w:t>
            </w:r>
            <w:r>
              <w:rPr>
                <w:rFonts w:ascii="Graphik;sans-serif" w:hAnsi="Graphik;sans-serif"/>
                <w:b/>
                <w:color w:val="8E4FBE"/>
                <w:sz w:val="20"/>
              </w:rPr>
              <w:t>FOR”</w:t>
            </w:r>
            <w:r>
              <w:rPr>
                <w:color w:val="005CBA"/>
              </w:rPr>
              <w:t xml:space="preserve"> </w:t>
            </w:r>
            <w:r>
              <w:rPr>
                <w:rFonts w:ascii="Graphik Medium;sans-serif" w:hAnsi="Graphik Medium;sans-serif"/>
                <w:b w:val="false"/>
                <w:color w:val="005CBA"/>
                <w:sz w:val="20"/>
              </w:rPr>
              <w:t>ratification of the appointment of Ernst &amp; Young LLP as our Independent Registered Public Accounting Firm.</w:t>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60400"/>
                <wp:effectExtent l="0" t="0" r="0" b="0"/>
                <wp:wrapNone/>
                <wp:docPr id="155" name="Frame3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27</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5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3" descr=""/>
                          <pic:cNvPicPr>
                            <a:picLocks noChangeAspect="1" noChangeArrowheads="1"/>
                          </pic:cNvPicPr>
                        </pic:nvPicPr>
                        <pic:blipFill>
                          <a:blip r:embed="rId124"/>
                          <a:stretch>
                            <a:fillRect/>
                          </a:stretch>
                        </pic:blipFill>
                        <pic:spPr bwMode="auto">
                          <a:xfrm>
                            <a:off x="0" y="0"/>
                            <a:ext cx="371475" cy="304800"/>
                          </a:xfrm>
                          <a:prstGeom prst="rect">
                            <a:avLst/>
                          </a:prstGeom>
                        </pic:spPr>
                      </pic:pic>
                    </a:graphicData>
                  </a:graphic>
                </wp:inline>
              </w:drawing>
            </w:r>
          </w:p>
        </w:tc>
      </w:tr>
    </w:tbl>
    <w:tbl>
      <w:tblPr>
        <w:tblW w:w="2459" w:type="dxa"/>
        <w:jc w:val="left"/>
        <w:tblInd w:w="0" w:type="dxa"/>
        <w:tblLayout w:type="fixed"/>
        <w:tblCellMar>
          <w:top w:w="28" w:type="dxa"/>
          <w:left w:w="28" w:type="dxa"/>
          <w:bottom w:w="28" w:type="dxa"/>
          <w:right w:w="28" w:type="dxa"/>
        </w:tblCellMar>
      </w:tblPr>
      <w:tblGrid>
        <w:gridCol w:w="427"/>
        <w:gridCol w:w="375"/>
        <w:gridCol w:w="375"/>
        <w:gridCol w:w="375"/>
        <w:gridCol w:w="375"/>
        <w:gridCol w:w="532"/>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45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Graphik Medium;sans-serif" w:hAnsi="Graphik Medium;sans-serif"/>
                <w:b/>
                <w:color w:val="1D1D1D"/>
                <w:sz w:val="22"/>
              </w:rPr>
            </w:pPr>
            <w:r>
              <w:rPr>
                <w:rFonts w:ascii="Graphik Medium;sans-serif" w:hAnsi="Graphik Medium;sans-serif"/>
                <w:b/>
                <w:color w:val="1D1D1D"/>
                <w:sz w:val="22"/>
              </w:rPr>
              <w:t>PROPOSAL THREE</w:t>
            </w:r>
          </w:p>
        </w:tc>
      </w:tr>
      <w:tr>
        <w:trPr/>
        <w:tc>
          <w:tcPr>
            <w:tcW w:w="117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Advisory Vote on the Compensation of Our Named Executive Officers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accordance with the rules of the SEC, we are providing stockholders with an opportunity to make a non-binding, advisory vote on the compensation of our named executive officers. This non-binding advisory vote is commonly referred to as a “say on pay” vote. </w:t>
      </w:r>
    </w:p>
    <w:p>
      <w:pPr>
        <w:pStyle w:val="TextBody"/>
        <w:bidi w:val="0"/>
        <w:spacing w:lineRule="auto" w:line="336" w:before="0" w:after="180"/>
        <w:jc w:val="left"/>
        <w:rPr/>
      </w:pPr>
      <w:r>
        <w:rPr>
          <w:rFonts w:ascii="Graphik Light;sans-serif" w:hAnsi="Graphik Light;sans-serif"/>
          <w:b w:val="false"/>
          <w:color w:val="1D1D1D"/>
          <w:sz w:val="18"/>
        </w:rPr>
        <w:t xml:space="preserve">Stockholders are urged to read the </w:t>
      </w:r>
      <w:r>
        <w:rPr>
          <w:color w:val="1D1D1D"/>
        </w:rPr>
        <w:t>“</w:t>
      </w:r>
      <w:r>
        <w:rPr>
          <w:rFonts w:ascii="Graphik Light;sans-serif" w:hAnsi="Graphik Light;sans-serif"/>
          <w:b w:val="false"/>
          <w:i/>
          <w:color w:val="1D1D1D"/>
          <w:sz w:val="18"/>
        </w:rPr>
        <w:t>Executive Compensation”</w:t>
      </w:r>
      <w:r>
        <w:rPr>
          <w:color w:val="1D1D1D"/>
        </w:rPr>
        <w:t xml:space="preserve"> </w:t>
      </w:r>
      <w:r>
        <w:rPr>
          <w:rFonts w:ascii="Graphik Light;sans-serif" w:hAnsi="Graphik Light;sans-serif"/>
          <w:b w:val="false"/>
          <w:color w:val="1D1D1D"/>
          <w:sz w:val="18"/>
        </w:rPr>
        <w:t>section of this Proxy Statement, which discusses how our executive compensation policies and procedures implement our compensation philosophy and contains tabular information and narrative discussion about the compensation of our named executive officers. The Compensation Committee and the Board of Directors believe that these policies and procedures are effective in implementing our compensation philosophy and in achieving our goals. Accordingly, we ask our stockholders to vote “FOR” the following resolution at the Annual Meeting:</w:t>
      </w:r>
    </w:p>
    <w:p>
      <w:pPr>
        <w:pStyle w:val="TextBody"/>
        <w:bidi w:val="0"/>
        <w:spacing w:lineRule="auto" w:line="336" w:before="0" w:after="180"/>
        <w:jc w:val="left"/>
        <w:rPr>
          <w:color w:val="1D1D1D"/>
        </w:rPr>
      </w:pPr>
      <w:r>
        <w:rPr>
          <w:color w:val="1D1D1D"/>
        </w:rPr>
        <w:t>“</w:t>
      </w:r>
      <w:r>
        <w:rPr>
          <w:rFonts w:ascii="Graphik Light;sans-serif" w:hAnsi="Graphik Light;sans-serif"/>
          <w:b w:val="false"/>
          <w:color w:val="1D1D1D"/>
          <w:sz w:val="18"/>
        </w:rPr>
        <w:t>RESOLVED, that our stockholders approve, on a non-binding advisory basis, the compensation of the named executive officers, as disclosed in the Proxy Statement pursuant to Item 402 of Regulation S-K, including the compensation tables and narrative discussion and the other related disclosures.”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As an advisory vote, this proposal is not binding. However, our Board of Directors and Compensation Committee, which is responsible for designing and administering our executive compensation program, value the opinions expressed by stockholders in their vote on this proposal and will consider the outcome of the vote when making future compensation decisions for our named executive officers.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Required Vote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non-binding advisory vote on the compensation paid to our named executive officers in 2024, as disclosed in this Proxy Statement, will be determined by the vote of a majority of the shares present at the Annual Meeting or voting by proxy and entitled to vote at the Annual Meeting. Abstentions will have the same effect as votes “AGAINST” this proposal. Broker non-votes will have no effect on this proposal as they are not considered entitled to vote for the foregoing purpose. This proposal is considered to be a non-routine proposal on which a broker or other nominee does not have discretionary authority to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3"/>
        <w:gridCol w:w="2943"/>
        <w:gridCol w:w="2948"/>
        <w:gridCol w:w="109"/>
        <w:gridCol w:w="109"/>
        <w:gridCol w:w="109"/>
        <w:gridCol w:w="205"/>
        <w:gridCol w:w="205"/>
        <w:gridCol w:w="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vMerge w:val="restart"/>
            <w:tcBorders/>
            <w:shd w:fill="005CBA"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5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4" descr=""/>
                          <pic:cNvPicPr>
                            <a:picLocks noChangeAspect="1" noChangeArrowheads="1"/>
                          </pic:cNvPicPr>
                        </pic:nvPicPr>
                        <pic:blipFill>
                          <a:blip r:embed="rId125"/>
                          <a:stretch>
                            <a:fillRect/>
                          </a:stretch>
                        </pic:blipFill>
                        <pic:spPr bwMode="auto">
                          <a:xfrm>
                            <a:off x="0" y="0"/>
                            <a:ext cx="361950" cy="361950"/>
                          </a:xfrm>
                          <a:prstGeom prst="rect">
                            <a:avLst/>
                          </a:prstGeom>
                        </pic:spPr>
                      </pic:pic>
                    </a:graphicData>
                  </a:graphic>
                </wp:inline>
              </w:drawing>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shd w:fill="D1ECF7" w:val="clear"/>
            <w:tcMar>
              <w:top w:w="0" w:type="dxa"/>
              <w:left w:w="0" w:type="dxa"/>
              <w:bottom w:w="0" w:type="dxa"/>
              <w:right w:w="0" w:type="dxa"/>
            </w:tcMar>
            <w:vAlign w:val="center"/>
          </w:tcPr>
          <w:p>
            <w:pPr>
              <w:pStyle w:val="TableContents"/>
              <w:bidi w:val="0"/>
              <w:spacing w:lineRule="auto" w:line="336" w:before="0" w:after="0"/>
              <w:jc w:val="left"/>
              <w:rPr/>
            </w:pPr>
            <w:r>
              <w:rPr>
                <w:rFonts w:ascii="Graphik Medium;sans-serif" w:hAnsi="Graphik Medium;sans-serif"/>
                <w:b w:val="false"/>
                <w:color w:val="005CBA"/>
                <w:sz w:val="20"/>
              </w:rPr>
              <w:t xml:space="preserve">The Board of Directors recommends a vote </w:t>
            </w:r>
            <w:r>
              <w:rPr>
                <w:color w:val="8E4FBE"/>
              </w:rPr>
              <w:t>“</w:t>
            </w:r>
            <w:r>
              <w:rPr>
                <w:rFonts w:ascii="Graphik;sans-serif" w:hAnsi="Graphik;sans-serif"/>
                <w:b/>
                <w:color w:val="8E4FBE"/>
                <w:sz w:val="20"/>
              </w:rPr>
              <w:t>FOR”</w:t>
            </w:r>
            <w:r>
              <w:rPr>
                <w:color w:val="005CBA"/>
              </w:rPr>
              <w:t xml:space="preserve"> </w:t>
            </w:r>
            <w:r>
              <w:rPr>
                <w:rFonts w:ascii="Graphik Medium;sans-serif" w:hAnsi="Graphik Medium;sans-serif"/>
                <w:b w:val="false"/>
                <w:color w:val="005CBA"/>
                <w:sz w:val="20"/>
              </w:rPr>
              <w:t>approval, on a non-binding advisory basis, of the compensation of our Named Executive Officers.</w:t>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60400"/>
                <wp:effectExtent l="0" t="0" r="0" b="0"/>
                <wp:wrapNone/>
                <wp:docPr id="158" name="Frame3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28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tbl>
      <w:tblPr>
        <w:tblW w:w="1385"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5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5" descr=""/>
                          <pic:cNvPicPr>
                            <a:picLocks noChangeAspect="1" noChangeArrowheads="1"/>
                          </pic:cNvPicPr>
                        </pic:nvPicPr>
                        <pic:blipFill>
                          <a:blip r:embed="rId126"/>
                          <a:stretch>
                            <a:fillRect/>
                          </a:stretch>
                        </pic:blipFill>
                        <pic:spPr bwMode="auto">
                          <a:xfrm>
                            <a:off x="0" y="0"/>
                            <a:ext cx="371475" cy="304800"/>
                          </a:xfrm>
                          <a:prstGeom prst="rect">
                            <a:avLst/>
                          </a:prstGeom>
                        </pic:spPr>
                      </pic:pic>
                    </a:graphicData>
                  </a:graphic>
                </wp:inline>
              </w:drawing>
            </w:r>
          </w:p>
        </w:tc>
      </w:tr>
    </w:tbl>
    <w:tbl>
      <w:tblPr>
        <w:tblW w:w="2336" w:type="dxa"/>
        <w:jc w:val="left"/>
        <w:tblInd w:w="0" w:type="dxa"/>
        <w:tblLayout w:type="fixed"/>
        <w:tblCellMar>
          <w:top w:w="28" w:type="dxa"/>
          <w:left w:w="28" w:type="dxa"/>
          <w:bottom w:w="28" w:type="dxa"/>
          <w:right w:w="28" w:type="dxa"/>
        </w:tblCellMar>
      </w:tblPr>
      <w:tblGrid>
        <w:gridCol w:w="406"/>
        <w:gridCol w:w="356"/>
        <w:gridCol w:w="356"/>
        <w:gridCol w:w="356"/>
        <w:gridCol w:w="356"/>
        <w:gridCol w:w="506"/>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33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Graphik Medium;sans-serif" w:hAnsi="Graphik Medium;sans-serif"/>
                <w:b/>
                <w:color w:val="1D1D1D"/>
                <w:sz w:val="22"/>
              </w:rPr>
            </w:pPr>
            <w:r>
              <w:rPr>
                <w:rFonts w:ascii="Graphik Medium;sans-serif" w:hAnsi="Graphik Medium;sans-serif"/>
                <w:b/>
                <w:color w:val="1D1D1D"/>
                <w:sz w:val="22"/>
              </w:rPr>
              <w:t>PROPOSAL FOUR</w:t>
            </w:r>
          </w:p>
        </w:tc>
      </w:tr>
      <w:tr>
        <w:trPr/>
        <w:tc>
          <w:tcPr>
            <w:tcW w:w="1118"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Graphik Medium;sans-serif" w:hAnsi="Graphik Medium;sans-serif"/>
          <w:b w:val="false"/>
          <w:color w:val="1D1D1D"/>
          <w:sz w:val="64"/>
        </w:rPr>
      </w:pPr>
      <w:r>
        <w:rPr>
          <w:rFonts w:ascii="Graphik Medium;sans-serif" w:hAnsi="Graphik Medium;sans-serif"/>
          <w:b w:val="false"/>
          <w:color w:val="1D1D1D"/>
          <w:sz w:val="64"/>
        </w:rPr>
        <w:t>Advisory Vote on the Frequency of Future Advisory Votes on the Compensation of Our Named Executive Officers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Under the Dodd</w:t>
        <w:noBreakHyphen/>
        <w:t>Frank Wall Street Reform and Consumer Protection Act of 2010 (the “Dodd</w:t>
        <w:noBreakHyphen/>
        <w:t>Frank Act”), we are providing our stockholders with an opportunity to make a non-binding, advisory vote on the frequency of future non-binding advisory votes on the compensation of our named executive officers. Pursuant to the Dodd</w:t>
        <w:noBreakHyphen/>
        <w:t>Frank Act, the stockholder vote on the frequency of the stockholder vote to approve executive compensation is an advisory vote only, and it is not binding on us or our Board of Directors. This non-binding advisory vote must be submitted to stockholders at least once every six years.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After careful consideration, our Board of Directors recommends that future non-binding advisory votes on the compensation of our named executive officers be held every year so that stockholders may express annually their views on our executive compensation program.</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Stockholders are not voting to approve or disapprove the Board of Directors’ recommendation. Instead, stockholders may indicate their preference regarding the frequency of future non-binding advisory votes on the compensation of our named executive officers by selecting “ONE YEAR,” “TWO YEARS” or “THREE YEARS.” Stockholders that do not have a preference regarding the frequency of future advisory votes may “ABSTAIN” from voting on the proposal.</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As an advisory vote, this proposal is not binding. However, our Board of Directors and Compensation Committee value the opinions expressed by stockholders in their vote on this proposal and will consider the outcome of the vote when making future decisions regarding the frequency of holding future non-binding advisory votes on the compensation of our named executive officers.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Required Vote</w:t>
      </w:r>
    </w:p>
    <w:p>
      <w:pPr>
        <w:pStyle w:val="TextBody"/>
        <w:bidi w:val="0"/>
        <w:spacing w:lineRule="auto" w:line="336" w:before="0" w:after="160"/>
        <w:jc w:val="left"/>
        <w:rPr>
          <w:rFonts w:ascii="Graphik Light;sans-serif" w:hAnsi="Graphik Light;sans-serif"/>
          <w:b w:val="false"/>
          <w:color w:val="1D1D1D"/>
          <w:sz w:val="18"/>
        </w:rPr>
      </w:pPr>
      <w:r>
        <w:rPr>
          <w:rFonts w:ascii="Graphik Light;sans-serif" w:hAnsi="Graphik Light;sans-serif"/>
          <w:b w:val="false"/>
          <w:color w:val="1D1D1D"/>
          <w:sz w:val="18"/>
        </w:rPr>
        <w:t>You have four choices for voting on this proposal. You can choose whether future non-binding advisory votes on the compensation of our named executive officers should be conducted every “ONE YEAR,” “TWO YEARS,” or “THREE YEARS.” Under the rules issued by the SEC, you may also “ABSTAIN” from voting. The frequency that receives the greatest number of votes cast by stockholders on this matter at the meeting will be deemed to be the preferred frequency option of our stockholders. Broker non</w:t>
        <w:noBreakHyphen/>
        <w:t>votes will have no effect on this proposal as they are not considered votes cast for the foregoing purpose. This proposal is considered to be a non-routine proposal on which a broker or other nominee does not have discretionary authority to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2"/>
        <w:gridCol w:w="2942"/>
        <w:gridCol w:w="2949"/>
        <w:gridCol w:w="109"/>
        <w:gridCol w:w="109"/>
        <w:gridCol w:w="109"/>
        <w:gridCol w:w="205"/>
        <w:gridCol w:w="205"/>
        <w:gridCol w:w="2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restart"/>
            <w:tcBorders/>
            <w:shd w:fill="005CBA"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6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6" descr=""/>
                          <pic:cNvPicPr>
                            <a:picLocks noChangeAspect="1" noChangeArrowheads="1"/>
                          </pic:cNvPicPr>
                        </pic:nvPicPr>
                        <pic:blipFill>
                          <a:blip r:embed="rId127"/>
                          <a:stretch>
                            <a:fillRect/>
                          </a:stretch>
                        </pic:blipFill>
                        <pic:spPr bwMode="auto">
                          <a:xfrm>
                            <a:off x="0" y="0"/>
                            <a:ext cx="361950" cy="361950"/>
                          </a:xfrm>
                          <a:prstGeom prst="rect">
                            <a:avLst/>
                          </a:prstGeom>
                        </pic:spPr>
                      </pic:pic>
                    </a:graphicData>
                  </a:graphic>
                </wp:inline>
              </w:drawing>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lineRule="auto" w:line="336" w:before="0" w:after="0"/>
              <w:jc w:val="left"/>
              <w:rPr/>
            </w:pPr>
            <w:r>
              <w:rPr>
                <w:rFonts w:ascii="Graphik Medium;sans-serif" w:hAnsi="Graphik Medium;sans-serif"/>
                <w:b w:val="false"/>
                <w:color w:val="005CBA"/>
                <w:sz w:val="20"/>
              </w:rPr>
              <w:t xml:space="preserve">The Board of Directors recommends a vote for the selection of </w:t>
            </w:r>
            <w:r>
              <w:rPr>
                <w:color w:val="8E4FBE"/>
              </w:rPr>
              <w:t>“</w:t>
            </w:r>
            <w:r>
              <w:rPr>
                <w:rFonts w:ascii="Graphik;sans-serif" w:hAnsi="Graphik;sans-serif"/>
                <w:b/>
                <w:color w:val="8E4FBE"/>
                <w:sz w:val="20"/>
              </w:rPr>
              <w:t>ONE YEAR”</w:t>
            </w:r>
            <w:r>
              <w:rPr>
                <w:color w:val="005CBA"/>
              </w:rPr>
              <w:t xml:space="preserve"> </w:t>
            </w:r>
            <w:r>
              <w:rPr>
                <w:rFonts w:ascii="Graphik Medium;sans-serif" w:hAnsi="Graphik Medium;sans-serif"/>
                <w:b w:val="false"/>
                <w:color w:val="005CBA"/>
                <w:sz w:val="20"/>
              </w:rPr>
              <w:t>as the frequency with which we will hold an advisory vote to approve the compensation of our Named Executive Officers.</w:t>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60400"/>
                <wp:effectExtent l="0" t="0" r="0" b="0"/>
                <wp:wrapNone/>
                <wp:docPr id="161" name="Frame3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29</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6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7" descr=""/>
                          <pic:cNvPicPr>
                            <a:picLocks noChangeAspect="1" noChangeArrowheads="1"/>
                          </pic:cNvPicPr>
                        </pic:nvPicPr>
                        <pic:blipFill>
                          <a:blip r:embed="rId128"/>
                          <a:stretch>
                            <a:fillRect/>
                          </a:stretch>
                        </pic:blipFill>
                        <pic:spPr bwMode="auto">
                          <a:xfrm>
                            <a:off x="0" y="0"/>
                            <a:ext cx="371475" cy="304800"/>
                          </a:xfrm>
                          <a:prstGeom prst="rect">
                            <a:avLst/>
                          </a:prstGeom>
                        </pic:spPr>
                      </pic:pic>
                    </a:graphicData>
                  </a:graphic>
                </wp:inline>
              </w:drawing>
            </w:r>
          </w:p>
        </w:tc>
      </w:tr>
    </w:tbl>
    <w:tbl>
      <w:tblPr>
        <w:tblW w:w="2203" w:type="dxa"/>
        <w:jc w:val="left"/>
        <w:tblInd w:w="0" w:type="dxa"/>
        <w:tblLayout w:type="fixed"/>
        <w:tblCellMar>
          <w:top w:w="28" w:type="dxa"/>
          <w:left w:w="28" w:type="dxa"/>
          <w:bottom w:w="28" w:type="dxa"/>
          <w:right w:w="28" w:type="dxa"/>
        </w:tblCellMar>
      </w:tblPr>
      <w:tblGrid>
        <w:gridCol w:w="382"/>
        <w:gridCol w:w="336"/>
        <w:gridCol w:w="336"/>
        <w:gridCol w:w="336"/>
        <w:gridCol w:w="336"/>
        <w:gridCol w:w="477"/>
      </w:tblGrid>
      <w:tr>
        <w:trPr/>
        <w:tc>
          <w:tcPr>
            <w:tcW w:w="38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20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Graphik Medium;sans-serif" w:hAnsi="Graphik Medium;sans-serif"/>
                <w:b/>
                <w:color w:val="1D1D1D"/>
                <w:sz w:val="22"/>
              </w:rPr>
            </w:pPr>
            <w:r>
              <w:rPr>
                <w:rFonts w:ascii="Graphik Medium;sans-serif" w:hAnsi="Graphik Medium;sans-serif"/>
                <w:b/>
                <w:color w:val="1D1D1D"/>
                <w:sz w:val="22"/>
              </w:rPr>
              <w:t>PROPOSAL FIVE</w:t>
            </w:r>
          </w:p>
        </w:tc>
      </w:tr>
      <w:tr>
        <w:trPr/>
        <w:tc>
          <w:tcPr>
            <w:tcW w:w="1054"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Approval of Amendment to Veracyte, Inc. 2023 Equity Incentive Plan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are asking our stockholders to approve an amendment to the Veracyte, Inc. 2023 Equity Incentive Plan (the “2023 Plan,” and such amendment, the “Plan Amendment”) to increase the number of shares that may be issued under the 2023 Plan. Our Board of Directors has approved the Plan Amendment, subject to stockholder approval.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Board of Directors has determined that it is in the best interests of the company and our stockholders to seek approval of the Plan Amendment to increase the number of shares that may be issued under the 2023 Plan by 2,500,000 shares.</w:t>
      </w:r>
    </w:p>
    <w:p>
      <w:pPr>
        <w:pStyle w:val="TextBody"/>
        <w:bidi w:val="0"/>
        <w:spacing w:lineRule="auto" w:line="336" w:before="0" w:after="180"/>
        <w:jc w:val="left"/>
        <w:rPr/>
      </w:pPr>
      <w:r>
        <w:rPr>
          <w:rFonts w:ascii="Graphik Light;sans-serif" w:hAnsi="Graphik Light;sans-serif"/>
          <w:b w:val="false"/>
          <w:color w:val="1D1D1D"/>
          <w:sz w:val="18"/>
        </w:rPr>
        <w:t>If our stockholders do not approve the Plan Amendment, the number of shares available for grant under the 2023 Plan wi</w:t>
      </w:r>
      <w:r>
        <w:rPr>
          <w:rFonts w:ascii="Graphik Light;sans-serif" w:hAnsi="Graphik Light;sans-serif"/>
          <w:b w:val="false"/>
          <w:color w:val="1D1D1D"/>
          <w:sz w:val="18"/>
          <w:shd w:fill="FFFFFF" w:val="clear"/>
        </w:rPr>
        <w:t>ll not be increased and we will be limited in granting equity using the then-existing shares as a tool to attract and retain key talent.</w:t>
      </w:r>
    </w:p>
    <w:p>
      <w:pPr>
        <w:pStyle w:val="TextBody"/>
        <w:bidi w:val="0"/>
        <w:spacing w:lineRule="auto" w:line="288" w:before="220" w:after="180"/>
        <w:jc w:val="left"/>
        <w:rPr/>
      </w:pPr>
      <w:r>
        <w:rPr>
          <w:rFonts w:ascii="Graphik Medium;sans-serif" w:hAnsi="Graphik Medium;sans-serif"/>
          <w:b w:val="false"/>
          <w:color w:val="1D1D1D"/>
          <w:sz w:val="30"/>
          <w:shd w:fill="FFFFFF" w:val="clear"/>
        </w:rPr>
        <w:t xml:space="preserve">Rationale for and Reasons Why the Board </w:t>
      </w:r>
      <w:r>
        <w:rPr>
          <w:rFonts w:ascii="Graphik Medium;sans-serif" w:hAnsi="Graphik Medium;sans-serif"/>
          <w:b w:val="false"/>
          <w:color w:val="1D1D1D"/>
          <w:sz w:val="30"/>
        </w:rPr>
        <w:t>Recommends</w:t>
      </w:r>
      <w:r>
        <w:rPr>
          <w:color w:val="1D1D1D"/>
          <w:shd w:fill="FFFFFF" w:val="clear"/>
        </w:rPr>
        <w:t xml:space="preserve"> </w:t>
      </w:r>
      <w:r>
        <w:rPr>
          <w:rFonts w:ascii="Graphik Medium;sans-serif" w:hAnsi="Graphik Medium;sans-serif"/>
          <w:b w:val="false"/>
          <w:color w:val="1D1D1D"/>
          <w:sz w:val="30"/>
          <w:shd w:fill="FFFFFF" w:val="clear"/>
        </w:rPr>
        <w:t>a Vote FOR the Plan Amendment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Equity Compensation Is a Critical Element of Our Compensation Program</w:t>
      </w:r>
    </w:p>
    <w:p>
      <w:pPr>
        <w:pStyle w:val="TextBody"/>
        <w:bidi w:val="0"/>
        <w:spacing w:lineRule="auto" w:line="336" w:before="0" w:after="180"/>
        <w:jc w:val="left"/>
        <w:rPr/>
      </w:pPr>
      <w:r>
        <w:rPr>
          <w:rFonts w:ascii="Graphik Light;sans-serif" w:hAnsi="Graphik Light;sans-serif"/>
          <w:b w:val="false"/>
          <w:color w:val="1D1D1D"/>
          <w:sz w:val="18"/>
          <w:shd w:fill="FFFFFF" w:val="clear"/>
        </w:rPr>
        <w:t xml:space="preserve">We believe that our equity incentive compensation program aligns the interests of management, employees and stockholders to create long-term stockholder value. We strongly believe that the approval of the Plan Amendment is </w:t>
      </w:r>
      <w:r>
        <w:rPr>
          <w:rFonts w:ascii="Graphik Light;sans-serif" w:hAnsi="Graphik Light;sans-serif"/>
          <w:b w:val="false"/>
          <w:color w:val="1D1D1D"/>
          <w:sz w:val="18"/>
        </w:rPr>
        <w:t>essential</w:t>
      </w:r>
      <w:r>
        <w:rPr>
          <w:color w:val="1D1D1D"/>
          <w:shd w:fill="FFFFFF" w:val="clear"/>
        </w:rPr>
        <w:t xml:space="preserve"> </w:t>
      </w:r>
      <w:r>
        <w:rPr>
          <w:rFonts w:ascii="Graphik Light;sans-serif" w:hAnsi="Graphik Light;sans-serif"/>
          <w:b w:val="false"/>
          <w:color w:val="1D1D1D"/>
          <w:sz w:val="18"/>
          <w:shd w:fill="FFFFFF" w:val="clear"/>
        </w:rPr>
        <w:t xml:space="preserve">to our continued success because we otherwise may not have sufficient shares available under our 2023 Plan to attract and retain new employees or to motivate and retain our existing employees.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believe that our future success and our ability to remain competitive depend on our ability to attract, retain and motivate highly qualified talent in an increasingly competitive market. The use of equity compensation, including the grant of options, RSUs and certain performance-based restricted stock units (“PSUs”), is a cornerstone of our strategy to attract and retain top-caliber employees. We currently grant RSUs to most U.S. employees, a mix of RSUs and PSUs to our executives and RSUs to our non-employee directors. Employee ownership in Veracyte aligns employee interests with those of our stockholders, incentivizing hard work for Veracyte's future growth and success.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the Plan Amendment is not approved, we may have insufficient shares available to continue to make equity grants to our employees and non-employee directors and may be forced to rely more heavily on cash compensation, both in the short-term and mid-term, to provide the market-competitive total compensation necessary to attract and retain critical talent. This increased reliance on cash compensation could reduce funds available for growth and development, demotivate employees and reduce the alignment between employees and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660400"/>
                <wp:effectExtent l="0" t="0" r="0" b="0"/>
                <wp:wrapNone/>
                <wp:docPr id="163" name="Frame3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Five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We Carefully Consider and Forecast Our Need for Shares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As of March 31, 2025, there were 8,076,382 shares of common stock available for grant under the 2023 Plan. After carefully forecasting our anticipated growth rate for the next few years and considering our historical usage and forfeiture rates, we currently believe that the proposed Plan Amendment to increase the share reserve under the 2023 Plan by 2,500,000 shares of common stock will be sufficient for us to make anticipated grants of equity incentive awards under our current compensation program for approximately one additional year. However, a change in business conditions, company strategy, forfeiture rates or equity market performance could alter this projection up or down.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evaluating the number of shares requested pursuant to the Plan Amendment, our Compensation Committee considered a number of factors, including the costs of the share request as well as an analysis of certain burn rate and dilution metrics as summarized below.</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Grant Practices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During the past three fiscal years, we granted equity awards under our 2023 Plan and our 2013 Stock Incentive Plan (the “2013 Plan”), which terminated in connection with the approval of our 2023 Plan, as summarized in the chart below. Our three-year average burn rate was approximately 3.41% for fiscal years 2022 through 2024 (see chart below for a calculation of our three-year burn rate). We define “burn rate” as the number of time-based equity awards granted during the year plus performance-based equity awards granted during the year, assuming target-level achievement, divided by the weighted average total number of shares of common stock outstanding. We believe that our use of equity compensation, across the company, is a strong compensation differentiator that allows us to attract and retain talent at all levels in the company. This also reflects our commitment to a culture of ownership and accountability, to align with all stockholders. Our gross burn rate is aligned with common market practices across the life sciences sector where we compete for talent and has been well within investor expectations historically.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burn rate figures included below are based on equity awards granted under our 2023 Plan and our 2013 Plan, and exclude potential dilution resulting from shares issued pursuant to our Amended and Restated Employee Stock Purchase Plan (the “ESPP”). As we continue to mature our compensation practices, we strive to achieve a burn rate and overhang at approximately the average rates of our peer group, and that are within the limits recommended by certain independent stockholder advisory groups.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65"/>
        <w:gridCol w:w="265"/>
        <w:gridCol w:w="266"/>
        <w:gridCol w:w="845"/>
        <w:gridCol w:w="770"/>
        <w:gridCol w:w="771"/>
        <w:gridCol w:w="761"/>
        <w:gridCol w:w="573"/>
        <w:gridCol w:w="574"/>
        <w:gridCol w:w="109"/>
        <w:gridCol w:w="109"/>
        <w:gridCol w:w="109"/>
        <w:gridCol w:w="1189"/>
        <w:gridCol w:w="1047"/>
        <w:gridCol w:w="1050"/>
        <w:gridCol w:w="331"/>
        <w:gridCol w:w="225"/>
        <w:gridCol w:w="226"/>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Fiscal Year</w:t>
            </w:r>
          </w:p>
        </w:tc>
        <w:tc>
          <w:tcPr>
            <w:tcW w:w="2386"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Granted Appreciation Awards (Options and SARs)</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1908"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Granted Full-Value Awards (RSUs)</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(2)</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FFFFFF"/>
                <w:sz w:val="16"/>
              </w:rPr>
              <w:t>Weighted Common Stock Outstanding as of December 31</w:t>
            </w:r>
            <w:r>
              <w:rPr>
                <w:color w:val="FFFFFF"/>
              </w:rPr>
              <w:t xml:space="preserve"> </w:t>
            </w:r>
            <w:r>
              <w:rPr>
                <w:rFonts w:ascii="Graphik Semibold;sans-serif" w:hAnsi="Graphik Semibold;sans-serif"/>
                <w:b/>
                <w:color w:val="FFFFFF"/>
                <w:sz w:val="16"/>
              </w:rPr>
              <w:t>of the applicable year</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t>
            </w:r>
          </w:p>
        </w:tc>
        <w:tc>
          <w:tcPr>
            <w:tcW w:w="78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Burn Rate</w:t>
              <w:br/>
              <w:t>(%)</w:t>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2022</w:t>
            </w:r>
          </w:p>
        </w:tc>
        <w:tc>
          <w:tcPr>
            <w:tcW w:w="1615"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1,132,620 </w:t>
            </w:r>
          </w:p>
        </w:tc>
        <w:tc>
          <w:tcPr>
            <w:tcW w:w="77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1,746,249 </w:t>
            </w:r>
          </w:p>
        </w:tc>
        <w:tc>
          <w:tcPr>
            <w:tcW w:w="574"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71,549,204 </w:t>
            </w:r>
          </w:p>
        </w:tc>
        <w:tc>
          <w:tcPr>
            <w:tcW w:w="1050"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4.02 </w:t>
            </w:r>
          </w:p>
        </w:tc>
        <w:tc>
          <w:tcPr>
            <w:tcW w:w="22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1615"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660,592 </w:t>
            </w:r>
          </w:p>
        </w:tc>
        <w:tc>
          <w:tcPr>
            <w:tcW w:w="7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1,767,312 </w:t>
            </w:r>
          </w:p>
        </w:tc>
        <w:tc>
          <w:tcPr>
            <w:tcW w:w="57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72,644,487 </w:t>
            </w:r>
          </w:p>
        </w:tc>
        <w:tc>
          <w:tcPr>
            <w:tcW w:w="105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3.34 </w:t>
            </w:r>
          </w:p>
        </w:tc>
        <w:tc>
          <w:tcPr>
            <w:tcW w:w="2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1615"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 </w:t>
            </w:r>
          </w:p>
        </w:tc>
        <w:tc>
          <w:tcPr>
            <w:tcW w:w="77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2,220,157 </w:t>
            </w:r>
          </w:p>
        </w:tc>
        <w:tc>
          <w:tcPr>
            <w:tcW w:w="574"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76,484,759 </w:t>
            </w:r>
          </w:p>
        </w:tc>
        <w:tc>
          <w:tcPr>
            <w:tcW w:w="1050"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2.90 </w:t>
            </w:r>
          </w:p>
        </w:tc>
        <w:tc>
          <w:tcPr>
            <w:tcW w:w="22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(1)All options granted during 2022, 2023 and 2024 included a time-based vesting schedule.</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(2)Includes both time-based RSUs and PSUs (assuming target-level achievement) granted during 2022, 2023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60400"/>
                <wp:effectExtent l="0" t="0" r="0" b="0"/>
                <wp:wrapNone/>
                <wp:docPr id="164" name="Frame3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Five</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Potential Dilution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As of March 31, 2025:</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There were 78,306,356 total shares of our common stock outstanding.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closing market price of our common stock on March 31, 2025 was $29.65.</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company’s outstanding stock options have a weighted average per share exercise price of $25.36 and a weighted average remaining contractual term of 5.1 years.</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The following table shows outstanding equity awards granted and outstanding under the 2023 Plan and our 2013 Plan, and the number of shares remaining for grant under our 2023 Plan, in each case as of March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967"/>
        <w:gridCol w:w="881"/>
        <w:gridCol w:w="883"/>
        <w:gridCol w:w="109"/>
        <w:gridCol w:w="109"/>
        <w:gridCol w:w="109"/>
        <w:gridCol w:w="1110"/>
        <w:gridCol w:w="1010"/>
        <w:gridCol w:w="1013"/>
        <w:gridCol w:w="109"/>
        <w:gridCol w:w="109"/>
        <w:gridCol w:w="109"/>
        <w:gridCol w:w="1151"/>
        <w:gridCol w:w="908"/>
        <w:gridCol w:w="91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Outstanding appreciation awards (options) under all plans</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Full value awards outstanding under all plans (including PSUs at target)</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shares available for grant under all plans (2023 Plan only)</w:t>
              <w:br/>
              <w:t>(#)</w:t>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2,375,668 </w:t>
            </w:r>
          </w:p>
        </w:tc>
        <w:tc>
          <w:tcPr>
            <w:tcW w:w="883" w:type="dxa"/>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bottom w:val="single" w:sz="8" w:space="0" w:color="005CB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3,767,140 </w:t>
            </w:r>
          </w:p>
        </w:tc>
        <w:tc>
          <w:tcPr>
            <w:tcW w:w="1013" w:type="dxa"/>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bottom w:val="single" w:sz="8" w:space="0" w:color="005CB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8,076,382 </w:t>
            </w:r>
          </w:p>
        </w:tc>
        <w:tc>
          <w:tcPr>
            <w:tcW w:w="911" w:type="dxa"/>
            <w:tcBorders>
              <w:top w:val="single" w:sz="16" w:space="0" w:color="98CBEA"/>
              <w:bottom w:val="single" w:sz="8" w:space="0" w:color="005CBA"/>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98CBEA"/>
              <w:bottom w:val="single" w:sz="8" w:space="0" w:color="005CBA"/>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Based on this information, as of March 31, 2025, our outstanding equity awards (not including awards under our ESPP) plus shares available for future grant under our 2023 Plan represented approximately 18% of our common stock outstanding, which we refer to as our “overhang.”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Accordingly, our Board of Directors believes that the request to approve the Plan Amendment to add an additional 2,500,000 shares of common stock to the 2023 Plan is reasonable and prudent. This number of shares should allow us to continue to grant awards to our employees, consultants, officers and directors, which have been successful in attracting high-performing personnel and generating stockholder value, going forward and to be able to respond to growth, market competition and potential stock price fluctuations, especially in today’s versatile market within our industry.</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Good Governance and Compensation Practices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contains a number of provisions that we believe are consistent with the interests of our stockholders and good corporate governance and compensation practices, including:</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evergreen provision;</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option repricing without stockholder approval;</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“liberal” change in control definition;</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dividends on unvested awards;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excise tax gross ups;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No automatic single trigger acceleration on a change in control;</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Minimum exercise price;</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Limits on non-employee director cash and equity compensation;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The ability to claw back awards under our clawback policies and/or any recoupment requirements imposed under applicable law or listing standards.</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Purpose of the Proposed Plan Amendment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enables us to offer equity awards to attract and retain talented employees, directors, consultants, independent contractors and advisors and further align their interests and those of our stockholders by continuing to link a portion of their compensation with our company performance. The Plan Amendment is intended to enable us to continue to achieve these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660400"/>
                <wp:effectExtent l="0" t="0" r="0" b="0"/>
                <wp:wrapNone/>
                <wp:docPr id="165" name="Frame3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Five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Share Increase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As discussed above, we are requesting approval of an increase of 2,500,000 shares for the 2023 Plan to cover anticipated equity awards, such as those for new hires, refresh awards, potential special retention needs, merger and acquisition activities, and non-employee director grants.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approved by our stockholders, the Plan Amendment will be effective on the date of stockholder approval. We intend to register the additional shares authorized under the 2023 Plan under the Securities Act. If our stockholders do not approve the Plan Amendment, the 2023 Plan will continue without amendment.</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Summary of the 2023 Plan</w:t>
      </w:r>
    </w:p>
    <w:p>
      <w:pPr>
        <w:pStyle w:val="TextBody"/>
        <w:bidi w:val="0"/>
        <w:spacing w:lineRule="auto" w:line="336" w:before="0" w:after="180"/>
        <w:jc w:val="left"/>
        <w:rPr/>
      </w:pPr>
      <w:r>
        <w:rPr>
          <w:rFonts w:ascii="Graphik Light;sans-serif" w:hAnsi="Graphik Light;sans-serif"/>
          <w:b w:val="false"/>
          <w:color w:val="1D1D1D"/>
          <w:sz w:val="18"/>
        </w:rPr>
        <w:t xml:space="preserve">The following is a summary of the principal features of the 2023 Plan, and reflects the proposed Plan Amendment. This summary, however, does not purport to be a complete description of all of the provisions of the 2023 Plan. It is qualified in its entirety by reference to the full text of the 2023 Plan, as proposed to be amended, a copy of which is attached hereto as </w:t>
      </w:r>
      <w:r>
        <w:rPr>
          <w:rFonts w:ascii="Graphik Light;sans-serif" w:hAnsi="Graphik Light;sans-serif"/>
          <w:b w:val="false"/>
          <w:color w:val="1D1D1D"/>
          <w:sz w:val="18"/>
          <w:u w:val="single"/>
        </w:rPr>
        <w:t>Appendix A</w:t>
      </w:r>
      <w:r>
        <w:rPr>
          <w:rFonts w:ascii="Graphik Light;sans-serif" w:hAnsi="Graphik Light;sans-serif"/>
          <w:b w:val="false"/>
          <w:color w:val="1D1D1D"/>
          <w:sz w:val="18"/>
        </w:rPr>
        <w: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Background; Purpose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was adopted by our Board of Directors on April 12, 2023, and became effective on June 8, 2023 (the “Effective Date”), the date it was approved by our stockholders, and will terminate 10 years after the date approved by our Board of Directors. The purpose of the 2023 Plan is to provide incentives to attract, retain and motivate eligible persons whose present and potential contributions are important to our success.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Eligibility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Employees, officers, directors, consultants, independent contractors and advisors of Veracyte or any parent, subsidiary or affiliate of Veracyte are eligible to receive awards. As of March 31, 2025, we had five executive officers (as such term is defined under Rule 16a-1(f)), eight non-employee directors, and approximately 824 other employees and 139 other service providers who would be eligible to participate in the 2023 Plan.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Administration</w:t>
      </w:r>
    </w:p>
    <w:p>
      <w:pPr>
        <w:pStyle w:val="TextBody"/>
        <w:bidi w:val="0"/>
        <w:spacing w:lineRule="auto" w:line="336" w:before="0" w:after="180"/>
        <w:jc w:val="left"/>
        <w:rPr/>
      </w:pPr>
      <w:r>
        <w:rPr>
          <w:rFonts w:ascii="Graphik Light;sans-serif" w:hAnsi="Graphik Light;sans-serif"/>
          <w:b w:val="false"/>
          <w:color w:val="1D1D1D"/>
          <w:sz w:val="18"/>
        </w:rPr>
        <w:t xml:space="preserve">The 2023 Plan will be administered by the Compensation Committee, all of the members of which are non-employee directors under applicable federal securities laws and outside directors as defined under applicable federal tax laws. The Compensation Committee will act as the plan administrator and have the authority to construe and interpret the 2023 Plan, grant awards, determine the terms and conditions of awards, and make all other determinations necessary or advisable for the administration of the 2023 Plan (subject to the limitations set forth in the 2023 Plan). However, our Board of Directors establishes the terms for the grant of awards to non-employee directors as discussed above under </w:t>
      </w:r>
      <w:r>
        <w:rPr>
          <w:color w:val="1D1D1D"/>
        </w:rPr>
        <w:t>“—</w:t>
      </w:r>
      <w:r>
        <w:rPr>
          <w:rFonts w:ascii="Graphik Light;sans-serif" w:hAnsi="Graphik Light;sans-serif"/>
          <w:b w:val="false"/>
          <w:i/>
          <w:color w:val="1D1D1D"/>
          <w:sz w:val="18"/>
        </w:rPr>
        <w:t>2024 Director Compensation.</w:t>
      </w:r>
      <w:r>
        <w:rPr>
          <w:color w:val="1D1D1D"/>
        </w:rPr>
        <w:t xml:space="preserve">”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Share Reserve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If stockholders approve the Plan Amendment, there will be a cumulative total of 12,806,156 shares of common stock authorized under the 2023 Plan from its original effectiveness through the effectiveness of the Plan Amendment, subject to adjustment only to reflect stock splits and similar events.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addition, the following shares underlying awards granted under the 2023 Plan will become available for grant under the 2023 Plan: (a) shares subject to issuance upon exercise of a stock option or stock appreciation right granted under the 2023 Plan but that cease to be subject to the option or stock appreciation right for any reason other than exercise of the stock option or stock appreciation right; (b) shares subject to awards granted under the 2023 Plan that are forfeited or are repurchased by us at the original issue price; (c) shares subject to awards granted under the 2023 Plan that otherwise terminate without such shares being issued; (d) shares surrendered pursuant to a stockholder-approved exchange program; and (e) shares that are used to pay the exercise price of an award or withheld to satisfy the tax withholding obligations related to an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60400"/>
                <wp:effectExtent l="0" t="0" r="0" b="0"/>
                <wp:wrapNone/>
                <wp:docPr id="166" name="Frame3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Five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addition, the following shares underlying awards granted under the 2013 Plan will become available for grant under the 2023 Plan: (a) shares that are subject to awards granted under the 2013 Plan that cease to be subject to such awards by forfeiture or otherwise after the Effective Date; (b) shares issued under the 2013 Plan, including shares issued pursuant to the exercise of stock options, that are forfeited after the Effective Date; (c) shares issued under the 2013 Plan that are repurchased by us at the original issue price after the Effective Date; (d) shares that are subject to awards granted under the 2013 Plan that are settled in cash after the Effective Date; and (e) shares that are subject to awards granted under the 2013 Plan that are used to pay the exercise price of an award or withheld to satisfy the tax withholding obligations related to an award after the Effective Date.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Shares that otherwise become available for grant and issuance shall not include shares subject to awards that initially became available because of our substitution or assumption of awards granted by another company in connection with an acquisition of such company, or otherwise, as permitted under the 2023 Plan.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Equitable Adjustments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As is typical in equity plans, in the event of a change in our common stock via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Veracyte without consideration, proportionate adjustments will be made to the number and class of shares reserved for issuance and future grant under the 2023 Plan (including the maximum number and class of ISOs (as defined below)) and the applicable exercise prices of and number and class of shares subject to outstanding awards, subject to any required action by the Board of Directors or our stockholders.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Equity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will permit us to grant the following types of awards: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Stock Options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2023 Plan provides for the grant of Incentive Stock Options (“ISOs”) and Non-qualified Stock Options (“NQSOs”). ISOs may be granted only to our employees or employees of our parent, subsidiaries and affiliates. NQSOs may be granted to eligible employees, consultants and directors of any of our parent, subsidiaries or affiliates. We are able to issue no more than 15,000,000 shares pursuant to the grant of ISOs under the 2023 Plan. The Compensation Committee determines the terms of each option award, provided that ISOs are subject to statutory limitations. The Compensation Committee also determines the exercise price for a stock option, provided that the exercise price of an option may not be less than the fair market value of our common stock on the date of grant (with certain additional requirements for certain ISOs).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Options granted under the 2023 Plan vest at the rate and/or subject to performance requirements specified by the Compensation Committee and such vesting schedule is set forth in the stock option agreement to which such stock option grant relates. The Compensation Committee determines the term of stock options granted under the 2023 Plan, up to a term of ten years (with certain additional requirements for certain ISOs).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Restricted Stock Units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RSUs represent the right to receive shares of our common stock at a specified date in the future, subject to forfeiture of such right due to termination of employment or failure to achieve specified performance goals. RSUs do not have exercise price. If the RSUs have not been forfeited, then on the date specified in the award agreement we will deliver to the holder of the RSUs shares of our common stock, cash or a combination of our common stock and cash as specified in the applicable award agreement. The Compensation Committee determines the term of RSUs granted under the 2023 Plan, up to a term of ten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660400"/>
                <wp:effectExtent l="0" t="0" r="0" b="0"/>
                <wp:wrapNone/>
                <wp:docPr id="167" name="Frame4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Five</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Restricted Stock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restricted stock award is an offer by us to sell shares of our common stock subject to restrictions that the Compensation Committee may impose. These restrictions may be based on completion of a specified period of service with us or upon the achievement of performance goals during a performance period. The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Stock Bonus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stock bonus is an award of shares of our common stock for past or future services to us. Stock bonuses can be granted as additional compensation for performance and, therefore, are not issued in exchange for cash. The Compensation Committee determines the number of shares to be issued as stock bonus and any restrictions on those shares. These restrictions may be based on completion of a specified period of service with us or upon the achievement of performance goals during a performance period. Unless otherwise set forth in the award agreement, vesting ceases on the date the participant no longer provides services to us, and at that time unvested shares will be forfeited to us or are subject to repurchase by us.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Stock Appreciation Rights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Stock appreciation rights provide for a payment, or payments, in cash or shares of our common stock to the holder based upon the difference between the fair market value of our common stock on the date of exercise and the stated exercise price of the stock appreciation right. Stock appreciation rights may vest based on time or achievement of performance goals. The Compensation Committee determines the term of stock appreciation rights granted under the 2023 Plan, up to a term of ten years.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Performance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performance award is an award of a cash bonus or a bonus denominated in shares or units that is subject to performance factors. The award of performance shares may be settled in cash or by issuance of those shares (which may consist of restricted stock). These awards are subject to forfeiture because of termination of employment or failure to achieve the performance conditions.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Performance Factors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may establish performance goals from the performance criteria set forth in the 2023 Plan, which include the following: profit before tax; billings; revenue; net revenue or return on operating revenue; earnings (which may include earnings before interest and taxes, earnings before taxes, net earnings, stock-based compensation expenses, depreciation and amortization); operating income; operating margin; operating profit; controllable operating profit or net operating profit; net profit; gross margin; cost, operating expenses or operating expenses as a percentage of revenue; net income; earning per share; total stockholder return or relative total stockholder return; market share or market segment share; return on assets or net assets; the company’s stock price; growth in stockholder value relative to a pre-determined index; return on equity; return on capital or on invested capital; cash flow (including free cash flow or operating cash flows) or cash flow margins; cash conversion cycle; economic value added; individual confidential business objectives; contract awards or backlog; overhead or other expense reduction; credit rating; strategic plan development and implementation; succession plan development and implementation; talent, retention and culture; customer indicators and/or satisfaction; new product invention or innovation; achievement of target levels of discovery and/or development of products and services, including but not limited to research or regulatory achievements; attainment of research and development milestones; third-party coverage and/or reimbursement objectives; test volume metrics; improvements in productivity; bookings; attainment of objective operating goals and employee metrics; sales; expenses; balance of cash, cash equivalents and marketable securities; completion of an identified special project; completion of a joint venture or other corporate transaction; employee satisfaction and/or retention; research and development expenses; working capital targets and changes in working capital; net new annual contract value; net expansion rate; and any other metric that is capable of measurement as determined by the Compensation Committee. The Compensation Committee may provide for one or more equitable adjustments to the performance criteria to preserve Compensation Committee’s original intent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660400"/>
                <wp:effectExtent l="0" t="0" r="0" b="0"/>
                <wp:wrapNone/>
                <wp:docPr id="168" name="Frame4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Five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regarding such criteria at the time of the initial award grant, such as but not limited to, adjustments in recognition of unusual or non-recurring items such as acquisition-related activities or changes in applicable accounting rules.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Stockholder Approval Required for Repricing, Exchange and Buyout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Compensation Committee may not, without the approval of our stockholders, (i) reprice any Options or SARs, (ii) lower the exercise price per share of any award after it is granted, or (iii) cancel any award when the exercise price per share exceeds the fair market value of one share in exchange for cash or another award.</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Insider Trading; Clawback Policy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Each participant who receives an award will comply with any and all policies adopted by the company from time to time covering transactions in our securities by employees, officers and/or directors.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All awards will be subject to clawback or recoupment pursuant to any compensation clawback or recoupment policy adopted by the Board of Directors or required by law during the term of the participant’s employment or other service, and in addition to any other remedies available under such policy and applicable law, we may require the cancellation of outstanding awards and the recoupment of any gains realized with respect to awards.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Restrictions on Dividends and Dividend Equivalents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participant will have no right to payment of stock dividends or stock distributions with respect to unvested shares, and any such dividends or stock distributions will be accrued and paid only at such time, if any, as such unvested shares become vested shares and are no longer subject to restrictions and risk of forfeiture.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Change in Control</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we undergo a Corporate Transaction (as defined in the 2023 Plan), the 2023 Plan provides that outstanding awards shall be subject to the definitive agreement related thereto, and may be assumed, converted, replaced or substituted by the successor or acquiring entity, or by a parent or subsidiary of the successor or acquiring entity, for substantially equivalent awards (including, but not limited to, an award to acquire the same consideration paid to the stockholders pursuant to the Corporate Transaction), in each case after taking into account appropriate adjustments to the exercise price and the number and nature of shares subject to such awards as may be necessary or desirable under applicable law and the Internal Revenue Code, may be fully accelerated or may be settled for their intrinsic value (which may be determined to be zero). In the event such successor or acquiring corporation (if any) refuses to assume, convert, replace or substitute awards, or awards are not settled for their intrinsic value, pursuant to a Corporate Transaction, then such awards shall have their vesting accelerate as to all shares subject to such award (and any applicable right of repurchase fully lapse) immediately prior to the Corporate Transaction, with the acceleration of performance awards based on the greater of actual performance through the date of the Corporate Transaction or target performance, and then such awards will terminate.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Awards need not be treated similarly in a Corporate Transaction and treatment may vary from award to award and/or from participant to participant.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the event of a Corporate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Foreign Award Recipients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order to comply with the laws in other countries in which we and our subsidiaries and affiliates operate or have employees or other individuals eligible for awards, the Compensation Committee 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60400"/>
                <wp:effectExtent l="0" t="0" r="0" b="0"/>
                <wp:wrapNone/>
                <wp:docPr id="169" name="Frame4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Five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Transferability of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Unless the Compensation Committee provides otherwise, the 2023 Plan does not allow for the transfer of awards, other than by will or the laws of descent and distribution, and generally only the recipient of an award may exercise it during his or her lifetime.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Grants to Non-Employee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Non-employee directors are eligible to receive any type of award offered under the 2023 Plan except ISOs. No non-employee director may receive awards under the 2023 Plan that, when combined with cash compensation received for service as a non-employee director, exceeds $750,000 in value in any calendar year ($1,500,000 in the calendar year in which such non-employee director first joins the Board of Directors). Awards under the 2023 Plan may be granted to non-employee directors, may be automatically made pursuant to a policy adopted by the Board of Directors, or made from time to time as determined at the discretion of the Board of Directors.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Amendment and Termination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of Directors is permitted to amend or terminate the 2023 Plan at any time, subject to stockholder approval where required. In addition, no amendment that is detrimental to a participant in the 2023 Plan may be made to an outstanding award without the consent of the affected participant unless such termination or amendment is necessary to comply with applicable, law, regulation or rule. The 2023 Plan will terminate ten years from April 12, 2023, the date the 2023 Plan was adopted by the Board of Directors.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Federal Income Tax Consequences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is a general summary under current law of certain U.S. federal income tax consequences to participants who are citizens or individual residents of the United States relating to the types of equity awards that may be granted under the 2023 Plan. This summary deals with the general tax principles and is provided only for general information. Certain kinds of taxes, such as foreign taxes, state and local income taxes, payroll taxes and the alternative minimum tax, are not discussed.</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Nonqualified Stock Options, Stock Appreciation Rights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recipient of an NQSO or stock appreciation right will not recognize taxable income upon the 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 common stock generally will be short‐term or long‐term capital gain or loss, depending on the length of time the recipient holds the shares.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Incentive Stock Options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Neither the grant nor the exercise of an ISO will generally result in any taxable income to the recipient, except that the alternative minimum tax may apply at the time of exercise. The recipient will recognize a capital gain or loss on a later sale or other disposition of such shares provided the he or she does not dispose of such shares within two years from the date the option was granted or within one year after the shares were acquired by the recipient. If the shares are not held for holding period described above, the recipient will recognize ordinary income equal to the lesser of (i) the difference between the fair market value of the shares on the date of exercise and the exercise price, or (ii) the difference between the sales price and the exercise price. Any gain or loss recognized on a subsequent disposition of the shares of common stock generally will be short‐term or long‐term capital gain or loss, depending on the length of time the recipient holds the shares.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Restricted Stock Units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 holder of RSUs does not recognize taxable income when the RSUs are granted. The recipient of the award generally will recognize ordinary income in each year in which the units vest in an amount equal to the fair market value of the shares of common stock received. Any gain or loss recognized on a subsequent disposition of the shares of common stock generally will be short‐term or long‐term capital gain or loss, depending on the length of time the recipient holds the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60400"/>
                <wp:effectExtent l="0" t="0" r="0" b="0"/>
                <wp:wrapNone/>
                <wp:docPr id="170" name="Frame4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Proposal Five</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Other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grant of restricted stock awards, stock bonus awards and performance shares will generally not be a taxable event. Generally, the 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recognition as of the date of grant).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each of the foregoing cases, we will generally have a corresponding deduction at the time the participant recognizes ordinary income, subject to Section 162(m) of the Internal Revenue Code and the relevant income tax regulations. Section 162(m) places a limit of $1 million on the amount of compensation that we may deduct as a business expense in any year with respect to certain of our most highly paid executive officers. We may from time to time pay compensation to our executives that may not be deductible if the Compensation Committee believes that doing so is in the best interests of our stockholders.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ERISA Information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2023 Plan is not subject to the provisions of the Employee Retirement Income Security Act of 1974, as amended.</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New Plan Benefits</w:t>
      </w:r>
    </w:p>
    <w:p>
      <w:pPr>
        <w:pStyle w:val="TextBody"/>
        <w:bidi w:val="0"/>
        <w:spacing w:lineRule="auto" w:line="336" w:before="0" w:after="180"/>
        <w:jc w:val="left"/>
        <w:rPr/>
      </w:pPr>
      <w:r>
        <w:rPr>
          <w:rFonts w:ascii="Graphik Light;sans-serif" w:hAnsi="Graphik Light;sans-serif"/>
          <w:b w:val="false"/>
          <w:color w:val="1D1D1D"/>
          <w:sz w:val="18"/>
        </w:rPr>
        <w:t xml:space="preserve">Our NEOs and members of our Board of Directors have an interest in this proposal by virtue of them being eligible to receive equity awards under the 2023 Plan. No awards have been granted that are contingent on the approval of the Plan Amendment. Future awards under the 2023 Plan to executive officers, employees or other eligible participants are discretionary and cannot be determined at this time. Currently, our non-employee directors are entitled to receive cash and equity compensation for their service as directors as described above under </w:t>
      </w:r>
      <w:r>
        <w:rPr>
          <w:color w:val="1D1D1D"/>
        </w:rPr>
        <w:t>“—</w:t>
      </w:r>
      <w:r>
        <w:rPr>
          <w:rFonts w:ascii="Graphik Light;sans-serif" w:hAnsi="Graphik Light;sans-serif"/>
          <w:b w:val="false"/>
          <w:i/>
          <w:color w:val="1D1D1D"/>
          <w:sz w:val="18"/>
        </w:rPr>
        <w:t>2024 Director Compensation</w:t>
      </w:r>
      <w:r>
        <w:rPr>
          <w:rFonts w:ascii="Graphik Light;sans-serif" w:hAnsi="Graphik Light;sans-serif"/>
          <w:b w:val="false"/>
          <w:color w:val="1D1D1D"/>
          <w:sz w:val="18"/>
        </w:rPr>
        <w:t>.</w:t>
      </w:r>
      <w:r>
        <w:rPr>
          <w:color w:val="1D1D1D"/>
        </w:rPr>
        <w:t>”</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History of Grants Under the 2023 Plan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sets forth the number of shares subject to stock options or restricted stock unit awards granted under the 2023 Plan from its Effective Date, June 8, 2023, through March 31,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863"/>
        <w:gridCol w:w="1821"/>
        <w:gridCol w:w="1824"/>
        <w:gridCol w:w="109"/>
        <w:gridCol w:w="109"/>
        <w:gridCol w:w="109"/>
        <w:gridCol w:w="1231"/>
        <w:gridCol w:w="1210"/>
        <w:gridCol w:w="1212"/>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Position</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Securities Underlying Awards</w:t>
              <w:br/>
              <w:t>(#)</w:t>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Marc Stapley</w:t>
            </w:r>
            <w:r>
              <w:rPr>
                <w:rFonts w:ascii="Graphik Light;sans-serif" w:hAnsi="Graphik Light;sans-serif"/>
                <w:b w:val="false"/>
                <w:color w:val="1D1D1D"/>
                <w:sz w:val="16"/>
              </w:rPr>
              <w:t>, Chief Executive Officer</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410,650 </w:t>
            </w:r>
          </w:p>
        </w:tc>
        <w:tc>
          <w:tcPr>
            <w:tcW w:w="1212"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Rebecca Chambers</w:t>
            </w:r>
            <w:r>
              <w:rPr>
                <w:rFonts w:ascii="Graphik Light;sans-serif" w:hAnsi="Graphik Light;sans-serif"/>
                <w:b w:val="false"/>
                <w:color w:val="1D1D1D"/>
                <w:sz w:val="16"/>
              </w:rPr>
              <w:t>, Chief Financial Officer</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180,112 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Phillip Febbo</w:t>
            </w:r>
            <w:r>
              <w:rPr>
                <w:rFonts w:ascii="Graphik Light;sans-serif" w:hAnsi="Graphik Light;sans-serif"/>
                <w:b w:val="false"/>
                <w:color w:val="1D1D1D"/>
                <w:sz w:val="16"/>
              </w:rPr>
              <w:t>, Chief Scientific and Chief Medical Officer</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320,350 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John Leite</w:t>
            </w:r>
            <w:r>
              <w:rPr>
                <w:rFonts w:ascii="Graphik Light;sans-serif" w:hAnsi="Graphik Light;sans-serif"/>
                <w:b w:val="false"/>
                <w:color w:val="1D1D1D"/>
                <w:sz w:val="16"/>
              </w:rPr>
              <w:t>, Global Chief Commercial Officer</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191,375 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Annie McGuire</w:t>
            </w:r>
            <w:r>
              <w:rPr>
                <w:rFonts w:ascii="Graphik Light;sans-serif" w:hAnsi="Graphik Light;sans-serif"/>
                <w:b w:val="false"/>
                <w:color w:val="1D1D1D"/>
                <w:sz w:val="16"/>
              </w:rPr>
              <w:t>, EVP, General Counsel and Chief People Officer</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160,160 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All current executive officers (including named executive officers)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1,262,647 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All current non-employee directors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159,896 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Marc Stapley</w:t>
            </w:r>
            <w:r>
              <w:rPr>
                <w:rFonts w:ascii="Graphik Light;sans-serif" w:hAnsi="Graphik Light;sans-serif"/>
                <w:b w:val="false"/>
                <w:color w:val="1D1D1D"/>
                <w:sz w:val="16"/>
              </w:rPr>
              <w:t>, Chief Executive Officer,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410,650 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Eliav Barr</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21,147 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Muna Bhanji</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21,147 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Karin Eastham</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21,147 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Jens Holstein</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21,147 </w:t>
            </w:r>
          </w:p>
        </w:tc>
        <w:tc>
          <w:tcPr>
            <w:tcW w:w="121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660400"/>
                <wp:effectExtent l="0" t="0" r="0" b="0"/>
                <wp:wrapNone/>
                <wp:docPr id="171" name="Frame4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38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Proposal Five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13"/>
        <w:gridCol w:w="1972"/>
        <w:gridCol w:w="1977"/>
        <w:gridCol w:w="109"/>
        <w:gridCol w:w="109"/>
        <w:gridCol w:w="109"/>
        <w:gridCol w:w="1107"/>
        <w:gridCol w:w="1045"/>
        <w:gridCol w:w="1047"/>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Position</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Securities Underlying Awards</w:t>
              <w:br/>
              <w:t>(#)</w:t>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Tom Miller</w:t>
            </w:r>
            <w:r>
              <w:rPr>
                <w:rFonts w:ascii="Graphik Light;sans-serif" w:hAnsi="Graphik Light;sans-serif"/>
                <w:b w:val="false"/>
                <w:color w:val="1D1D1D"/>
                <w:sz w:val="16"/>
              </w:rPr>
              <w:t>, Director and Director Nominee</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16,507 </w:t>
            </w:r>
          </w:p>
        </w:tc>
        <w:tc>
          <w:tcPr>
            <w:tcW w:w="1047"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val="false"/>
                <w:color w:val="1D1D1D"/>
                <w:sz w:val="16"/>
              </w:rPr>
              <w:t>Brent Shafer</w:t>
            </w:r>
            <w:r>
              <w:rPr>
                <w:rFonts w:ascii="Graphik Light;sans-serif" w:hAnsi="Graphik Light;sans-serif"/>
                <w:b w:val="false"/>
                <w:color w:val="1D1D1D"/>
                <w:sz w:val="16"/>
              </w:rPr>
              <w:t>, Director and Director Nominee</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16,507 </w:t>
            </w:r>
          </w:p>
        </w:tc>
        <w:tc>
          <w:tcPr>
            <w:tcW w:w="104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Each associate of any of such directors, executive officers or nominees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04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Each other person who received or is to receive 5 percent of such options, warrants or rights</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04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All current employees (excluding current executive officers and directors)</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2,316,479 </w:t>
            </w:r>
          </w:p>
        </w:tc>
        <w:tc>
          <w:tcPr>
            <w:tcW w:w="1047"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 xml:space="preserve">Equity Compensation Plan Information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provides information about our common stock that may be issued under our equity compensation plans as of December 31, 2024:</w:t>
      </w:r>
    </w:p>
    <w:tbl>
      <w:tblPr>
        <w:tblW w:w="10205" w:type="dxa"/>
        <w:jc w:val="left"/>
        <w:tblInd w:w="0" w:type="dxa"/>
        <w:tblLayout w:type="fixed"/>
        <w:tblCellMar>
          <w:top w:w="28" w:type="dxa"/>
          <w:left w:w="28" w:type="dxa"/>
          <w:bottom w:w="28" w:type="dxa"/>
          <w:right w:w="28" w:type="dxa"/>
        </w:tblCellMar>
      </w:tblPr>
      <w:tblGrid>
        <w:gridCol w:w="124"/>
        <w:gridCol w:w="109"/>
        <w:gridCol w:w="109"/>
        <w:gridCol w:w="535"/>
        <w:gridCol w:w="535"/>
        <w:gridCol w:w="540"/>
        <w:gridCol w:w="964"/>
        <w:gridCol w:w="310"/>
        <w:gridCol w:w="310"/>
        <w:gridCol w:w="310"/>
        <w:gridCol w:w="310"/>
        <w:gridCol w:w="316"/>
        <w:gridCol w:w="747"/>
        <w:gridCol w:w="747"/>
        <w:gridCol w:w="748"/>
        <w:gridCol w:w="1107"/>
        <w:gridCol w:w="399"/>
        <w:gridCol w:w="399"/>
        <w:gridCol w:w="399"/>
        <w:gridCol w:w="399"/>
        <w:gridCol w:w="406"/>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securities to be issued upon exercise of outstanding options, warrants and rights</w:t>
              <w:br/>
              <w:t>(a)</w:t>
            </w:r>
          </w:p>
        </w:tc>
        <w:tc>
          <w:tcPr>
            <w:tcW w:w="2242"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Weighted-average exercise price of outstanding options, warrants and rights</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3109" w:type="dxa"/>
            <w:gridSpan w:val="6"/>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Number of securities remaining available for future issuance under equity compensation plans (excluding securities reflected in column (a))</w:t>
              <w:br/>
              <w:t>(#)</w:t>
            </w:r>
          </w:p>
        </w:tc>
        <w:tc>
          <w:tcPr>
            <w:tcW w:w="3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Plan Category</w:t>
            </w:r>
          </w:p>
        </w:tc>
        <w:tc>
          <w:tcPr>
            <w:tcW w:w="1584"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Equity compensation plans approved by security holders</w:t>
            </w:r>
          </w:p>
        </w:tc>
        <w:tc>
          <w:tcPr>
            <w:tcW w:w="1274"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5,751,819 </w:t>
            </w:r>
          </w:p>
        </w:tc>
        <w:tc>
          <w:tcPr>
            <w:tcW w:w="31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10"/>
              </w:rPr>
            </w:pPr>
            <w:r>
              <w:rPr>
                <w:rFonts w:ascii="Graphik Light;sans-serif" w:hAnsi="Graphik Light;sans-serif"/>
                <w:b w:val="false"/>
                <w:color w:val="1D1D1D"/>
                <w:sz w:val="10"/>
              </w:rPr>
              <w:t>(2)</w:t>
            </w:r>
          </w:p>
        </w:tc>
        <w:tc>
          <w:tcPr>
            <w:tcW w:w="22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25.20</w:t>
            </w:r>
          </w:p>
        </w:tc>
        <w:tc>
          <w:tcPr>
            <w:tcW w:w="150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10,022,973 </w:t>
            </w:r>
          </w:p>
        </w:tc>
        <w:tc>
          <w:tcPr>
            <w:tcW w:w="39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10"/>
              </w:rPr>
            </w:pPr>
            <w:r>
              <w:rPr>
                <w:rFonts w:ascii="Graphik Light;sans-serif" w:hAnsi="Graphik Light;sans-serif"/>
                <w:b w:val="false"/>
                <w:color w:val="1D1D1D"/>
                <w:sz w:val="10"/>
              </w:rPr>
              <w:t>(3)</w:t>
            </w:r>
          </w:p>
        </w:tc>
        <w:tc>
          <w:tcPr>
            <w:tcW w:w="38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Equity compensation plans not approved by security holders</w:t>
            </w:r>
          </w:p>
        </w:tc>
        <w:tc>
          <w:tcPr>
            <w:tcW w:w="1274"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1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50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9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Total</w:t>
            </w:r>
          </w:p>
        </w:tc>
        <w:tc>
          <w:tcPr>
            <w:tcW w:w="1274"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5,751,819</w:t>
            </w:r>
            <w:r>
              <w:rPr>
                <w:color w:val="1D1D1D"/>
              </w:rPr>
              <w:t> </w:t>
            </w:r>
          </w:p>
        </w:tc>
        <w:tc>
          <w:tcPr>
            <w:tcW w:w="310"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Semibold;sans-serif" w:hAnsi="Graphik Semibold;sans-serif"/>
                <w:b/>
                <w:color w:val="1D1D1D"/>
                <w:sz w:val="16"/>
              </w:rPr>
            </w:pPr>
            <w:r>
              <w:rPr>
                <w:rFonts w:ascii="Graphik Semibold;sans-serif" w:hAnsi="Graphik Semibold;sans-serif"/>
                <w:b/>
                <w:color w:val="1D1D1D"/>
                <w:sz w:val="16"/>
              </w:rPr>
              <w:t>25.20</w:t>
            </w:r>
          </w:p>
        </w:tc>
        <w:tc>
          <w:tcPr>
            <w:tcW w:w="150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10,022,973</w:t>
            </w:r>
            <w:r>
              <w:rPr>
                <w:color w:val="1D1D1D"/>
              </w:rPr>
              <w:t> </w:t>
            </w:r>
          </w:p>
        </w:tc>
        <w:tc>
          <w:tcPr>
            <w:tcW w:w="399"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(1)The weighted-average exercise price does not reflect the shares that will be issued in connection with the settlement of performance stock units and restricted stock units, since such units have no exercise price.</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(2)Excludes purchase rights accruing under the ESPP.</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(3)Consists of 8,971,566 shares available for issuance under our 2023 Plan, and 1,051,407 shares available for purchase under our ESPP.</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Required Vote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approval of the Plan Amendment will be determined by the vote of a majority of the shares present at the Annual Meeting or voting by proxy and entitled to vote at the Annual Meeting. Abstentions will have the same effect as votes “AGAINST” this proposal. Broker non-votes will have no effect on this proposal as they are not considered entitled to vote for the foregoing purpose. This proposal is considered to be a non-routine proposal on which a broker or other nominee does not have discretionary authority to vote.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42"/>
        <w:gridCol w:w="2942"/>
        <w:gridCol w:w="2949"/>
        <w:gridCol w:w="109"/>
        <w:gridCol w:w="109"/>
        <w:gridCol w:w="109"/>
        <w:gridCol w:w="205"/>
        <w:gridCol w:w="205"/>
        <w:gridCol w:w="2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restart"/>
            <w:tcBorders/>
            <w:shd w:fill="005CBA"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17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8" descr=""/>
                          <pic:cNvPicPr>
                            <a:picLocks noChangeAspect="1" noChangeArrowheads="1"/>
                          </pic:cNvPicPr>
                        </pic:nvPicPr>
                        <pic:blipFill>
                          <a:blip r:embed="rId129"/>
                          <a:stretch>
                            <a:fillRect/>
                          </a:stretch>
                        </pic:blipFill>
                        <pic:spPr bwMode="auto">
                          <a:xfrm>
                            <a:off x="0" y="0"/>
                            <a:ext cx="361950" cy="361950"/>
                          </a:xfrm>
                          <a:prstGeom prst="rect">
                            <a:avLst/>
                          </a:prstGeom>
                        </pic:spPr>
                      </pic:pic>
                    </a:graphicData>
                  </a:graphic>
                </wp:inline>
              </w:drawing>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lineRule="auto" w:line="336" w:before="0" w:after="0"/>
              <w:jc w:val="left"/>
              <w:rPr/>
            </w:pPr>
            <w:r>
              <w:rPr>
                <w:rFonts w:ascii="Graphik Medium;sans-serif" w:hAnsi="Graphik Medium;sans-serif"/>
                <w:b w:val="false"/>
                <w:color w:val="005CBA"/>
                <w:sz w:val="20"/>
              </w:rPr>
              <w:t xml:space="preserve">The Board of Directors recommends a vote </w:t>
            </w:r>
            <w:r>
              <w:rPr>
                <w:color w:val="8E4FBE"/>
              </w:rPr>
              <w:t>“</w:t>
            </w:r>
            <w:r>
              <w:rPr>
                <w:rFonts w:ascii="Graphik;sans-serif" w:hAnsi="Graphik;sans-serif"/>
                <w:b/>
                <w:color w:val="8E4FBE"/>
                <w:sz w:val="20"/>
              </w:rPr>
              <w:t>FOR”</w:t>
            </w:r>
            <w:r>
              <w:rPr>
                <w:color w:val="005CBA"/>
              </w:rPr>
              <w:t xml:space="preserve"> </w:t>
            </w:r>
            <w:r>
              <w:rPr>
                <w:rFonts w:ascii="Graphik Medium;sans-serif" w:hAnsi="Graphik Medium;sans-serif"/>
                <w:b w:val="false"/>
                <w:color w:val="005CBA"/>
                <w:sz w:val="20"/>
              </w:rPr>
              <w:t>the approval of the Amendment to the Veracyte, Inc. 2023 Equity Incentive Plan.</w:t>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660400"/>
                <wp:effectExtent l="0" t="0" r="0" b="0"/>
                <wp:wrapNone/>
                <wp:docPr id="173" name="Frame4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39</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74"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9" descr=""/>
                          <pic:cNvPicPr>
                            <a:picLocks noChangeAspect="1" noChangeArrowheads="1"/>
                          </pic:cNvPicPr>
                        </pic:nvPicPr>
                        <pic:blipFill>
                          <a:blip r:embed="rId130"/>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Security Ownership of Certain Beneficial Owners and Management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sets forth information regarding the number of shares of common stock beneficially owned on March 31, 2025, by:</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each person who is known by us to beneficially own 5% or more of our common stock;</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each of our named executive officers and directors;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all of our current executive officers and directors as a group.</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Applicable percentage ownership is based on 78,306,356 shares of common stock outstanding at March 31, 2025. In computing the number of shares of common stock beneficially owned by a person and the percentage ownership of that person, we deemed outstanding shares of common stock subject to options and RSUs held by that person that are currently exercisable or settleable or exercisable or settleable within 60 days of March 31, 2025. We did not deem these shares outstanding, however, for the purpose of computing the percentage ownership of any other person.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Except as otherwise set forth below, the address of each beneficial owner is 6000 Shoreline Court, Suite 300, South San Francisco, California 94080.</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7"/>
        <w:gridCol w:w="1050"/>
        <w:gridCol w:w="1053"/>
        <w:gridCol w:w="1047"/>
        <w:gridCol w:w="999"/>
        <w:gridCol w:w="1002"/>
        <w:gridCol w:w="1079"/>
        <w:gridCol w:w="1079"/>
        <w:gridCol w:w="1081"/>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Address of Beneficial Owner</w:t>
            </w:r>
          </w:p>
        </w:tc>
        <w:tc>
          <w:tcPr>
            <w:tcW w:w="3048"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Number of Shares Beneficially Owned</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3239"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Percentage of Shares Beneficially Owned</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t>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98CBE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5% Stockholders:</w:t>
            </w:r>
          </w:p>
        </w:tc>
        <w:tc>
          <w:tcPr>
            <w:tcW w:w="304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BlackRock, Inc.</w:t>
            </w:r>
            <w:r>
              <w:rPr>
                <w:rFonts w:ascii="Graphik Light;sans-serif" w:hAnsi="Graphik Light;sans-serif"/>
                <w:b w:val="false"/>
                <w:color w:val="1D1D1D"/>
                <w:sz w:val="10"/>
              </w:rPr>
              <w:t>(2)</w:t>
            </w:r>
          </w:p>
        </w:tc>
        <w:tc>
          <w:tcPr>
            <w:tcW w:w="20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7,793,059 </w:t>
            </w:r>
          </w:p>
        </w:tc>
        <w:tc>
          <w:tcPr>
            <w:tcW w:w="100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Entities affiliated with The Vanguard Group</w:t>
            </w:r>
            <w:r>
              <w:rPr>
                <w:rFonts w:ascii="Graphik Light;sans-serif" w:hAnsi="Graphik Light;sans-serif"/>
                <w:b w:val="false"/>
                <w:color w:val="1D1D1D"/>
                <w:sz w:val="10"/>
              </w:rPr>
              <w:t>(3)</w:t>
            </w:r>
          </w:p>
        </w:tc>
        <w:tc>
          <w:tcPr>
            <w:tcW w:w="20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7,748,514 </w:t>
            </w:r>
          </w:p>
        </w:tc>
        <w:tc>
          <w:tcPr>
            <w:tcW w:w="100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9.9</w:t>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Artisan Partners Limited Partnership</w:t>
            </w:r>
            <w:r>
              <w:rPr>
                <w:rFonts w:ascii="Graphik Light;sans-serif" w:hAnsi="Graphik Light;sans-serif"/>
                <w:b w:val="false"/>
                <w:color w:val="1D1D1D"/>
                <w:sz w:val="10"/>
              </w:rPr>
              <w:t>(4)</w:t>
            </w:r>
          </w:p>
        </w:tc>
        <w:tc>
          <w:tcPr>
            <w:tcW w:w="20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6,599,264 </w:t>
            </w:r>
          </w:p>
        </w:tc>
        <w:tc>
          <w:tcPr>
            <w:tcW w:w="100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8.4</w:t>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ARK Investment Management LLC</w:t>
            </w:r>
            <w:r>
              <w:rPr>
                <w:rFonts w:ascii="Graphik Light;sans-serif" w:hAnsi="Graphik Light;sans-serif"/>
                <w:b w:val="false"/>
                <w:color w:val="1D1D1D"/>
                <w:sz w:val="10"/>
              </w:rPr>
              <w:t>(5)</w:t>
            </w:r>
          </w:p>
        </w:tc>
        <w:tc>
          <w:tcPr>
            <w:tcW w:w="20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4,920,745 </w:t>
            </w:r>
          </w:p>
        </w:tc>
        <w:tc>
          <w:tcPr>
            <w:tcW w:w="100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6.3</w:t>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Wellington Management Group LLP</w:t>
            </w:r>
            <w:r>
              <w:rPr>
                <w:rFonts w:ascii="Graphik Light;sans-serif" w:hAnsi="Graphik Light;sans-serif"/>
                <w:b w:val="false"/>
                <w:color w:val="1D1D1D"/>
                <w:sz w:val="10"/>
              </w:rPr>
              <w:t>(6)</w:t>
            </w:r>
          </w:p>
        </w:tc>
        <w:tc>
          <w:tcPr>
            <w:tcW w:w="20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4,232,844 </w:t>
            </w:r>
          </w:p>
        </w:tc>
        <w:tc>
          <w:tcPr>
            <w:tcW w:w="100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5.4</w:t>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98CBE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Directors and Named Executive Officers:</w:t>
            </w:r>
          </w:p>
        </w:tc>
        <w:tc>
          <w:tcPr>
            <w:tcW w:w="304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Marc Stapley</w:t>
            </w:r>
            <w:r>
              <w:rPr>
                <w:rFonts w:ascii="Graphik Light;sans-serif" w:hAnsi="Graphik Light;sans-serif"/>
                <w:b w:val="false"/>
                <w:color w:val="1D1D1D"/>
                <w:sz w:val="10"/>
              </w:rPr>
              <w:t>(7)</w:t>
            </w:r>
          </w:p>
        </w:tc>
        <w:tc>
          <w:tcPr>
            <w:tcW w:w="20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412,448 </w:t>
            </w:r>
          </w:p>
        </w:tc>
        <w:tc>
          <w:tcPr>
            <w:tcW w:w="10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Rebecca Chambers</w:t>
            </w:r>
            <w:r>
              <w:rPr>
                <w:rFonts w:ascii="Graphik Light;sans-serif" w:hAnsi="Graphik Light;sans-serif"/>
                <w:b w:val="false"/>
                <w:color w:val="1D1D1D"/>
                <w:sz w:val="10"/>
              </w:rPr>
              <w:t>(8)</w:t>
            </w:r>
          </w:p>
        </w:tc>
        <w:tc>
          <w:tcPr>
            <w:tcW w:w="20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189,544 </w:t>
            </w:r>
          </w:p>
        </w:tc>
        <w:tc>
          <w:tcPr>
            <w:tcW w:w="100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660400"/>
                <wp:effectExtent l="0" t="0" r="0" b="0"/>
                <wp:wrapNone/>
                <wp:docPr id="175" name="Frame4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Security Ownership of Certain Beneficial Owners and Management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10"/>
        <w:gridCol w:w="1310"/>
        <w:gridCol w:w="1314"/>
        <w:gridCol w:w="1009"/>
        <w:gridCol w:w="870"/>
        <w:gridCol w:w="872"/>
        <w:gridCol w:w="933"/>
        <w:gridCol w:w="933"/>
        <w:gridCol w:w="935"/>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Address of Beneficial Owner</w:t>
            </w:r>
          </w:p>
        </w:tc>
        <w:tc>
          <w:tcPr>
            <w:tcW w:w="2751"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Number of Shares Beneficially Owned</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2801"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Percentage of Shares Beneficially Owned</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t>
            </w:r>
          </w:p>
        </w:tc>
        <w:tc>
          <w:tcPr>
            <w:tcW w:w="3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Phillip Febbo</w:t>
            </w:r>
            <w:r>
              <w:rPr>
                <w:rFonts w:ascii="Graphik Light;sans-serif" w:hAnsi="Graphik Light;sans-serif"/>
                <w:b w:val="false"/>
                <w:color w:val="1D1D1D"/>
                <w:sz w:val="10"/>
              </w:rPr>
              <w:t>(9)</w:t>
            </w:r>
          </w:p>
        </w:tc>
        <w:tc>
          <w:tcPr>
            <w:tcW w:w="1879"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50,033 </w:t>
            </w:r>
          </w:p>
        </w:tc>
        <w:tc>
          <w:tcPr>
            <w:tcW w:w="872"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John Leite</w:t>
            </w:r>
            <w:r>
              <w:rPr>
                <w:rFonts w:ascii="Graphik Light;sans-serif" w:hAnsi="Graphik Light;sans-serif"/>
                <w:b w:val="false"/>
                <w:color w:val="1D1D1D"/>
                <w:sz w:val="10"/>
              </w:rPr>
              <w:t>(10)</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50,903 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Annie McGuire</w:t>
            </w:r>
            <w:r>
              <w:rPr>
                <w:rFonts w:ascii="Graphik Light;sans-serif" w:hAnsi="Graphik Light;sans-serif"/>
                <w:b w:val="false"/>
                <w:color w:val="1D1D1D"/>
                <w:sz w:val="10"/>
              </w:rPr>
              <w:t>(11)</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84,748 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Eliav Barr</w:t>
            </w:r>
            <w:r>
              <w:rPr>
                <w:rFonts w:ascii="Graphik Light;sans-serif" w:hAnsi="Graphik Light;sans-serif"/>
                <w:b w:val="false"/>
                <w:color w:val="1D1D1D"/>
                <w:sz w:val="10"/>
              </w:rPr>
              <w:t>(12)</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23,488 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Muna Bhanji</w:t>
            </w:r>
            <w:r>
              <w:rPr>
                <w:rFonts w:ascii="Graphik Light;sans-serif" w:hAnsi="Graphik Light;sans-serif"/>
                <w:b w:val="false"/>
                <w:color w:val="1D1D1D"/>
                <w:sz w:val="10"/>
              </w:rPr>
              <w:t>(13)</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23,105 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Karin Eastham</w:t>
            </w:r>
            <w:r>
              <w:rPr>
                <w:rFonts w:ascii="Graphik Light;sans-serif" w:hAnsi="Graphik Light;sans-serif"/>
                <w:b w:val="false"/>
                <w:color w:val="1D1D1D"/>
                <w:sz w:val="10"/>
              </w:rPr>
              <w:t>(14)</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47,024 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Robert S. Epstein, M.D., M.S.</w:t>
            </w:r>
            <w:r>
              <w:rPr>
                <w:rFonts w:ascii="Graphik Light;sans-serif" w:hAnsi="Graphik Light;sans-serif"/>
                <w:b w:val="false"/>
                <w:color w:val="1D1D1D"/>
                <w:sz w:val="10"/>
              </w:rPr>
              <w:t>(15)</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93,125 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Evan Jones</w:t>
            </w:r>
            <w:r>
              <w:rPr>
                <w:rFonts w:ascii="Graphik Light;sans-serif" w:hAnsi="Graphik Light;sans-serif"/>
                <w:b w:val="false"/>
                <w:color w:val="1D1D1D"/>
                <w:sz w:val="10"/>
              </w:rPr>
              <w:t>(16)</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72,870 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6"/>
              </w:rPr>
              <w:t>Jens Holstein</w:t>
            </w:r>
            <w:r>
              <w:rPr>
                <w:rFonts w:ascii="Graphik Light;sans-serif" w:hAnsi="Graphik Light;sans-serif"/>
                <w:b w:val="false"/>
                <w:color w:val="1D1D1D"/>
                <w:sz w:val="10"/>
              </w:rPr>
              <w:t>(17)</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51,405 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Tom Miller</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Brent Shafer</w:t>
            </w:r>
          </w:p>
        </w:tc>
        <w:tc>
          <w:tcPr>
            <w:tcW w:w="1879"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8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All directors and executive officers as a group (13 persons)</w:t>
            </w:r>
            <w:r>
              <w:rPr>
                <w:rFonts w:ascii="Graphik Semibold;sans-serif" w:hAnsi="Graphik Semibold;sans-serif"/>
                <w:b/>
                <w:color w:val="1D1D1D"/>
                <w:sz w:val="10"/>
              </w:rPr>
              <w:t>(18)</w:t>
            </w:r>
          </w:p>
        </w:tc>
        <w:tc>
          <w:tcPr>
            <w:tcW w:w="1879"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1,098,693</w:t>
            </w:r>
            <w:r>
              <w:rPr>
                <w:color w:val="1D1D1D"/>
              </w:rPr>
              <w:t> </w:t>
            </w:r>
          </w:p>
        </w:tc>
        <w:tc>
          <w:tcPr>
            <w:tcW w:w="872"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Semibold;sans-serif" w:hAnsi="Graphik Semibold;sans-serif"/>
                <w:b/>
                <w:color w:val="1D1D1D"/>
                <w:sz w:val="16"/>
              </w:rPr>
            </w:pPr>
            <w:r>
              <w:rPr>
                <w:rFonts w:ascii="Graphik Semibold;sans-serif" w:hAnsi="Graphik Semibold;sans-serif"/>
                <w:b/>
                <w:color w:val="1D1D1D"/>
                <w:sz w:val="16"/>
              </w:rPr>
              <w:t>1.4</w:t>
            </w:r>
          </w:p>
        </w:tc>
        <w:tc>
          <w:tcPr>
            <w:tcW w:w="37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Less than 1%</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(1)Unless otherwise indicated, includes shares owned by a spouse, minor children and relatives sharing the same home, as well as entities owned or controlled by the named person. Unless otherwise indicated, shares are owned of record and beneficially by the named person.</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(2)Based on a Schedule 13G/A filed on July 8, 2024, BlackRock, Inc. has sole voting power with respect to 7,425,834 shares and sole dispositive power with respect to 7,793,059 shares of our common stock. The address of BlackRock, Inc. is 50 Hudson Yards, New York, NY 10001.</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(3)Based on a Schedule 13G/A filed on October 2, 2024, entities affiliated with The Vanguard Group have shared voting power with respect to 52,624 shares, sole dispositive power with respect to 7,605,687 shares, and shared dispositive power with respect to 142,827 shares of our common stock. The address of The Vanguard Group is 100 Vanguard Blvd., Malvern, PA 19355.</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(4)Based on a Schedule 13G/A filed on February 12, 2025, Artisan Partners Limited Partnership has shared voting power with respect to 5,402,362 shares and shared dispositive power with respect to 6,599,264 shares of our common stock. The address of Artisan Partners Limited Partnership is 875 E. Wisconsin Ave., Milwaukee, WI 53202.</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(5)Based on a Schedule 13G/A filed on January 1, 2025, ARK Investment Management LLC has sole voting power with respect to 4,767,185 shares, shared voting power with respect to 99,867 shares and sole dispositive power with respect to 4,920,745 shares of our common stock. The address of ARK Investment Management LLC is 200 Central Avenue, St. Petersburg, FL 33701.</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(6)Based on a Schedule 13G/A filed on November 8, 2025, Wellington Management Group LLP has shared voting power with respect to 3,159,329 shares and shared dispositive power with respect to 4,232,844 shares of our common stock. The address of Wellington Management Group LLP is 280 Congress Street, Boston, MA 02210.</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(7)Consists of (i) 125,909 shares of our common stock held by Mr. Stapley, and (ii) options to purchase 286,539 shares of our common stock held by Mr. Stapley that are exercisable within 60 days of March 31, 2025.</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(8)Consists of (i) 38,712 shares of our common stock held by Ms. Chambers, and (ii) options to purchase 150,832 shares of our common stock held by Ms. Chambers that are exercisable within 60 days of March 31, 2025.</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(9)Consists of (i) 16,048 shares of our common stock held by Dr. Febbo, and (ii) options to purchase 33,985 shares of our common stock held by Dr. Febbo that are exercisable within 60 days of March 31, 2025.</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(10)Consists of (i) 8,521 shares of our common stock held by Dr. Leite, and (ii) options to purchase 42,382 shares of our common stock held by Dr. Leite that are exercisable within 60 days of March 31, 2025</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(11)Consists of (i) 13,693 shares of our common stock held by Ms. McGuire, and (ii) options to purchase 71,055 shares of our common stock held by Ms. McGuire that are exercisable within 60 days of March 31, 2025.</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(12)Consists of (i) 23,488 shares of our common stock held by Dr. Barr.</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(13)Consists of (i) 23,105 shares of our common stock held by Ms. Bhanji.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660400"/>
                <wp:effectExtent l="0" t="0" r="0" b="0"/>
                <wp:wrapNone/>
                <wp:docPr id="176" name="Frame4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Security Ownership of Certain Beneficial Owners and Management</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(14)Consists of (i) 7,024 shares of our common stock held by Ms. Eastham, and (ii) options to purchase 40,000 shares of our common stock held by Ms. Eastham that are exercisable within 60 days of March 31, 2025.</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(15)Consists of (i) 53,125 shares of our common stock held by Dr. Epstein, and (ii) options to purchase 40,000 shares of our common stock held by Dr. Epstein that are exercisable within 60 days of March 31, 2025.</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(16)Consists of (i) 22,870 shares of our common stock held by Mr. Jones, (ii) options to purchase 50,000 shares of our common stock held by Mr. Jones that are exercisable within 60 days of March 31, 2025.</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(17)Consists of (i) 16,405 shares of our common stock held by Mr. Holstein, and (ii) options to purchase 35,000 shares of our common stock held by Mr. Holstein that are exercisable within 60 days of March 31, 2025.</w:t>
      </w:r>
    </w:p>
    <w:p>
      <w:pPr>
        <w:pStyle w:val="TextBody"/>
        <w:bidi w:val="0"/>
        <w:spacing w:lineRule="auto" w:line="300" w:before="0" w:after="24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(18)Consists of (i) 348,900 shares of our common stock, and (ii) options to purchase 749,793 shares of our common stock that are exercisable within 60 days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660400"/>
                <wp:effectExtent l="0" t="0" r="0" b="0"/>
                <wp:wrapNone/>
                <wp:docPr id="177" name="Frame4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7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0" descr=""/>
                          <pic:cNvPicPr>
                            <a:picLocks noChangeAspect="1" noChangeArrowheads="1"/>
                          </pic:cNvPicPr>
                        </pic:nvPicPr>
                        <pic:blipFill>
                          <a:blip r:embed="rId131"/>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Executive Officers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names of our executive officers, their ages and their positions as of April 21, 2025 are shown below:</w:t>
      </w:r>
    </w:p>
    <w:tbl>
      <w:tblPr>
        <w:tblW w:w="7104" w:type="dxa"/>
        <w:jc w:val="left"/>
        <w:tblInd w:w="0" w:type="dxa"/>
        <w:tblLayout w:type="fixed"/>
        <w:tblCellMar>
          <w:top w:w="28" w:type="dxa"/>
          <w:left w:w="28" w:type="dxa"/>
          <w:bottom w:w="28" w:type="dxa"/>
          <w:right w:w="28" w:type="dxa"/>
        </w:tblCellMar>
      </w:tblPr>
      <w:tblGrid>
        <w:gridCol w:w="124"/>
        <w:gridCol w:w="109"/>
        <w:gridCol w:w="109"/>
        <w:gridCol w:w="612"/>
        <w:gridCol w:w="612"/>
        <w:gridCol w:w="620"/>
        <w:gridCol w:w="155"/>
        <w:gridCol w:w="155"/>
        <w:gridCol w:w="156"/>
        <w:gridCol w:w="1354"/>
        <w:gridCol w:w="1354"/>
        <w:gridCol w:w="13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4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Age</w:t>
            </w:r>
          </w:p>
        </w:tc>
        <w:tc>
          <w:tcPr>
            <w:tcW w:w="408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Position</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46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55</w:t>
            </w:r>
          </w:p>
        </w:tc>
        <w:tc>
          <w:tcPr>
            <w:tcW w:w="4080"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Chief Executive Officer and Director</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47</w:t>
            </w:r>
          </w:p>
        </w:tc>
        <w:tc>
          <w:tcPr>
            <w:tcW w:w="40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Chief Financial Officer</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58</w:t>
            </w:r>
          </w:p>
        </w:tc>
        <w:tc>
          <w:tcPr>
            <w:tcW w:w="40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Chief Scientific Officer and Chief Medical Officer</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53</w:t>
            </w:r>
          </w:p>
        </w:tc>
        <w:tc>
          <w:tcPr>
            <w:tcW w:w="40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Global Chief Commercial Officer</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46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45</w:t>
            </w:r>
          </w:p>
        </w:tc>
        <w:tc>
          <w:tcPr>
            <w:tcW w:w="4080"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General Counsel and Chief People Officer</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Executive Officer Information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For information regarding Mr. Stapley, please refer to “Proposal No. 1- Election of Directors.”</w:t>
      </w:r>
    </w:p>
    <w:tbl>
      <w:tblPr>
        <w:tblW w:w="10205" w:type="dxa"/>
        <w:jc w:val="left"/>
        <w:tblInd w:w="0" w:type="dxa"/>
        <w:tblLayout w:type="fixed"/>
        <w:tblCellMar>
          <w:top w:w="28" w:type="dxa"/>
          <w:left w:w="28" w:type="dxa"/>
          <w:bottom w:w="28" w:type="dxa"/>
          <w:right w:w="28" w:type="dxa"/>
        </w:tblCellMar>
      </w:tblPr>
      <w:tblGrid>
        <w:gridCol w:w="298"/>
        <w:gridCol w:w="262"/>
        <w:gridCol w:w="262"/>
        <w:gridCol w:w="553"/>
        <w:gridCol w:w="553"/>
        <w:gridCol w:w="554"/>
        <w:gridCol w:w="262"/>
        <w:gridCol w:w="262"/>
        <w:gridCol w:w="264"/>
        <w:gridCol w:w="109"/>
        <w:gridCol w:w="109"/>
        <w:gridCol w:w="109"/>
        <w:gridCol w:w="1933"/>
        <w:gridCol w:w="1933"/>
        <w:gridCol w:w="27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3270"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17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1" descr=""/>
                          <pic:cNvPicPr>
                            <a:picLocks noChangeAspect="1" noChangeArrowheads="1"/>
                          </pic:cNvPicPr>
                        </pic:nvPicPr>
                        <pic:blipFill>
                          <a:blip r:embed="rId132"/>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shd w:fill="FFFFFF" w:val="clear"/>
              </w:rPr>
              <w:t>Rebecca Chambers</w:t>
            </w:r>
            <w:r>
              <w:rPr>
                <w:color w:val="1D1D1D"/>
                <w:shd w:fill="FFFFFF" w:val="clear"/>
              </w:rPr>
              <w:t xml:space="preserve"> </w:t>
            </w:r>
            <w:r>
              <w:rPr>
                <w:rFonts w:ascii="Graphik Light;sans-serif" w:hAnsi="Graphik Light;sans-serif"/>
                <w:b w:val="false"/>
                <w:color w:val="1D1D1D"/>
                <w:sz w:val="18"/>
                <w:shd w:fill="FFFFFF" w:val="clear"/>
              </w:rPr>
              <w:t>ha</w:t>
            </w:r>
            <w:r>
              <w:rPr>
                <w:rFonts w:ascii="Graphik Light;sans-serif" w:hAnsi="Graphik Light;sans-serif"/>
                <w:b w:val="false"/>
                <w:color w:val="1D1D1D"/>
                <w:sz w:val="18"/>
              </w:rPr>
              <w:t>s served as our Chief Financial Officer since July 2021. Prior to her appointment, Ms. Chambers served as Chief Financial Officer of Outset Medical, Inc., a medical technology company, from 2019 to 2021. Prior to that, Ms. Chambers served in a number of roles at Illumina, Inc., a genetic tools company, including as the Vice President, Financial Planning and Analysis from 2017 to 2019, as Vice President, Investor Relations and Treasury from 2015 to 2017, and as Senior Director, Investor Relations from 2012 to 2015. Previously, Ms. Chambers served as Head of Investor Relations and Corporate Communications at Myriad Genetics, Inc., a molecular diagnostic company, from 2011 to 2012, and Senior Manager, Investor Relations at Life Technologies, Inc., a biotechnology company, from 2009 to 2010. She also previously held positions with Bank of America, a financial services company, and Millennium Pharmaceuticals, a biopharmaceutical company. Ms. Chambers previously served on the board of Inari Medical, Inc. from 2021 until its acquisition by Stryker in February 2025. Ms. Chambers holds a B.S. from John Carroll University and an M.B.A. from The S.C. Johnson Graduate School of Management, Cornell University.</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REBECCA CHAMBERS</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47</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at Veracyte: </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Chief Financial Officer</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Held Since: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July 2021</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660400"/>
                <wp:effectExtent l="0" t="0" r="0" b="0"/>
                <wp:wrapNone/>
                <wp:docPr id="180" name="Frame4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Officers</w:t>
      </w:r>
    </w:p>
    <w:tbl>
      <w:tblPr>
        <w:tblW w:w="10205" w:type="dxa"/>
        <w:jc w:val="left"/>
        <w:tblInd w:w="0" w:type="dxa"/>
        <w:tblLayout w:type="fixed"/>
        <w:tblCellMar>
          <w:top w:w="28" w:type="dxa"/>
          <w:left w:w="28" w:type="dxa"/>
          <w:bottom w:w="28" w:type="dxa"/>
          <w:right w:w="28" w:type="dxa"/>
        </w:tblCellMar>
      </w:tblPr>
      <w:tblGrid>
        <w:gridCol w:w="298"/>
        <w:gridCol w:w="262"/>
        <w:gridCol w:w="262"/>
        <w:gridCol w:w="402"/>
        <w:gridCol w:w="402"/>
        <w:gridCol w:w="403"/>
        <w:gridCol w:w="262"/>
        <w:gridCol w:w="262"/>
        <w:gridCol w:w="264"/>
        <w:gridCol w:w="109"/>
        <w:gridCol w:w="109"/>
        <w:gridCol w:w="109"/>
        <w:gridCol w:w="2068"/>
        <w:gridCol w:w="2068"/>
        <w:gridCol w:w="2925"/>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2817"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18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2" descr=""/>
                          <pic:cNvPicPr>
                            <a:picLocks noChangeAspect="1" noChangeArrowheads="1"/>
                          </pic:cNvPicPr>
                        </pic:nvPicPr>
                        <pic:blipFill>
                          <a:blip r:embed="rId133"/>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Phillip Febbo, M.D.</w:t>
            </w:r>
            <w:r>
              <w:rPr>
                <w:rFonts w:ascii="Graphik Light;sans-serif" w:hAnsi="Graphik Light;sans-serif"/>
                <w:b w:val="false"/>
                <w:color w:val="1D1D1D"/>
                <w:sz w:val="18"/>
              </w:rPr>
              <w:t>, has served as our Chief Scientific Officer and Chief Medical Officer since October 2023. Previously, Dr. Febbo was the Chief Medical Officer at Illumina, Inc. from 2018 to 2023. Immediately before joining Illumina, Inc., Dr. Febbo served as CMO of Genomic Health, Inc. from 2013 to 2018. Earlier in his career, Dr. Febbo was a Professor of Medicine and Urology at the University of California, San Francisco. Dr. Febbo currently serves on the board of the Regan Udall Foundation for the FDA. Dr. Febbo previously served on the board of the American College of Medical Genetics and Genomics Foundation from 2018 to 2023 and as a Director on the board of Varian Medical Systems, Inc. from 2019 to 2021. Dr. Febbo holds a B.A. in Biology from Dartmouth College and an M.D. from UCSF. He completed his internal medicine residency at the Brigham and Women’s Hospital and his fellowship in oncology at the Dana-Farber Cancer Institute. While an Attending Physician in the Genitourinary Oncology Center at Dana-Farber and Instructor at Harvard Medical School, he spent five years as a post-doctoral fellow in Dr. Todd Golub’s laboratory at Dana-Farber and the Whitehead Institute Center for Genomic Research of the Massachusetts Institute of Technology (now the Broad Institute).</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PHILLIP FEBBO</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58</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at Veracyte: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Chief Scientific Officer</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Chief Medical Officer</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Held Since: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October 2023</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98"/>
        <w:gridCol w:w="262"/>
        <w:gridCol w:w="262"/>
        <w:gridCol w:w="558"/>
        <w:gridCol w:w="378"/>
        <w:gridCol w:w="311"/>
        <w:gridCol w:w="262"/>
        <w:gridCol w:w="262"/>
        <w:gridCol w:w="264"/>
        <w:gridCol w:w="109"/>
        <w:gridCol w:w="109"/>
        <w:gridCol w:w="109"/>
        <w:gridCol w:w="2054"/>
        <w:gridCol w:w="2054"/>
        <w:gridCol w:w="291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r>
      <w:tr>
        <w:trPr/>
        <w:tc>
          <w:tcPr>
            <w:tcW w:w="2857"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18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3" descr=""/>
                          <pic:cNvPicPr>
                            <a:picLocks noChangeAspect="1" noChangeArrowheads="1"/>
                          </pic:cNvPicPr>
                        </pic:nvPicPr>
                        <pic:blipFill>
                          <a:blip r:embed="rId134"/>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7"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John Leite, Ph.D</w:t>
            </w:r>
            <w:r>
              <w:rPr>
                <w:rFonts w:ascii="Graphik Semibold;sans-serif" w:hAnsi="Graphik Semibold;sans-serif"/>
                <w:b w:val="false"/>
                <w:color w:val="1D1D1D"/>
                <w:sz w:val="18"/>
              </w:rPr>
              <w:t>.</w:t>
            </w:r>
            <w:r>
              <w:rPr>
                <w:rFonts w:ascii="Graphik Light;sans-serif" w:hAnsi="Graphik Light;sans-serif"/>
                <w:b w:val="false"/>
                <w:color w:val="1D1D1D"/>
                <w:sz w:val="18"/>
              </w:rPr>
              <w:t>, has served as our Global Chief Commercial Officer since November 2024. Dr. Leite joined Veracyte in September 2022 as Senior Vice President, General Manager, Pulmonology &amp; Market Access and was promoted to Chief Commercial Officer, CLIA in September 2023. Dr. Leite leads all aspects of our diagnostic tests that are performed in our CLIA laboratories in the U.S. and sold as IVD kits outside the U.S. This includes market development, product marketing, reimbursement and sales. From 2020 to 2022, Dr. Leite served as Chief Business Officer for Venn Biosciences Corporation dba Intervene Biosciences, a private-stage diagnostics company, where he was responsible for the company’s commercial, partnership and market access strategy. From 2014 to 2020, Dr. Leite held various leadership positions at Illumina, Inc., where he initially served as Vice President, Oncology, Market Development and Product Development, and then as Vice President, Clinical Business Development. Previously, Dr. Leite served as Vice President of Commercial Strategy and Market Access at Genoptix Medical Laboratories. Dr. Leite holds a B.S. in Biochemistry from Rutgers University and a Ph.D. in Biochemistry and Molecular Genetics from the University of Pittsburgh School of Medicine. In addition, he completed post-doctoral work as a National Research Service Award Fellow at the California Institute of Technology.</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JOHN LEITE</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53</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at Veracyte: </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Global Chief Commercial Officer</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Held Since: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November 2024</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660400"/>
                <wp:effectExtent l="0" t="0" r="0" b="0"/>
                <wp:wrapNone/>
                <wp:docPr id="183" name="Frame5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Officers</w:t>
      </w:r>
    </w:p>
    <w:tbl>
      <w:tblPr>
        <w:tblW w:w="10205" w:type="dxa"/>
        <w:jc w:val="left"/>
        <w:tblInd w:w="0" w:type="dxa"/>
        <w:tblLayout w:type="fixed"/>
        <w:tblCellMar>
          <w:top w:w="28" w:type="dxa"/>
          <w:left w:w="28" w:type="dxa"/>
          <w:bottom w:w="28" w:type="dxa"/>
          <w:right w:w="28" w:type="dxa"/>
        </w:tblCellMar>
      </w:tblPr>
      <w:tblGrid>
        <w:gridCol w:w="298"/>
        <w:gridCol w:w="262"/>
        <w:gridCol w:w="262"/>
        <w:gridCol w:w="471"/>
        <w:gridCol w:w="471"/>
        <w:gridCol w:w="472"/>
        <w:gridCol w:w="262"/>
        <w:gridCol w:w="262"/>
        <w:gridCol w:w="264"/>
        <w:gridCol w:w="109"/>
        <w:gridCol w:w="109"/>
        <w:gridCol w:w="109"/>
        <w:gridCol w:w="2006"/>
        <w:gridCol w:w="2006"/>
        <w:gridCol w:w="28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r>
      <w:tr>
        <w:trPr/>
        <w:tc>
          <w:tcPr>
            <w:tcW w:w="3024" w:type="dxa"/>
            <w:gridSpan w:val="9"/>
            <w:vMerge w:val="restart"/>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457325" cy="1457325"/>
                  <wp:effectExtent l="0" t="0" r="0" b="0"/>
                  <wp:docPr id="18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4" descr=""/>
                          <pic:cNvPicPr>
                            <a:picLocks noChangeAspect="1" noChangeArrowheads="1"/>
                          </pic:cNvPicPr>
                        </pic:nvPicPr>
                        <pic:blipFill>
                          <a:blip r:embed="rId135"/>
                          <a:stretch>
                            <a:fillRect/>
                          </a:stretch>
                        </pic:blipFill>
                        <pic:spPr bwMode="auto">
                          <a:xfrm>
                            <a:off x="0" y="0"/>
                            <a:ext cx="1457325" cy="1457325"/>
                          </a:xfrm>
                          <a:prstGeom prst="rect">
                            <a:avLst/>
                          </a:prstGeom>
                        </pic:spPr>
                      </pic:pic>
                    </a:graphicData>
                  </a:graphic>
                </wp:inline>
              </w:drawing>
            </w:r>
          </w:p>
        </w:tc>
        <w:tc>
          <w:tcPr>
            <w:tcW w:w="327"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tcBorders>
              <w:top w:val="single" w:sz="24" w:space="0" w:color="005CB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9"/>
            <w:vMerge w:val="continue"/>
            <w:tcBorders>
              <w:top w:val="single" w:sz="24" w:space="0" w:color="005CBA"/>
            </w:tcBorders>
            <w:shd w:fill="D1ECF7" w:val="clear"/>
            <w:tcMar>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vMerge w:val="restart"/>
            <w:tcBorders/>
            <w:tcMar>
              <w:top w:w="0" w:type="dxa"/>
              <w:left w:w="0" w:type="dxa"/>
              <w:bottom w:w="0" w:type="dxa"/>
              <w:right w:w="0" w:type="dxa"/>
            </w:tcMar>
            <w:vAlign w:val="center"/>
          </w:tcPr>
          <w:p>
            <w:pPr>
              <w:pStyle w:val="TableContents"/>
              <w:bidi w:val="0"/>
              <w:spacing w:lineRule="auto" w:line="336" w:before="0" w:after="180"/>
              <w:jc w:val="left"/>
              <w:rPr/>
            </w:pPr>
            <w:r>
              <w:rPr>
                <w:rFonts w:ascii="Graphik Semibold;sans-serif" w:hAnsi="Graphik Semibold;sans-serif"/>
                <w:b/>
                <w:color w:val="1D1D1D"/>
                <w:sz w:val="18"/>
              </w:rPr>
              <w:t>Annie McGuire</w:t>
            </w:r>
            <w:r>
              <w:rPr>
                <w:color w:val="1D1D1D"/>
              </w:rPr>
              <w:t xml:space="preserve"> </w:t>
            </w:r>
            <w:r>
              <w:rPr>
                <w:rFonts w:ascii="Graphik Light;sans-serif" w:hAnsi="Graphik Light;sans-serif"/>
                <w:b w:val="false"/>
                <w:color w:val="1D1D1D"/>
                <w:sz w:val="18"/>
              </w:rPr>
              <w:t>has served as our General Counsel since February 2022 and our General Counsel and Chief People Officer since January 2023. Prior to joining Veracyte, Ms. McGuire served as General Counsel and Corporate Secretary at Rakuten Medical, Inc., a biotechnology company developing cellular therapies, from 2021 to 2022. Ms. McGuire previously served as Vice President, Legal at MyoKardia, Inc., a biotechnology company, from 2020 to 2021, through its acquisition by Bristol Myers Squibb. Prior to MyoKardia, Ms. McGuire served in several senior legal positions including executive compensation, employment, M&amp;A and healthcare, as well as serving as the head of compliance for the bone health and cardiovascular business unit, at Amgen, Inc., a global biopharmaceutical company, from 2007 to 2020. Ms. McGuire began her career as an associate at the law firm Proskauer Rose LLP in New York and is admitted to the New York Bar. Ms. McGuire holds a Bachelor’s degree from Pace University and a Juris Doctor from New York Law School.</w:t>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sans-serif" w:hAnsi="Graphik;sans-serif"/>
                <w:b/>
                <w:color w:val="FFFFFF"/>
                <w:sz w:val="24"/>
              </w:rPr>
            </w:pPr>
            <w:r>
              <w:rPr>
                <w:rFonts w:ascii="Graphik;sans-serif" w:hAnsi="Graphik;sans-serif"/>
                <w:b/>
                <w:color w:val="FFFFFF"/>
                <w:sz w:val="24"/>
              </w:rPr>
              <w:t>ANNIE MCGUIRE</w:t>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Medium;sans-serif" w:hAnsi="Graphik Medium;sans-serif"/>
                <w:b/>
                <w:color w:val="1D1D1D"/>
                <w:sz w:val="18"/>
              </w:rPr>
              <w:t>Age:</w:t>
            </w:r>
            <w:r>
              <w:rPr>
                <w:color w:val="1D1D1D"/>
              </w:rPr>
              <w:t xml:space="preserve"> </w:t>
            </w:r>
            <w:r>
              <w:rPr>
                <w:rFonts w:ascii="Graphik Light;sans-serif" w:hAnsi="Graphik Light;sans-serif"/>
                <w:b w:val="false"/>
                <w:color w:val="1D1D1D"/>
                <w:sz w:val="18"/>
              </w:rPr>
              <w:t>45</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at Veracyte: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General Counsel</w:t>
            </w:r>
          </w:p>
          <w:p>
            <w:pPr>
              <w:pStyle w:val="TableContents"/>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Chief People Officer</w:t>
            </w:r>
          </w:p>
          <w:p>
            <w:pPr>
              <w:pStyle w:val="TableContents"/>
              <w:bidi w:val="0"/>
              <w:spacing w:lineRule="auto" w:line="336" w:before="0" w:after="40"/>
              <w:jc w:val="left"/>
              <w:rPr>
                <w:rFonts w:ascii="Graphik Medium;sans-serif" w:hAnsi="Graphik Medium;sans-serif"/>
                <w:b/>
                <w:color w:val="1D1D1D"/>
                <w:sz w:val="18"/>
              </w:rPr>
            </w:pPr>
            <w:r>
              <w:rPr>
                <w:rFonts w:ascii="Graphik Medium;sans-serif" w:hAnsi="Graphik Medium;sans-serif"/>
                <w:b/>
                <w:color w:val="1D1D1D"/>
                <w:sz w:val="18"/>
              </w:rPr>
              <w:t xml:space="preserve">Position(s) Held Since: </w:t>
            </w:r>
          </w:p>
          <w:p>
            <w:pPr>
              <w:pStyle w:val="TableContents"/>
              <w:bidi w:val="0"/>
              <w:spacing w:lineRule="auto" w:line="336" w:before="0" w:after="40"/>
              <w:jc w:val="left"/>
              <w:rPr>
                <w:rFonts w:ascii="Graphik Light;sans-serif" w:hAnsi="Graphik Light;sans-serif"/>
                <w:b w:val="false"/>
                <w:color w:val="1D1D1D"/>
                <w:sz w:val="18"/>
              </w:rPr>
            </w:pPr>
            <w:r>
              <w:rPr>
                <w:rFonts w:ascii="Graphik Light;sans-serif" w:hAnsi="Graphik Light;sans-serif"/>
                <w:b w:val="false"/>
                <w:color w:val="1D1D1D"/>
                <w:sz w:val="18"/>
              </w:rPr>
              <w:t>January 2023</w:t>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660400"/>
                <wp:effectExtent l="0" t="0" r="0" b="0"/>
                <wp:wrapNone/>
                <wp:docPr id="185" name="Frame5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45</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18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5" descr=""/>
                          <pic:cNvPicPr>
                            <a:picLocks noChangeAspect="1" noChangeArrowheads="1"/>
                          </pic:cNvPicPr>
                        </pic:nvPicPr>
                        <pic:blipFill>
                          <a:blip r:embed="rId136"/>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Compensation Discussion and Analysis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Compensation Discussion and Analysis (“CD&amp;A”) provides an overview of our executive compensation philosophy, the objectives of our executive compensation program and each compensation component that we provide. In addition, we explain how and why our Compensation Committee arrived at specific compensation policies and decisions involving our NEOs for the year ended December 31, 2024. This CD&amp;A is intended to be read in conjunction with the immediately following tables, which include historical context of pay.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executive officers constituted our named executive officers (“NEOs”) for the year ended December 31, 2024:</w:t>
      </w:r>
    </w:p>
    <w:tbl>
      <w:tblPr>
        <w:tblW w:w="13839" w:type="dxa"/>
        <w:jc w:val="center"/>
        <w:tblInd w:w="0" w:type="dxa"/>
        <w:tblLayout w:type="fixed"/>
        <w:tblCellMar>
          <w:top w:w="28" w:type="dxa"/>
          <w:left w:w="28" w:type="dxa"/>
          <w:bottom w:w="28" w:type="dxa"/>
          <w:right w:w="28" w:type="dxa"/>
        </w:tblCellMar>
      </w:tblPr>
      <w:tblGrid>
        <w:gridCol w:w="244"/>
        <w:gridCol w:w="214"/>
        <w:gridCol w:w="214"/>
        <w:gridCol w:w="355"/>
        <w:gridCol w:w="355"/>
        <w:gridCol w:w="356"/>
        <w:gridCol w:w="214"/>
        <w:gridCol w:w="214"/>
        <w:gridCol w:w="219"/>
        <w:gridCol w:w="109"/>
        <w:gridCol w:w="109"/>
        <w:gridCol w:w="109"/>
        <w:gridCol w:w="232"/>
        <w:gridCol w:w="232"/>
        <w:gridCol w:w="232"/>
        <w:gridCol w:w="445"/>
        <w:gridCol w:w="445"/>
        <w:gridCol w:w="446"/>
        <w:gridCol w:w="232"/>
        <w:gridCol w:w="232"/>
        <w:gridCol w:w="240"/>
        <w:gridCol w:w="109"/>
        <w:gridCol w:w="109"/>
        <w:gridCol w:w="109"/>
        <w:gridCol w:w="224"/>
        <w:gridCol w:w="224"/>
        <w:gridCol w:w="224"/>
        <w:gridCol w:w="325"/>
        <w:gridCol w:w="325"/>
        <w:gridCol w:w="326"/>
        <w:gridCol w:w="224"/>
        <w:gridCol w:w="224"/>
        <w:gridCol w:w="229"/>
        <w:gridCol w:w="109"/>
        <w:gridCol w:w="109"/>
        <w:gridCol w:w="109"/>
        <w:gridCol w:w="232"/>
        <w:gridCol w:w="232"/>
        <w:gridCol w:w="232"/>
        <w:gridCol w:w="395"/>
        <w:gridCol w:w="395"/>
        <w:gridCol w:w="396"/>
        <w:gridCol w:w="232"/>
        <w:gridCol w:w="232"/>
        <w:gridCol w:w="240"/>
        <w:gridCol w:w="109"/>
        <w:gridCol w:w="109"/>
        <w:gridCol w:w="109"/>
        <w:gridCol w:w="211"/>
        <w:gridCol w:w="211"/>
        <w:gridCol w:w="211"/>
        <w:gridCol w:w="380"/>
        <w:gridCol w:w="380"/>
        <w:gridCol w:w="381"/>
        <w:gridCol w:w="211"/>
        <w:gridCol w:w="211"/>
        <w:gridCol w:w="303"/>
      </w:tblGrid>
      <w:tr>
        <w:trPr/>
        <w:tc>
          <w:tcPr>
            <w:tcW w:w="2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385" w:type="dxa"/>
            <w:gridSpan w:val="9"/>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181100" cy="1181100"/>
                  <wp:effectExtent l="0" t="0" r="0" b="0"/>
                  <wp:docPr id="18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36" descr=""/>
                          <pic:cNvPicPr>
                            <a:picLocks noChangeAspect="1" noChangeArrowheads="1"/>
                          </pic:cNvPicPr>
                        </pic:nvPicPr>
                        <pic:blipFill>
                          <a:blip r:embed="rId137"/>
                          <a:stretch>
                            <a:fillRect/>
                          </a:stretch>
                        </pic:blipFill>
                        <pic:spPr bwMode="auto">
                          <a:xfrm>
                            <a:off x="0" y="0"/>
                            <a:ext cx="1181100" cy="11811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276350" cy="1276350"/>
                  <wp:effectExtent l="0" t="0" r="0" b="0"/>
                  <wp:docPr id="18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7" descr=""/>
                          <pic:cNvPicPr>
                            <a:picLocks noChangeAspect="1" noChangeArrowheads="1"/>
                          </pic:cNvPicPr>
                        </pic:nvPicPr>
                        <pic:blipFill>
                          <a:blip r:embed="rId138"/>
                          <a:stretch>
                            <a:fillRect/>
                          </a:stretch>
                        </pic:blipFill>
                        <pic:spPr bwMode="auto">
                          <a:xfrm>
                            <a:off x="0" y="0"/>
                            <a:ext cx="1276350" cy="12763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228725" cy="1228725"/>
                  <wp:effectExtent l="0" t="0" r="0" b="0"/>
                  <wp:docPr id="18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38" descr=""/>
                          <pic:cNvPicPr>
                            <a:picLocks noChangeAspect="1" noChangeArrowheads="1"/>
                          </pic:cNvPicPr>
                        </pic:nvPicPr>
                        <pic:blipFill>
                          <a:blip r:embed="rId139"/>
                          <a:stretch>
                            <a:fillRect/>
                          </a:stretch>
                        </pic:blipFill>
                        <pic:spPr bwMode="auto">
                          <a:xfrm>
                            <a:off x="0" y="0"/>
                            <a:ext cx="1228725" cy="12287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276350" cy="1276350"/>
                  <wp:effectExtent l="0" t="0" r="0" b="0"/>
                  <wp:docPr id="19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39" descr=""/>
                          <pic:cNvPicPr>
                            <a:picLocks noChangeAspect="1" noChangeArrowheads="1"/>
                          </pic:cNvPicPr>
                        </pic:nvPicPr>
                        <pic:blipFill>
                          <a:blip r:embed="rId140"/>
                          <a:stretch>
                            <a:fillRect/>
                          </a:stretch>
                        </pic:blipFill>
                        <pic:spPr bwMode="auto">
                          <a:xfrm>
                            <a:off x="0" y="0"/>
                            <a:ext cx="1276350" cy="12763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24" w:space="0" w:color="005CBA"/>
            </w:tcBorders>
            <w:shd w:fill="D1ECF7" w:val="clear"/>
            <w:tcMar>
              <w:left w:w="0" w:type="dxa"/>
              <w:bottom w:w="0" w:type="dxa"/>
              <w:right w:w="0" w:type="dxa"/>
            </w:tcMar>
            <w:vAlign w:val="center"/>
          </w:tcPr>
          <w:p>
            <w:pPr>
              <w:pStyle w:val="TableContents"/>
              <w:bidi w:val="0"/>
              <w:spacing w:before="0" w:after="0"/>
              <w:jc w:val="center"/>
              <w:rPr/>
            </w:pPr>
            <w:r>
              <w:rPr/>
              <w:drawing>
                <wp:inline distT="0" distB="0" distL="0" distR="0">
                  <wp:extent cx="1181100" cy="1181100"/>
                  <wp:effectExtent l="0" t="0" r="0" b="0"/>
                  <wp:docPr id="19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0" descr=""/>
                          <pic:cNvPicPr>
                            <a:picLocks noChangeAspect="1" noChangeArrowheads="1"/>
                          </pic:cNvPicPr>
                        </pic:nvPicPr>
                        <pic:blipFill>
                          <a:blip r:embed="rId141"/>
                          <a:stretch>
                            <a:fillRect/>
                          </a:stretch>
                        </pic:blipFill>
                        <pic:spPr bwMode="auto">
                          <a:xfrm>
                            <a:off x="0" y="0"/>
                            <a:ext cx="1181100" cy="1181100"/>
                          </a:xfrm>
                          <a:prstGeom prst="rect">
                            <a:avLst/>
                          </a:prstGeom>
                        </pic:spPr>
                      </pic:pic>
                    </a:graphicData>
                  </a:graphic>
                </wp:inline>
              </w:drawing>
            </w:r>
          </w:p>
        </w:tc>
      </w:tr>
      <w:tr>
        <w:trPr/>
        <w:tc>
          <w:tcPr>
            <w:tcW w:w="6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lineRule="auto" w:line="288" w:before="0" w:after="40"/>
              <w:jc w:val="left"/>
              <w:rPr>
                <w:rFonts w:ascii="Graphik;sans-serif" w:hAnsi="Graphik;sans-serif"/>
                <w:b/>
                <w:color w:val="FFFFFF"/>
                <w:sz w:val="20"/>
              </w:rPr>
            </w:pPr>
            <w:r>
              <w:rPr>
                <w:rFonts w:ascii="Graphik;sans-serif" w:hAnsi="Graphik;sans-serif"/>
                <w:b/>
                <w:color w:val="FFFFFF"/>
                <w:sz w:val="20"/>
              </w:rPr>
              <w:t>MARC STAPLEY</w:t>
            </w:r>
          </w:p>
          <w:p>
            <w:pPr>
              <w:pStyle w:val="TableContents"/>
              <w:bidi w:val="0"/>
              <w:spacing w:lineRule="auto" w:line="336" w:before="0" w:after="90"/>
              <w:jc w:val="left"/>
              <w:rPr>
                <w:rFonts w:ascii="Graphik Medium;sans-serif" w:hAnsi="Graphik Medium;sans-serif"/>
                <w:b/>
                <w:color w:val="FFFFFF"/>
                <w:sz w:val="16"/>
              </w:rPr>
            </w:pPr>
            <w:r>
              <w:rPr>
                <w:rFonts w:ascii="Graphik Medium;sans-serif" w:hAnsi="Graphik Medium;sans-serif"/>
                <w:b/>
                <w:color w:val="FFFFFF"/>
                <w:sz w:val="16"/>
              </w:rPr>
              <w:t>Chief Executive Officer and Director</w:t>
            </w:r>
          </w:p>
        </w:tc>
        <w:tc>
          <w:tcPr>
            <w:tcW w:w="6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005CBA" w:val="clear"/>
            <w:tcMar>
              <w:top w:w="0" w:type="dxa"/>
              <w:left w:w="0" w:type="dxa"/>
              <w:bottom w:w="0" w:type="dxa"/>
              <w:right w:w="0" w:type="dxa"/>
            </w:tcMar>
            <w:vAlign w:val="center"/>
          </w:tcPr>
          <w:p>
            <w:pPr>
              <w:pStyle w:val="TableContents"/>
              <w:bidi w:val="0"/>
              <w:spacing w:lineRule="auto" w:line="288" w:before="0" w:after="40"/>
              <w:jc w:val="left"/>
              <w:rPr>
                <w:rFonts w:ascii="Graphik;sans-serif" w:hAnsi="Graphik;sans-serif"/>
                <w:b/>
                <w:color w:val="FFFFFF"/>
                <w:sz w:val="20"/>
              </w:rPr>
            </w:pPr>
            <w:r>
              <w:rPr>
                <w:rFonts w:ascii="Graphik;sans-serif" w:hAnsi="Graphik;sans-serif"/>
                <w:b/>
                <w:color w:val="FFFFFF"/>
                <w:sz w:val="20"/>
              </w:rPr>
              <w:t>REBECCA CHAMBERS</w:t>
            </w:r>
          </w:p>
          <w:p>
            <w:pPr>
              <w:pStyle w:val="TableContents"/>
              <w:bidi w:val="0"/>
              <w:spacing w:lineRule="auto" w:line="336" w:before="0" w:after="90"/>
              <w:jc w:val="left"/>
              <w:rPr>
                <w:rFonts w:ascii="Graphik Medium;sans-serif" w:hAnsi="Graphik Medium;sans-serif"/>
                <w:b/>
                <w:color w:val="FFFFFF"/>
                <w:sz w:val="16"/>
              </w:rPr>
            </w:pPr>
            <w:r>
              <w:rPr>
                <w:rFonts w:ascii="Graphik Medium;sans-serif" w:hAnsi="Graphik Medium;sans-serif"/>
                <w:b/>
                <w:color w:val="FFFFFF"/>
                <w:sz w:val="16"/>
              </w:rPr>
              <w:t>Chief Financial Officer</w:t>
            </w:r>
          </w:p>
        </w:tc>
        <w:tc>
          <w:tcPr>
            <w:tcW w:w="7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005CBA" w:val="clear"/>
            <w:tcMar>
              <w:top w:w="0" w:type="dxa"/>
              <w:left w:w="0" w:type="dxa"/>
              <w:bottom w:w="0" w:type="dxa"/>
              <w:right w:w="0" w:type="dxa"/>
            </w:tcMar>
            <w:vAlign w:val="center"/>
          </w:tcPr>
          <w:p>
            <w:pPr>
              <w:pStyle w:val="TableContents"/>
              <w:bidi w:val="0"/>
              <w:spacing w:lineRule="auto" w:line="288" w:before="0" w:after="40"/>
              <w:jc w:val="left"/>
              <w:rPr>
                <w:rFonts w:ascii="Graphik;sans-serif" w:hAnsi="Graphik;sans-serif"/>
                <w:b/>
                <w:color w:val="FFFFFF"/>
                <w:sz w:val="20"/>
              </w:rPr>
            </w:pPr>
            <w:r>
              <w:rPr>
                <w:rFonts w:ascii="Graphik;sans-serif" w:hAnsi="Graphik;sans-serif"/>
                <w:b/>
                <w:color w:val="FFFFFF"/>
                <w:sz w:val="20"/>
              </w:rPr>
              <w:t>PHILLIP FEBBO</w:t>
            </w:r>
          </w:p>
          <w:p>
            <w:pPr>
              <w:pStyle w:val="TableContents"/>
              <w:bidi w:val="0"/>
              <w:spacing w:lineRule="auto" w:line="336" w:before="0" w:after="90"/>
              <w:jc w:val="left"/>
              <w:rPr>
                <w:rFonts w:ascii="Graphik Medium;sans-serif" w:hAnsi="Graphik Medium;sans-serif"/>
                <w:b/>
                <w:color w:val="FFFFFF"/>
                <w:sz w:val="16"/>
              </w:rPr>
            </w:pPr>
            <w:r>
              <w:rPr>
                <w:rFonts w:ascii="Graphik Medium;sans-serif" w:hAnsi="Graphik Medium;sans-serif"/>
                <w:b/>
                <w:color w:val="FFFFFF"/>
                <w:sz w:val="16"/>
              </w:rPr>
              <w:t>Chief Scientific Officer and Chief Medical Officer</w:t>
            </w:r>
          </w:p>
        </w:tc>
        <w:tc>
          <w:tcPr>
            <w:tcW w:w="6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005CBA" w:val="clear"/>
            <w:tcMar>
              <w:top w:w="0" w:type="dxa"/>
              <w:left w:w="0" w:type="dxa"/>
              <w:bottom w:w="0" w:type="dxa"/>
              <w:right w:w="0" w:type="dxa"/>
            </w:tcMar>
            <w:vAlign w:val="center"/>
          </w:tcPr>
          <w:p>
            <w:pPr>
              <w:pStyle w:val="TableContents"/>
              <w:bidi w:val="0"/>
              <w:spacing w:lineRule="auto" w:line="288" w:before="0" w:after="40"/>
              <w:jc w:val="left"/>
              <w:rPr>
                <w:rFonts w:ascii="Graphik;sans-serif" w:hAnsi="Graphik;sans-serif"/>
                <w:b/>
                <w:color w:val="FFFFFF"/>
                <w:sz w:val="20"/>
              </w:rPr>
            </w:pPr>
            <w:r>
              <w:rPr>
                <w:rFonts w:ascii="Graphik;sans-serif" w:hAnsi="Graphik;sans-serif"/>
                <w:b/>
                <w:color w:val="FFFFFF"/>
                <w:sz w:val="20"/>
              </w:rPr>
              <w:t>JOHN LEITE</w:t>
            </w:r>
          </w:p>
          <w:p>
            <w:pPr>
              <w:pStyle w:val="TableContents"/>
              <w:bidi w:val="0"/>
              <w:spacing w:lineRule="auto" w:line="336" w:before="0" w:after="90"/>
              <w:jc w:val="left"/>
              <w:rPr>
                <w:rFonts w:ascii="Graphik Medium;sans-serif" w:hAnsi="Graphik Medium;sans-serif"/>
                <w:b/>
                <w:color w:val="FFFFFF"/>
                <w:sz w:val="16"/>
              </w:rPr>
            </w:pPr>
            <w:r>
              <w:rPr>
                <w:rFonts w:ascii="Graphik Medium;sans-serif" w:hAnsi="Graphik Medium;sans-serif"/>
                <w:b/>
                <w:color w:val="FFFFFF"/>
                <w:sz w:val="16"/>
              </w:rPr>
              <w:t>Global Chief Commercial Officer</w:t>
            </w:r>
          </w:p>
        </w:tc>
        <w:tc>
          <w:tcPr>
            <w:tcW w:w="7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5CBA" w:val="clear"/>
            <w:tcMar>
              <w:top w:w="0" w:type="dxa"/>
              <w:left w:w="0" w:type="dxa"/>
              <w:bottom w:w="0" w:type="dxa"/>
              <w:right w:w="0" w:type="dxa"/>
            </w:tcMar>
            <w:vAlign w:val="center"/>
          </w:tcPr>
          <w:p>
            <w:pPr>
              <w:pStyle w:val="TableContents"/>
              <w:bidi w:val="0"/>
              <w:spacing w:lineRule="auto" w:line="288" w:before="0" w:after="40"/>
              <w:jc w:val="left"/>
              <w:rPr>
                <w:rFonts w:ascii="Graphik;sans-serif" w:hAnsi="Graphik;sans-serif"/>
                <w:b/>
                <w:color w:val="FFFFFF"/>
                <w:sz w:val="20"/>
              </w:rPr>
            </w:pPr>
            <w:r>
              <w:rPr>
                <w:rFonts w:ascii="Graphik;sans-serif" w:hAnsi="Graphik;sans-serif"/>
                <w:b/>
                <w:color w:val="FFFFFF"/>
                <w:sz w:val="20"/>
              </w:rPr>
              <w:t>ANNIE MCGUIRE</w:t>
            </w:r>
          </w:p>
          <w:p>
            <w:pPr>
              <w:pStyle w:val="TableContents"/>
              <w:bidi w:val="0"/>
              <w:spacing w:lineRule="auto" w:line="336" w:before="0" w:after="90"/>
              <w:jc w:val="left"/>
              <w:rPr>
                <w:rFonts w:ascii="Graphik Medium;sans-serif" w:hAnsi="Graphik Medium;sans-serif"/>
                <w:b/>
                <w:color w:val="FFFFFF"/>
                <w:sz w:val="16"/>
              </w:rPr>
            </w:pPr>
            <w:r>
              <w:rPr>
                <w:rFonts w:ascii="Graphik Medium;sans-serif" w:hAnsi="Graphik Medium;sans-serif"/>
                <w:b/>
                <w:color w:val="FFFFFF"/>
                <w:sz w:val="16"/>
              </w:rPr>
              <w:t>General Counsel and Chief People Officer</w:t>
            </w:r>
          </w:p>
        </w:tc>
        <w:tc>
          <w:tcPr>
            <w:tcW w:w="72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Executive Summary</w:t>
      </w:r>
    </w:p>
    <w:p>
      <w:pPr>
        <w:pStyle w:val="TextBody"/>
        <w:bidi w:val="0"/>
        <w:spacing w:lineRule="auto" w:line="288" w:before="180" w:after="180"/>
        <w:jc w:val="left"/>
        <w:rPr>
          <w:rFonts w:ascii="Graphik Semibold;sans-serif" w:hAnsi="Graphik Semibold;sans-serif"/>
          <w:b/>
          <w:color w:val="005CBA"/>
          <w:sz w:val="24"/>
        </w:rPr>
      </w:pPr>
      <w:r>
        <w:rPr>
          <w:rFonts w:ascii="Graphik Semibold;sans-serif" w:hAnsi="Graphik Semibold;sans-serif"/>
          <w:b/>
          <w:color w:val="005CBA"/>
          <w:sz w:val="24"/>
        </w:rPr>
        <w:t>2024 Business Highlights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2024, we continued our strong performance through exceptional execution on the top line and bottom line through disciplined financial and budget management with our growth driven primarily by our Decipher and Afirma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660400"/>
                <wp:effectExtent l="0" t="0" r="0" b="0"/>
                <wp:wrapNone/>
                <wp:docPr id="192" name="Frame5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Certain financial and operational highlights of 2024 and recent developments include:</w:t>
      </w:r>
    </w:p>
    <w:tbl>
      <w:tblPr>
        <w:tblW w:w="10205" w:type="dxa"/>
        <w:jc w:val="left"/>
        <w:tblInd w:w="0" w:type="dxa"/>
        <w:tblLayout w:type="fixed"/>
        <w:tblCellMar>
          <w:top w:w="28" w:type="dxa"/>
          <w:left w:w="28" w:type="dxa"/>
          <w:bottom w:w="28" w:type="dxa"/>
          <w:right w:w="28" w:type="dxa"/>
        </w:tblCellMar>
      </w:tblPr>
      <w:tblGrid>
        <w:gridCol w:w="124"/>
        <w:gridCol w:w="109"/>
        <w:gridCol w:w="109"/>
        <w:gridCol w:w="451"/>
        <w:gridCol w:w="451"/>
        <w:gridCol w:w="452"/>
        <w:gridCol w:w="109"/>
        <w:gridCol w:w="109"/>
        <w:gridCol w:w="109"/>
        <w:gridCol w:w="2617"/>
        <w:gridCol w:w="2593"/>
        <w:gridCol w:w="259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152400" cy="266700"/>
                  <wp:effectExtent l="0" t="0" r="0" b="0"/>
                  <wp:docPr id="19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1" descr=""/>
                          <pic:cNvPicPr>
                            <a:picLocks noChangeAspect="1" noChangeArrowheads="1"/>
                          </pic:cNvPicPr>
                        </pic:nvPicPr>
                        <pic:blipFill>
                          <a:blip r:embed="rId142"/>
                          <a:stretch>
                            <a:fillRect/>
                          </a:stretch>
                        </pic:blipFill>
                        <pic:spPr bwMode="auto">
                          <a:xfrm>
                            <a:off x="0" y="0"/>
                            <a:ext cx="152400" cy="266700"/>
                          </a:xfrm>
                          <a:prstGeom prst="rect">
                            <a:avLst/>
                          </a:prstGeom>
                        </pic:spPr>
                      </pic:pic>
                    </a:graphicData>
                  </a:graphic>
                </wp:inline>
              </w:drawing>
            </w:r>
          </w:p>
          <w:p>
            <w:pPr>
              <w:pStyle w:val="TableContents"/>
              <w:bidi w:val="0"/>
              <w:spacing w:lineRule="auto" w:line="336" w:before="0" w:after="90"/>
              <w:jc w:val="left"/>
              <w:rPr>
                <w:rFonts w:ascii="Graphik Semibold;sans-serif" w:hAnsi="Graphik Semibold;sans-serif"/>
                <w:b/>
                <w:color w:val="005CBA"/>
                <w:sz w:val="18"/>
              </w:rPr>
            </w:pPr>
            <w:r>
              <w:rPr>
                <w:rFonts w:ascii="Graphik Semibold;sans-serif" w:hAnsi="Graphik Semibold;sans-serif"/>
                <w:b/>
                <w:color w:val="005CBA"/>
                <w:sz w:val="18"/>
              </w:rPr>
              <w:t>Financial 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tcMar>
              <w:top w:w="0" w:type="dxa"/>
              <w:left w:w="0" w:type="dxa"/>
              <w:bottom w:w="0" w:type="dxa"/>
              <w:right w:w="0" w:type="dxa"/>
            </w:tcMar>
            <w:vAlign w:val="center"/>
          </w:tcPr>
          <w:p>
            <w:pPr>
              <w:pStyle w:val="TableContents"/>
              <w:bidi w:val="0"/>
              <w:spacing w:lineRule="auto" w:line="336" w:before="0" w:after="90"/>
              <w:jc w:val="left"/>
              <w:rPr/>
            </w:pPr>
            <w:r>
              <w:rPr>
                <w:rFonts w:ascii="Graphik Semibold;sans-serif" w:hAnsi="Graphik Semibold;sans-serif"/>
                <w:b/>
                <w:color w:val="1D1D1D"/>
                <w:sz w:val="18"/>
              </w:rPr>
              <w:t>Total Revenues</w:t>
            </w:r>
            <w:r>
              <w:rPr>
                <w:rFonts w:ascii="Graphik Semibold;sans-serif" w:hAnsi="Graphik Semibold;sans-serif"/>
                <w:b w:val="false"/>
                <w:color w:val="1D1D1D"/>
                <w:sz w:val="18"/>
              </w:rPr>
              <w:t>:</w:t>
            </w:r>
            <w:r>
              <w:rPr>
                <w:color w:val="1D1D1D"/>
              </w:rPr>
              <w:t xml:space="preserve"> </w:t>
            </w:r>
            <w:r>
              <w:rPr>
                <w:rFonts w:ascii="Graphik Light;sans-serif" w:hAnsi="Graphik Light;sans-serif"/>
                <w:b w:val="false"/>
                <w:color w:val="1D1D1D"/>
                <w:sz w:val="18"/>
              </w:rPr>
              <w:t>$445.8 million (increase of 23% over 2023)</w:t>
            </w:r>
          </w:p>
          <w:p>
            <w:pPr>
              <w:pStyle w:val="TableContents"/>
              <w:bidi w:val="0"/>
              <w:spacing w:lineRule="auto" w:line="336" w:before="0" w:after="90"/>
              <w:ind w:left="0" w:right="0" w:hanging="270"/>
              <w:jc w:val="left"/>
              <w:rPr/>
            </w:pPr>
            <w:r>
              <w:rPr>
                <w:color w:val="005CBA"/>
              </w:rPr>
              <w:t>•</w:t>
            </w:r>
            <w:r>
              <w:rPr>
                <w:rFonts w:ascii="Graphik Semibold;sans-serif" w:hAnsi="Graphik Semibold;sans-serif"/>
                <w:b/>
                <w:color w:val="1D1D1D"/>
                <w:sz w:val="18"/>
              </w:rPr>
              <w:t xml:space="preserve">Testing Revenue: </w:t>
            </w:r>
            <w:r>
              <w:rPr>
                <w:rFonts w:ascii="Graphik Light;sans-serif" w:hAnsi="Graphik Light;sans-serif"/>
                <w:b w:val="false"/>
                <w:color w:val="1D1D1D"/>
                <w:sz w:val="18"/>
              </w:rPr>
              <w:t>$419.0 million (increase of 28% over 2023)</w:t>
            </w:r>
          </w:p>
          <w:p>
            <w:pPr>
              <w:pStyle w:val="TableContents"/>
              <w:bidi w:val="0"/>
              <w:spacing w:lineRule="auto" w:line="336" w:before="0" w:after="90"/>
              <w:jc w:val="left"/>
              <w:rPr/>
            </w:pPr>
            <w:r>
              <w:rPr>
                <w:rFonts w:ascii="Graphik Semibold;sans-serif" w:hAnsi="Graphik Semibold;sans-serif"/>
                <w:b/>
                <w:color w:val="1D1D1D"/>
                <w:sz w:val="18"/>
              </w:rPr>
              <w:t xml:space="preserve">Net Income: </w:t>
            </w:r>
            <w:r>
              <w:rPr>
                <w:rFonts w:ascii="Graphik Light;sans-serif" w:hAnsi="Graphik Light;sans-serif"/>
                <w:b w:val="false"/>
                <w:color w:val="1D1D1D"/>
                <w:sz w:val="18"/>
              </w:rPr>
              <w:t>$24.1 million (increase of 132% over 2023)</w:t>
            </w:r>
          </w:p>
          <w:p>
            <w:pPr>
              <w:pStyle w:val="TableContents"/>
              <w:bidi w:val="0"/>
              <w:spacing w:lineRule="auto" w:line="336" w:before="0" w:after="180"/>
              <w:jc w:val="left"/>
              <w:rPr/>
            </w:pPr>
            <w:r>
              <w:rPr>
                <w:rFonts w:ascii="Graphik Semibold;sans-serif" w:hAnsi="Graphik Semibold;sans-serif"/>
                <w:b/>
                <w:color w:val="1D1D1D"/>
                <w:sz w:val="18"/>
              </w:rPr>
              <w:t xml:space="preserve">Cash on Hand: </w:t>
            </w:r>
            <w:r>
              <w:rPr>
                <w:rFonts w:ascii="Graphik Light;sans-serif" w:hAnsi="Graphik Light;sans-serif"/>
                <w:b w:val="false"/>
                <w:color w:val="1D1D1D"/>
                <w:sz w:val="18"/>
              </w:rPr>
              <w:t>Generated $75.1 million of cash from operations and ended the year with $289.4 million of cash and cash equivalents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295275" cy="314325"/>
                  <wp:effectExtent l="0" t="0" r="0" b="0"/>
                  <wp:docPr id="194"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2" descr=""/>
                          <pic:cNvPicPr>
                            <a:picLocks noChangeAspect="1" noChangeArrowheads="1"/>
                          </pic:cNvPicPr>
                        </pic:nvPicPr>
                        <pic:blipFill>
                          <a:blip r:embed="rId143"/>
                          <a:stretch>
                            <a:fillRect/>
                          </a:stretch>
                        </pic:blipFill>
                        <pic:spPr bwMode="auto">
                          <a:xfrm>
                            <a:off x="0" y="0"/>
                            <a:ext cx="295275" cy="314325"/>
                          </a:xfrm>
                          <a:prstGeom prst="rect">
                            <a:avLst/>
                          </a:prstGeom>
                        </pic:spPr>
                      </pic:pic>
                    </a:graphicData>
                  </a:graphic>
                </wp:inline>
              </w:drawing>
            </w:r>
          </w:p>
          <w:p>
            <w:pPr>
              <w:pStyle w:val="TableContents"/>
              <w:bidi w:val="0"/>
              <w:spacing w:lineRule="auto" w:line="336" w:before="0" w:after="90"/>
              <w:jc w:val="left"/>
              <w:rPr>
                <w:rFonts w:ascii="Graphik Semibold;sans-serif" w:hAnsi="Graphik Semibold;sans-serif"/>
                <w:b/>
                <w:color w:val="005CBA"/>
                <w:sz w:val="18"/>
              </w:rPr>
            </w:pPr>
            <w:r>
              <w:rPr>
                <w:rFonts w:ascii="Graphik Semibold;sans-serif" w:hAnsi="Graphik Semibold;sans-serif"/>
                <w:b/>
                <w:color w:val="005CBA"/>
                <w:sz w:val="18"/>
              </w:rPr>
              <w:t>Test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tcMar>
              <w:top w:w="0" w:type="dxa"/>
              <w:left w:w="0" w:type="dxa"/>
              <w:bottom w:w="0" w:type="dxa"/>
              <w:right w:w="0" w:type="dxa"/>
            </w:tcMar>
            <w:vAlign w:val="center"/>
          </w:tcPr>
          <w:p>
            <w:pPr>
              <w:pStyle w:val="TableContents"/>
              <w:bidi w:val="0"/>
              <w:spacing w:lineRule="auto" w:line="336" w:before="0" w:after="90"/>
              <w:jc w:val="both"/>
              <w:rPr/>
            </w:pPr>
            <w:r>
              <w:rPr>
                <w:rFonts w:ascii="Graphik Semibold;sans-serif" w:hAnsi="Graphik Semibold;sans-serif"/>
                <w:b/>
                <w:color w:val="1D1D1D"/>
                <w:sz w:val="18"/>
              </w:rPr>
              <w:t>Grew test volume, driven by Decipher and Afirma</w:t>
            </w:r>
            <w:r>
              <w:rPr>
                <w:rFonts w:ascii="Graphik Light;sans-serif" w:hAnsi="Graphik Light;sans-serif"/>
                <w:b w:val="false"/>
                <w:color w:val="1D1D1D"/>
                <w:sz w:val="18"/>
              </w:rPr>
              <w:t>, to 152,750 in 2024 (increase of 20% over 2023)</w:t>
            </w:r>
          </w:p>
          <w:p>
            <w:pPr>
              <w:pStyle w:val="TableContents"/>
              <w:bidi w:val="0"/>
              <w:spacing w:lineRule="auto" w:line="336" w:before="0" w:after="90"/>
              <w:jc w:val="both"/>
              <w:rPr>
                <w:rFonts w:ascii="Graphik Light;sans-serif" w:hAnsi="Graphik Light;sans-serif"/>
                <w:b w:val="false"/>
                <w:color w:val="1D1D1D"/>
                <w:sz w:val="18"/>
              </w:rPr>
            </w:pPr>
            <w:r>
              <w:rPr>
                <w:rFonts w:ascii="Graphik Light;sans-serif" w:hAnsi="Graphik Light;sans-serif"/>
                <w:b w:val="false"/>
                <w:color w:val="1D1D1D"/>
                <w:sz w:val="18"/>
              </w:rPr>
              <w:t xml:space="preserve">Our test volume, and revenue, is derived primarily from Decipher and Afirma genomic testing. </w:t>
            </w:r>
          </w:p>
          <w:p>
            <w:pPr>
              <w:pStyle w:val="TableContents"/>
              <w:bidi w:val="0"/>
              <w:spacing w:lineRule="auto" w:line="336" w:before="0" w:after="90"/>
              <w:jc w:val="both"/>
              <w:rPr>
                <w:rFonts w:ascii="Graphik Light;sans-serif" w:hAnsi="Graphik Light;sans-serif"/>
                <w:b w:val="false"/>
                <w:color w:val="1D1D1D"/>
                <w:sz w:val="18"/>
              </w:rPr>
            </w:pPr>
            <w:r>
              <w:rPr>
                <w:rFonts w:ascii="Graphik Light;sans-serif" w:hAnsi="Graphik Light;sans-serif"/>
                <w:b w:val="false"/>
                <w:color w:val="1D1D1D"/>
                <w:sz w:val="18"/>
              </w:rPr>
              <w:t>Our Decipher Prostate test provides actionable information to help physicians and their patients make treatment decisions across the spectrum of localized prostate cancer. As the most validated gene expression prostate test with 85 publications demonstrating the clinical validity and utility of the test, we continued to strengthen the body of evidence in 2024, adding 33 publications.</w:t>
            </w:r>
          </w:p>
          <w:p>
            <w:pPr>
              <w:pStyle w:val="TableContents"/>
              <w:bidi w:val="0"/>
              <w:spacing w:lineRule="auto" w:line="336" w:before="0" w:after="90"/>
              <w:jc w:val="both"/>
              <w:rPr>
                <w:rFonts w:ascii="Graphik Light;sans-serif" w:hAnsi="Graphik Light;sans-serif"/>
                <w:b w:val="false"/>
                <w:color w:val="1D1D1D"/>
                <w:sz w:val="18"/>
              </w:rPr>
            </w:pPr>
            <w:r>
              <w:rPr>
                <w:rFonts w:ascii="Graphik Light;sans-serif" w:hAnsi="Graphik Light;sans-serif"/>
                <w:b w:val="false"/>
                <w:color w:val="1D1D1D"/>
                <w:sz w:val="18"/>
              </w:rPr>
              <w:t xml:space="preserve">Afirma remains a market leader in thyroid diagnostics and saw positive advancements in 2024. We secured Medicare coverage for Afirma testing of patients with thyroid nodules classified as “Bethesda V,” giving more patients annually access to the test.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247650" cy="266700"/>
                  <wp:effectExtent l="0" t="0" r="0" b="0"/>
                  <wp:docPr id="19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43" descr=""/>
                          <pic:cNvPicPr>
                            <a:picLocks noChangeAspect="1" noChangeArrowheads="1"/>
                          </pic:cNvPicPr>
                        </pic:nvPicPr>
                        <pic:blipFill>
                          <a:blip r:embed="rId144"/>
                          <a:stretch>
                            <a:fillRect/>
                          </a:stretch>
                        </pic:blipFill>
                        <pic:spPr bwMode="auto">
                          <a:xfrm>
                            <a:off x="0" y="0"/>
                            <a:ext cx="247650" cy="266700"/>
                          </a:xfrm>
                          <a:prstGeom prst="rect">
                            <a:avLst/>
                          </a:prstGeom>
                        </pic:spPr>
                      </pic:pic>
                    </a:graphicData>
                  </a:graphic>
                </wp:inline>
              </w:drawing>
            </w:r>
          </w:p>
          <w:p>
            <w:pPr>
              <w:pStyle w:val="TableContents"/>
              <w:bidi w:val="0"/>
              <w:spacing w:lineRule="auto" w:line="336" w:before="0" w:after="90"/>
              <w:jc w:val="left"/>
              <w:rPr>
                <w:rFonts w:ascii="Graphik Semibold;sans-serif" w:hAnsi="Graphik Semibold;sans-serif"/>
                <w:b/>
                <w:color w:val="005CBA"/>
                <w:sz w:val="18"/>
              </w:rPr>
            </w:pPr>
            <w:r>
              <w:rPr>
                <w:rFonts w:ascii="Graphik Semibold;sans-serif" w:hAnsi="Graphik Semibold;sans-serif"/>
                <w:b/>
                <w:color w:val="005CBA"/>
                <w:sz w:val="18"/>
              </w:rPr>
              <w:t>Other 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Graphik Light;sans-serif" w:hAnsi="Graphik Light;sans-serif"/>
                <w:b w:val="false"/>
                <w:color w:val="1D1D1D"/>
                <w:sz w:val="18"/>
              </w:rPr>
            </w:pPr>
            <w:r>
              <w:rPr>
                <w:rFonts w:ascii="Graphik Light;sans-serif" w:hAnsi="Graphik Light;sans-serif"/>
                <w:b w:val="false"/>
                <w:color w:val="1D1D1D"/>
                <w:sz w:val="18"/>
              </w:rPr>
              <w:t>Progressed with the launch of our first whole-genome MRD test in Muscle Invasive Bladder Cancer, submitting the technical assessment to MolDx in March of 2025. Adding MRD to our novel Veracyte Diagnostics Platform will expand our ability to serve patients across the cancer care continuum.</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8"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Graphik Semibold;sans-serif" w:hAnsi="Graphik Semibold;sans-serif"/>
          <w:b/>
          <w:color w:val="1D1D1D"/>
          <w:sz w:val="18"/>
          <w:shd w:fill="FFFFFF" w:val="clear"/>
        </w:rPr>
      </w:pPr>
      <w:r>
        <w:rPr>
          <w:rFonts w:ascii="Graphik Semibold;sans-serif" w:hAnsi="Graphik Semibold;sans-serif"/>
          <w:b/>
          <w:color w:val="1D1D1D"/>
          <w:sz w:val="18"/>
          <w:shd w:fill="FFFFFF" w:val="clear"/>
        </w:rPr>
        <w:t>2024 Compensation Highlights</w:t>
      </w:r>
    </w:p>
    <w:p>
      <w:pPr>
        <w:pStyle w:val="TextBody"/>
        <w:bidi w:val="0"/>
        <w:spacing w:lineRule="auto" w:line="336" w:before="0" w:after="90"/>
        <w:ind w:left="0" w:right="0" w:hanging="270"/>
        <w:jc w:val="left"/>
        <w:rPr/>
      </w:pPr>
      <w:r>
        <w:rPr>
          <w:color w:val="005CBA"/>
          <w:shd w:fill="FFFFFF" w:val="clear"/>
        </w:rPr>
        <w:t>•</w:t>
      </w:r>
      <w:r>
        <w:rPr>
          <w:rFonts w:ascii="Graphik Light;sans-serif" w:hAnsi="Graphik Light;sans-serif"/>
          <w:b w:val="false"/>
          <w:color w:val="1D1D1D"/>
          <w:sz w:val="18"/>
          <w:shd w:fill="FFFFFF" w:val="clear"/>
        </w:rPr>
        <w:t>Annual Cash Incentive Compensation Tied to Financial Performance. In 2024, our annual incentive award plan was designed to drive performance on key financial metrics — revenue and cash flow from operations. These metrics were achieved at 150%.</w:t>
      </w:r>
    </w:p>
    <w:p>
      <w:pPr>
        <w:pStyle w:val="TextBody"/>
        <w:bidi w:val="0"/>
        <w:spacing w:lineRule="auto" w:line="336" w:before="0" w:after="180"/>
        <w:ind w:left="0" w:right="0" w:hanging="270"/>
        <w:jc w:val="left"/>
        <w:rPr/>
      </w:pPr>
      <w:r>
        <w:rPr>
          <w:color w:val="005CBA"/>
          <w:shd w:fill="FFFFFF" w:val="clear"/>
        </w:rPr>
        <w:t>•</w:t>
      </w:r>
      <w:r>
        <w:rPr>
          <w:rFonts w:ascii="Graphik Light;sans-serif" w:hAnsi="Graphik Light;sans-serif"/>
          <w:b w:val="false"/>
          <w:color w:val="1D1D1D"/>
          <w:sz w:val="18"/>
          <w:shd w:fill="FFFFFF" w:val="clear"/>
        </w:rPr>
        <w:t xml:space="preserve">Equity Mix. In 2024, our NEOs were granted a mix of PSUs and RSUs, with the equity mix consisting of 50% PSUs (at target) and 50% RSUs.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Pay Program Overview</w:t>
      </w:r>
    </w:p>
    <w:p>
      <w:pPr>
        <w:pStyle w:val="TextBody"/>
        <w:bidi w:val="0"/>
        <w:spacing w:lineRule="auto" w:line="336" w:before="0" w:after="180"/>
        <w:jc w:val="left"/>
        <w:rPr/>
      </w:pPr>
      <w:r>
        <w:rPr>
          <w:rFonts w:ascii="Graphik Light;sans-serif" w:hAnsi="Graphik Light;sans-serif"/>
          <w:b w:val="false"/>
          <w:color w:val="1D1D1D"/>
          <w:sz w:val="18"/>
        </w:rPr>
        <w:t xml:space="preserve">We believe that the design and structure of our pay program, and, in particular our incentive plans, support our business strategy and organizational objectives while successfully aligning executive focus and interest with that of stockholders. </w:t>
      </w:r>
      <w:r>
        <w:rPr>
          <w:rFonts w:ascii="Graphik Light;sans-serif" w:hAnsi="Graphik Light;sans-serif"/>
          <w:b w:val="false"/>
          <w:color w:val="1D1D1D"/>
          <w:sz w:val="18"/>
          <w:shd w:fill="FFFFFF" w:val="clear"/>
        </w:rPr>
        <w:t xml:space="preserve">Our compensation programs are designed to reward our executives for superior short- and long- term performance. </w:t>
      </w:r>
      <w:r>
        <w:rPr>
          <w:rFonts w:ascii="Graphik Light;sans-serif" w:hAnsi="Graphik Light;sans-serif"/>
          <w:b w:val="false"/>
          <w:color w:val="1D1D1D"/>
          <w:sz w:val="18"/>
        </w:rPr>
        <w:t>All pay elements, and the safeguards and governance features of the program, have been carefully chosen and implemented to align with our pay philosophy and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660400"/>
                <wp:effectExtent l="0" t="0" r="0" b="0"/>
                <wp:wrapNone/>
                <wp:docPr id="196" name="Frame5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doing so, our Compensation Committee uses the following framework to achieve these objectives: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1"/>
        <w:gridCol w:w="731"/>
        <w:gridCol w:w="737"/>
        <w:gridCol w:w="2427"/>
        <w:gridCol w:w="2427"/>
        <w:gridCol w:w="2434"/>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12"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005CBA"/>
                <w:sz w:val="16"/>
              </w:rPr>
            </w:pPr>
            <w:r>
              <w:rPr>
                <w:rFonts w:ascii="Graphik Semibold;sans-serif" w:hAnsi="Graphik Semibold;sans-serif"/>
                <w:b/>
                <w:color w:val="005CBA"/>
                <w:sz w:val="16"/>
              </w:rPr>
              <w:t>Base Salary</w:t>
            </w:r>
          </w:p>
        </w:tc>
        <w:tc>
          <w:tcPr>
            <w:tcW w:w="7288" w:type="dxa"/>
            <w:gridSpan w:val="3"/>
            <w:tcBorders/>
            <w:tcMar>
              <w:top w:w="0" w:type="dxa"/>
              <w:left w:w="0" w:type="dxa"/>
              <w:bottom w:w="0" w:type="dxa"/>
              <w:right w:w="0" w:type="dxa"/>
            </w:tcMar>
            <w:vAlign w:val="center"/>
          </w:tcPr>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Base salaries are set to be competitive within our industry and are important in attracting and retaining talented executives.</w:t>
            </w:r>
          </w:p>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Base salaries are fixed amounts paid in cash set with consideration for responsibilities, experience, individual contribution expectations and market data.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3"/>
            <w:tcBorders>
              <w:top w:val="single" w:sz="4" w:space="0" w:color="98CBEA"/>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005CBA"/>
                <w:sz w:val="16"/>
              </w:rPr>
            </w:pPr>
            <w:r>
              <w:rPr>
                <w:rFonts w:ascii="Graphik Semibold;sans-serif" w:hAnsi="Graphik Semibold;sans-serif"/>
                <w:b/>
                <w:color w:val="005CBA"/>
                <w:sz w:val="16"/>
              </w:rPr>
              <w:t>Annual Cash Incentive Compensation</w:t>
            </w:r>
          </w:p>
        </w:tc>
        <w:tc>
          <w:tcPr>
            <w:tcW w:w="7288" w:type="dxa"/>
            <w:gridSpan w:val="3"/>
            <w:tcBorders/>
            <w:tcMar>
              <w:top w:w="0" w:type="dxa"/>
              <w:left w:w="0" w:type="dxa"/>
              <w:bottom w:w="0" w:type="dxa"/>
              <w:right w:w="0" w:type="dxa"/>
            </w:tcMar>
            <w:vAlign w:val="center"/>
          </w:tcPr>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annual cash incentive award plan is intended to motivate and reward our executives for the achievement of certain strategic goals of Veracyte set by our Board of Directors.</w:t>
            </w:r>
          </w:p>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Our annual incentive award plan is a variable short-term element of total compensation payable in cash as a percentage of base salary designed to drive performance on key financial objectives, including revenue and cash flow from operations.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3"/>
            <w:tcBorders>
              <w:top w:val="single" w:sz="4" w:space="0" w:color="98CBEA"/>
            </w:tcBorders>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37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005CBA"/>
                <w:sz w:val="16"/>
              </w:rPr>
            </w:pPr>
            <w:r>
              <w:rPr>
                <w:rFonts w:ascii="Graphik Semibold;sans-serif" w:hAnsi="Graphik Semibold;sans-serif"/>
                <w:b/>
                <w:color w:val="005CBA"/>
                <w:sz w:val="16"/>
              </w:rPr>
              <w:t>Long-Term Equity Incentive Compensation</w:t>
            </w:r>
          </w:p>
        </w:tc>
        <w:tc>
          <w:tcPr>
            <w:tcW w:w="7288"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Long-term equity awards incentivize executives to deliver long-term stockholder value while also providing a retention vehicle for our top executive talent.</w:t>
            </w:r>
          </w:p>
          <w:p>
            <w:pPr>
              <w:pStyle w:val="TableContents"/>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NEO equity awards are a variable long-term element of total compensation typically delivered as:</w:t>
            </w:r>
          </w:p>
          <w:p>
            <w:pPr>
              <w:pStyle w:val="TableContents"/>
              <w:bidi w:val="0"/>
              <w:spacing w:lineRule="auto" w:line="336" w:before="0" w:after="90"/>
              <w:ind w:left="0" w:right="0" w:hanging="270"/>
              <w:jc w:val="left"/>
              <w:rPr/>
            </w:pPr>
            <w:r>
              <w:rPr>
                <w:color w:val="8E4FBE"/>
              </w:rPr>
              <w:t>•</w:t>
            </w:r>
            <w:r>
              <w:rPr>
                <w:rFonts w:ascii="Graphik Light;sans-serif" w:hAnsi="Graphik Light;sans-serif"/>
                <w:b w:val="false"/>
                <w:color w:val="1D1D1D"/>
                <w:sz w:val="18"/>
              </w:rPr>
              <w:t>PSUs (based on achievement of revenue and cash balance metrics over two- and three- year periods)</w:t>
            </w:r>
          </w:p>
          <w:p>
            <w:pPr>
              <w:pStyle w:val="TableContents"/>
              <w:bidi w:val="0"/>
              <w:spacing w:lineRule="auto" w:line="336" w:before="0" w:after="90"/>
              <w:ind w:left="0" w:right="0" w:hanging="270"/>
              <w:jc w:val="left"/>
              <w:rPr/>
            </w:pPr>
            <w:r>
              <w:rPr>
                <w:color w:val="8E4FBE"/>
              </w:rPr>
              <w:t>•</w:t>
            </w:r>
            <w:r>
              <w:rPr>
                <w:rFonts w:ascii="Graphik Light;sans-serif" w:hAnsi="Graphik Light;sans-serif"/>
                <w:b w:val="false"/>
                <w:color w:val="1D1D1D"/>
                <w:sz w:val="18"/>
              </w:rPr>
              <w:t>RSUs (vesting over four years)</w:t>
            </w:r>
          </w:p>
          <w:p>
            <w:pPr>
              <w:pStyle w:val="TableContents"/>
              <w:bidi w:val="0"/>
              <w:spacing w:lineRule="auto" w:line="336" w:before="0" w:after="90"/>
              <w:ind w:left="0" w:right="0" w:hanging="270"/>
              <w:jc w:val="left"/>
              <w:rPr/>
            </w:pPr>
            <w:r>
              <w:rPr>
                <w:color w:val="8E4FBE"/>
              </w:rPr>
              <w:t>•</w:t>
            </w:r>
            <w:r>
              <w:rPr>
                <w:rFonts w:ascii="Graphik Light;sans-serif" w:hAnsi="Graphik Light;sans-serif"/>
                <w:b w:val="false"/>
                <w:color w:val="1D1D1D"/>
                <w:sz w:val="18"/>
              </w:rPr>
              <w:t>Stock options (vesting over four years; no longer granted since 2024)</w:t>
            </w:r>
          </w:p>
        </w:tc>
        <w:tc>
          <w:tcPr>
            <w:tcW w:w="37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2024 Target Pay Mix</w:t>
      </w:r>
    </w:p>
    <w:p>
      <w:pPr>
        <w:pStyle w:val="TextBody"/>
        <w:bidi w:val="0"/>
        <w:spacing w:lineRule="auto" w:line="336" w:before="0" w:after="180"/>
        <w:jc w:val="left"/>
        <w:rPr/>
      </w:pPr>
      <w:r>
        <w:rPr>
          <w:rFonts w:ascii="Graphik Light;sans-serif" w:hAnsi="Graphik Light;sans-serif"/>
          <w:b w:val="false"/>
          <w:color w:val="1D1D1D"/>
          <w:sz w:val="18"/>
        </w:rPr>
        <w:t xml:space="preserve">Consistent with our philosophy of aligning executive pay with Veracyte’s short- and long-term performance, and to align the interests of management and stockholders, our compensation programs are designed such that the majority of executive compensation is in the form of </w:t>
      </w:r>
      <w:r>
        <w:rPr>
          <w:rFonts w:ascii="Graphik Light;sans-serif" w:hAnsi="Graphik Light;sans-serif"/>
          <w:b w:val="false"/>
          <w:color w:val="1D1D1D"/>
          <w:sz w:val="18"/>
          <w:shd w:fill="FFFFFF" w:val="clear"/>
        </w:rPr>
        <w:t>variable</w:t>
      </w:r>
      <w:r>
        <w:rPr>
          <w:rFonts w:ascii="Graphik Light;sans-serif" w:hAnsi="Graphik Light;sans-serif"/>
          <w:b w:val="false"/>
          <w:color w:val="1D1D1D"/>
          <w:sz w:val="18"/>
        </w:rPr>
        <w:t>, at-risk, incentive pay. For 2024, our Compensation Committee structured target pay packages for our Chief Executive Officer and NEOs was as follows:</w:t>
      </w:r>
    </w:p>
    <w:p>
      <w:pPr>
        <w:pStyle w:val="TextBody"/>
        <w:bidi w:val="0"/>
        <w:spacing w:lineRule="auto" w:line="288" w:before="0" w:after="80"/>
        <w:jc w:val="left"/>
        <w:rPr>
          <w:rFonts w:ascii="Graphik Semibold;sans-serif" w:hAnsi="Graphik Semibold;sans-serif"/>
          <w:b/>
          <w:color w:val="1D1D1D"/>
          <w:sz w:val="18"/>
        </w:rPr>
      </w:pPr>
      <w:r>
        <w:rPr>
          <w:rFonts w:ascii="Graphik Semibold;sans-serif" w:hAnsi="Graphik Semibold;sans-serif"/>
          <w:b/>
          <w:color w:val="1D1D1D"/>
          <w:sz w:val="18"/>
        </w:rPr>
        <w:t>2024 CEO Pay Mix</w:t>
      </w:r>
    </w:p>
    <w:p>
      <w:pPr>
        <w:pStyle w:val="TextBody"/>
        <w:bidi w:val="0"/>
        <w:spacing w:before="0" w:after="0"/>
        <w:jc w:val="left"/>
        <w:rPr/>
      </w:pPr>
      <w:r>
        <w:rPr/>
        <w:drawing>
          <wp:inline distT="0" distB="0" distL="0" distR="0">
            <wp:extent cx="2009775" cy="2371725"/>
            <wp:effectExtent l="0" t="0" r="0" b="0"/>
            <wp:docPr id="19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44" descr=""/>
                    <pic:cNvPicPr>
                      <a:picLocks noChangeAspect="1" noChangeArrowheads="1"/>
                    </pic:cNvPicPr>
                  </pic:nvPicPr>
                  <pic:blipFill>
                    <a:blip r:embed="rId145"/>
                    <a:stretch>
                      <a:fillRect/>
                    </a:stretch>
                  </pic:blipFill>
                  <pic:spPr bwMode="auto">
                    <a:xfrm>
                      <a:off x="0" y="0"/>
                      <a:ext cx="2009775" cy="2371725"/>
                    </a:xfrm>
                    <a:prstGeom prst="rect">
                      <a:avLst/>
                    </a:prstGeom>
                  </pic:spPr>
                </pic:pic>
              </a:graphicData>
            </a:graphic>
          </wp:inline>
        </w:drawing>
      </w:r>
    </w:p>
    <w:p>
      <w:pPr>
        <w:pStyle w:val="TextBody"/>
        <w:bidi w:val="0"/>
        <w:spacing w:lineRule="auto" w:line="288" w:before="0" w:after="80"/>
        <w:jc w:val="left"/>
        <w:rPr>
          <w:rFonts w:ascii="Graphik Semibold;sans-serif" w:hAnsi="Graphik Semibold;sans-serif"/>
          <w:b/>
          <w:color w:val="1D1D1D"/>
          <w:sz w:val="18"/>
        </w:rPr>
      </w:pPr>
      <w:r>
        <w:rPr>
          <w:rFonts w:ascii="Graphik Semibold;sans-serif" w:hAnsi="Graphik Semibold;sans-serif"/>
          <w:b/>
          <w:color w:val="1D1D1D"/>
          <w:sz w:val="18"/>
        </w:rPr>
        <w:t>2024 Other NEO Pay Mix</w:t>
      </w:r>
    </w:p>
    <w:p>
      <w:pPr>
        <w:pStyle w:val="TextBody"/>
        <w:bidi w:val="0"/>
        <w:spacing w:before="0" w:after="0"/>
        <w:jc w:val="left"/>
        <w:rPr/>
      </w:pPr>
      <w:r>
        <w:rPr/>
        <w:drawing>
          <wp:inline distT="0" distB="0" distL="0" distR="0">
            <wp:extent cx="2162175" cy="2371725"/>
            <wp:effectExtent l="0" t="0" r="0" b="0"/>
            <wp:docPr id="19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45" descr=""/>
                    <pic:cNvPicPr>
                      <a:picLocks noChangeAspect="1" noChangeArrowheads="1"/>
                    </pic:cNvPicPr>
                  </pic:nvPicPr>
                  <pic:blipFill>
                    <a:blip r:embed="rId146"/>
                    <a:stretch>
                      <a:fillRect/>
                    </a:stretch>
                  </pic:blipFill>
                  <pic:spPr bwMode="auto">
                    <a:xfrm>
                      <a:off x="0" y="0"/>
                      <a:ext cx="2162175" cy="2371725"/>
                    </a:xfrm>
                    <a:prstGeom prst="rect">
                      <a:avLst/>
                    </a:prstGeom>
                  </pic:spPr>
                </pic:pic>
              </a:graphicData>
            </a:graphic>
          </wp:inline>
        </w:drawing>
      </w:r>
    </w:p>
    <w:p>
      <w:pPr>
        <w:pStyle w:val="TextBody"/>
        <w:bidi w:val="0"/>
        <w:spacing w:lineRule="auto" w:line="300" w:before="180" w:after="90"/>
        <w:jc w:val="left"/>
        <w:rPr>
          <w:rFonts w:ascii="Graphik Light;sans-serif" w:hAnsi="Graphik Light;sans-serif"/>
          <w:b w:val="false"/>
          <w:color w:val="1D1D1D"/>
          <w:sz w:val="16"/>
        </w:rPr>
      </w:pPr>
      <w:r>
        <w:rPr>
          <w:rFonts w:ascii="Graphik Light;sans-serif" w:hAnsi="Graphik Light;sans-serif"/>
          <w:b w:val="false"/>
          <w:color w:val="1D1D1D"/>
          <w:sz w:val="16"/>
        </w:rPr>
        <w:t xml:space="preserve">Notes: Includes target annual cash-based incentives and the grant date fair value of annual equity grants, but excludes retention grants and new hire equity grants, which were not granted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660400"/>
                <wp:effectExtent l="0" t="0" r="0" b="0"/>
                <wp:wrapNone/>
                <wp:docPr id="199" name="Frame5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48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68" w:before="180" w:after="100"/>
        <w:jc w:val="both"/>
        <w:rPr>
          <w:rFonts w:ascii="Graphik Semibold;sans-serif" w:hAnsi="Graphik Semibold;sans-serif"/>
          <w:b/>
          <w:color w:val="005CBA"/>
          <w:sz w:val="24"/>
        </w:rPr>
      </w:pPr>
      <w:r>
        <w:rPr>
          <w:rFonts w:ascii="Graphik Semibold;sans-serif" w:hAnsi="Graphik Semibold;sans-serif"/>
          <w:b/>
          <w:color w:val="005CBA"/>
          <w:sz w:val="24"/>
        </w:rPr>
        <w:t>Compensation Governance</w:t>
      </w:r>
    </w:p>
    <w:p>
      <w:pPr>
        <w:pStyle w:val="TextBody"/>
        <w:bidi w:val="0"/>
        <w:spacing w:lineRule="auto" w:line="336" w:before="0" w:after="180"/>
        <w:jc w:val="left"/>
        <w:rPr/>
      </w:pPr>
      <w:r>
        <w:rPr>
          <w:rFonts w:ascii="Graphik Light;sans-serif" w:hAnsi="Graphik Light;sans-serif"/>
          <w:b w:val="false"/>
          <w:color w:val="1D1D1D"/>
          <w:sz w:val="18"/>
        </w:rPr>
        <w:t xml:space="preserve">Our Compensation Committee is responsible for oversight of Veracyte’s compensation program and practices. The committee maintains a pay program defined by robust corporate governance and a commitment to stockholder interests. We have committed to numerous </w:t>
      </w:r>
      <w:r>
        <w:rPr>
          <w:rFonts w:ascii="Graphik Light;sans-serif" w:hAnsi="Graphik Light;sans-serif"/>
          <w:b w:val="false"/>
          <w:color w:val="1D1D1D"/>
          <w:sz w:val="18"/>
          <w:shd w:fill="FFFFFF" w:val="clear"/>
        </w:rPr>
        <w:t>practices</w:t>
      </w:r>
      <w:r>
        <w:rPr>
          <w:color w:val="1D1D1D"/>
        </w:rPr>
        <w:t xml:space="preserve"> </w:t>
      </w:r>
      <w:r>
        <w:rPr>
          <w:rFonts w:ascii="Graphik Light;sans-serif" w:hAnsi="Graphik Light;sans-serif"/>
          <w:b w:val="false"/>
          <w:color w:val="1D1D1D"/>
          <w:sz w:val="18"/>
        </w:rPr>
        <w:t xml:space="preserve">and safeguards to ensure the compensation program does not misalign those interests. These include: </w:t>
      </w:r>
    </w:p>
    <w:tbl>
      <w:tblPr>
        <w:tblW w:w="8645" w:type="dxa"/>
        <w:jc w:val="left"/>
        <w:tblInd w:w="0" w:type="dxa"/>
        <w:tblLayout w:type="fixed"/>
        <w:tblCellMar>
          <w:top w:w="28" w:type="dxa"/>
          <w:left w:w="28" w:type="dxa"/>
          <w:bottom w:w="28" w:type="dxa"/>
          <w:right w:w="28" w:type="dxa"/>
        </w:tblCellMar>
      </w:tblPr>
      <w:tblGrid>
        <w:gridCol w:w="196"/>
        <w:gridCol w:w="172"/>
        <w:gridCol w:w="172"/>
        <w:gridCol w:w="172"/>
        <w:gridCol w:w="172"/>
        <w:gridCol w:w="172"/>
        <w:gridCol w:w="2222"/>
        <w:gridCol w:w="2222"/>
        <w:gridCol w:w="314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5" w:type="dxa"/>
            <w:gridSpan w:val="9"/>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sans-serif" w:hAnsi="Graphik;sans-serif"/>
                <w:b/>
                <w:color w:val="FFFFFF"/>
                <w:sz w:val="20"/>
              </w:rPr>
            </w:pPr>
            <w:r>
              <w:rPr>
                <w:rFonts w:ascii="Graphik;sans-serif" w:hAnsi="Graphik;sans-serif"/>
                <w:b/>
                <w:color w:val="FFFFFF"/>
                <w:sz w:val="20"/>
              </w:rPr>
              <w:t>WHAT WE DO</w:t>
            </w:r>
          </w:p>
        </w:tc>
      </w:tr>
      <w:tr>
        <w:trPr/>
        <w:tc>
          <w:tcPr>
            <w:tcW w:w="5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Pay-for-performance philosophy and culture</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114300"/>
                  <wp:effectExtent l="0" t="0" r="0" b="0"/>
                  <wp:docPr id="20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46" descr=""/>
                          <pic:cNvPicPr>
                            <a:picLocks noChangeAspect="1" noChangeArrowheads="1"/>
                          </pic:cNvPicPr>
                        </pic:nvPicPr>
                        <pic:blipFill>
                          <a:blip r:embed="rId147"/>
                          <a:stretch>
                            <a:fillRect/>
                          </a:stretch>
                        </pic:blipFill>
                        <pic:spPr bwMode="auto">
                          <a:xfrm>
                            <a:off x="0" y="0"/>
                            <a:ext cx="104775" cy="114300"/>
                          </a:xfrm>
                          <a:prstGeom prst="rect">
                            <a:avLst/>
                          </a:prstGeom>
                        </pic:spPr>
                      </pic:pic>
                    </a:graphicData>
                  </a:graphic>
                </wp:inline>
              </w:drawing>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An appropriate mix of short- and long-term incentives for our executives</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114300"/>
                  <wp:effectExtent l="0" t="0" r="0" b="0"/>
                  <wp:docPr id="20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47" descr=""/>
                          <pic:cNvPicPr>
                            <a:picLocks noChangeAspect="1" noChangeArrowheads="1"/>
                          </pic:cNvPicPr>
                        </pic:nvPicPr>
                        <pic:blipFill>
                          <a:blip r:embed="rId148"/>
                          <a:stretch>
                            <a:fillRect/>
                          </a:stretch>
                        </pic:blipFill>
                        <pic:spPr bwMode="auto">
                          <a:xfrm>
                            <a:off x="0" y="0"/>
                            <a:ext cx="104775" cy="114300"/>
                          </a:xfrm>
                          <a:prstGeom prst="rect">
                            <a:avLst/>
                          </a:prstGeom>
                        </pic:spPr>
                      </pic:pic>
                    </a:graphicData>
                  </a:graphic>
                </wp:inline>
              </w:drawing>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Responsible use of shares under our long-term incentive program</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114300"/>
                  <wp:effectExtent l="0" t="0" r="0" b="0"/>
                  <wp:docPr id="20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48" descr=""/>
                          <pic:cNvPicPr>
                            <a:picLocks noChangeAspect="1" noChangeArrowheads="1"/>
                          </pic:cNvPicPr>
                        </pic:nvPicPr>
                        <pic:blipFill>
                          <a:blip r:embed="rId149"/>
                          <a:stretch>
                            <a:fillRect/>
                          </a:stretch>
                        </pic:blipFill>
                        <pic:spPr bwMode="auto">
                          <a:xfrm>
                            <a:off x="0" y="0"/>
                            <a:ext cx="104775" cy="114300"/>
                          </a:xfrm>
                          <a:prstGeom prst="rect">
                            <a:avLst/>
                          </a:prstGeom>
                        </pic:spPr>
                      </pic:pic>
                    </a:graphicData>
                  </a:graphic>
                </wp:inline>
              </w:drawing>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Perform an annual risk assessment of our compensation program</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114300"/>
                  <wp:effectExtent l="0" t="0" r="0" b="0"/>
                  <wp:docPr id="20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49" descr=""/>
                          <pic:cNvPicPr>
                            <a:picLocks noChangeAspect="1" noChangeArrowheads="1"/>
                          </pic:cNvPicPr>
                        </pic:nvPicPr>
                        <pic:blipFill>
                          <a:blip r:embed="rId150"/>
                          <a:stretch>
                            <a:fillRect/>
                          </a:stretch>
                        </pic:blipFill>
                        <pic:spPr bwMode="auto">
                          <a:xfrm>
                            <a:off x="0" y="0"/>
                            <a:ext cx="104775" cy="114300"/>
                          </a:xfrm>
                          <a:prstGeom prst="rect">
                            <a:avLst/>
                          </a:prstGeom>
                        </pic:spPr>
                      </pic:pic>
                    </a:graphicData>
                  </a:graphic>
                </wp:inline>
              </w:drawing>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Maintain stock ownership guidelines for all executives and non-executive directors</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114300"/>
                  <wp:effectExtent l="0" t="0" r="0" b="0"/>
                  <wp:docPr id="20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0" descr=""/>
                          <pic:cNvPicPr>
                            <a:picLocks noChangeAspect="1" noChangeArrowheads="1"/>
                          </pic:cNvPicPr>
                        </pic:nvPicPr>
                        <pic:blipFill>
                          <a:blip r:embed="rId151"/>
                          <a:stretch>
                            <a:fillRect/>
                          </a:stretch>
                        </pic:blipFill>
                        <pic:spPr bwMode="auto">
                          <a:xfrm>
                            <a:off x="0" y="0"/>
                            <a:ext cx="104775" cy="114300"/>
                          </a:xfrm>
                          <a:prstGeom prst="rect">
                            <a:avLst/>
                          </a:prstGeom>
                        </pic:spPr>
                      </pic:pic>
                    </a:graphicData>
                  </a:graphic>
                </wp:inline>
              </w:drawing>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color w:val="1D1D1D"/>
              </w:rPr>
            </w:pPr>
            <w:r>
              <w:rPr>
                <w:color w:val="1D1D1D"/>
              </w:rPr>
              <w:t>“</w:t>
            </w:r>
            <w:r>
              <w:rPr>
                <w:rFonts w:ascii="Graphik Light;sans-serif" w:hAnsi="Graphik Light;sans-serif"/>
                <w:b w:val="false"/>
                <w:color w:val="1D1D1D"/>
                <w:sz w:val="18"/>
              </w:rPr>
              <w:t>Double-trigger” change-in-control provisions</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114300"/>
                  <wp:effectExtent l="0" t="0" r="0" b="0"/>
                  <wp:docPr id="20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1" descr=""/>
                          <pic:cNvPicPr>
                            <a:picLocks noChangeAspect="1" noChangeArrowheads="1"/>
                          </pic:cNvPicPr>
                        </pic:nvPicPr>
                        <pic:blipFill>
                          <a:blip r:embed="rId152"/>
                          <a:stretch>
                            <a:fillRect/>
                          </a:stretch>
                        </pic:blipFill>
                        <pic:spPr bwMode="auto">
                          <a:xfrm>
                            <a:off x="0" y="0"/>
                            <a:ext cx="104775" cy="114300"/>
                          </a:xfrm>
                          <a:prstGeom prst="rect">
                            <a:avLst/>
                          </a:prstGeom>
                        </pic:spPr>
                      </pic:pic>
                    </a:graphicData>
                  </a:graphic>
                </wp:inline>
              </w:drawing>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Annually conduct Say-on-Pay vote</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114300"/>
                  <wp:effectExtent l="0" t="0" r="0" b="0"/>
                  <wp:docPr id="20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52" descr=""/>
                          <pic:cNvPicPr>
                            <a:picLocks noChangeAspect="1" noChangeArrowheads="1"/>
                          </pic:cNvPicPr>
                        </pic:nvPicPr>
                        <pic:blipFill>
                          <a:blip r:embed="rId153"/>
                          <a:stretch>
                            <a:fillRect/>
                          </a:stretch>
                        </pic:blipFill>
                        <pic:spPr bwMode="auto">
                          <a:xfrm>
                            <a:off x="0" y="0"/>
                            <a:ext cx="104775" cy="114300"/>
                          </a:xfrm>
                          <a:prstGeom prst="rect">
                            <a:avLst/>
                          </a:prstGeom>
                        </pic:spPr>
                      </pic:pic>
                    </a:graphicData>
                  </a:graphic>
                </wp:inline>
              </w:drawing>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Engage an independent compensation consultant</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114300"/>
                  <wp:effectExtent l="0" t="0" r="0" b="0"/>
                  <wp:docPr id="20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53" descr=""/>
                          <pic:cNvPicPr>
                            <a:picLocks noChangeAspect="1" noChangeArrowheads="1"/>
                          </pic:cNvPicPr>
                        </pic:nvPicPr>
                        <pic:blipFill>
                          <a:blip r:embed="rId154"/>
                          <a:stretch>
                            <a:fillRect/>
                          </a:stretch>
                        </pic:blipFill>
                        <pic:spPr bwMode="auto">
                          <a:xfrm>
                            <a:off x="0" y="0"/>
                            <a:ext cx="104775" cy="114300"/>
                          </a:xfrm>
                          <a:prstGeom prst="rect">
                            <a:avLst/>
                          </a:prstGeom>
                        </pic:spPr>
                      </pic:pic>
                    </a:graphicData>
                  </a:graphic>
                </wp:inline>
              </w:drawing>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Have an independent Compensation Committee</w:t>
            </w:r>
          </w:p>
        </w:tc>
      </w:tr>
      <w:tr>
        <w:trPr/>
        <w:tc>
          <w:tcPr>
            <w:tcW w:w="540"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4775" cy="114300"/>
                  <wp:effectExtent l="0" t="0" r="0" b="0"/>
                  <wp:docPr id="20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54" descr=""/>
                          <pic:cNvPicPr>
                            <a:picLocks noChangeAspect="1" noChangeArrowheads="1"/>
                          </pic:cNvPicPr>
                        </pic:nvPicPr>
                        <pic:blipFill>
                          <a:blip r:embed="rId155"/>
                          <a:stretch>
                            <a:fillRect/>
                          </a:stretch>
                        </pic:blipFill>
                        <pic:spPr bwMode="auto">
                          <a:xfrm>
                            <a:off x="0" y="0"/>
                            <a:ext cx="104775" cy="114300"/>
                          </a:xfrm>
                          <a:prstGeom prst="rect">
                            <a:avLst/>
                          </a:prstGeom>
                        </pic:spPr>
                      </pic:pic>
                    </a:graphicData>
                  </a:graphic>
                </wp:inline>
              </w:drawing>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54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restart"/>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Maintain a compensation recovery policy to ensure accountability</w:t>
            </w:r>
          </w:p>
        </w:tc>
      </w:tr>
      <w:tr>
        <w:trPr/>
        <w:tc>
          <w:tcPr>
            <w:tcW w:w="540" w:type="dxa"/>
            <w:gridSpan w:val="3"/>
            <w:tcBorders>
              <w:bottom w:val="single" w:sz="8" w:space="0" w:color="005CBA"/>
            </w:tcBorders>
            <w:tcMar>
              <w:top w:w="0" w:type="dxa"/>
              <w:left w:w="0" w:type="dxa"/>
              <w:right w:w="0" w:type="dxa"/>
            </w:tcMar>
            <w:vAlign w:val="center"/>
          </w:tcPr>
          <w:p>
            <w:pPr>
              <w:pStyle w:val="TableContents"/>
              <w:bidi w:val="0"/>
              <w:spacing w:before="0" w:after="0"/>
              <w:jc w:val="right"/>
              <w:rPr/>
            </w:pPr>
            <w:r>
              <w:rPr/>
              <w:drawing>
                <wp:inline distT="0" distB="0" distL="0" distR="0">
                  <wp:extent cx="114300" cy="114300"/>
                  <wp:effectExtent l="0" t="0" r="0" b="0"/>
                  <wp:docPr id="20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55" descr=""/>
                          <pic:cNvPicPr>
                            <a:picLocks noChangeAspect="1" noChangeArrowheads="1"/>
                          </pic:cNvPicPr>
                        </pic:nvPicPr>
                        <pic:blipFill>
                          <a:blip r:embed="rId156"/>
                          <a:stretch>
                            <a:fillRect/>
                          </a:stretch>
                        </pic:blipFill>
                        <pic:spPr bwMode="auto">
                          <a:xfrm>
                            <a:off x="0" y="0"/>
                            <a:ext cx="114300" cy="114300"/>
                          </a:xfrm>
                          <a:prstGeom prst="rect">
                            <a:avLst/>
                          </a:prstGeom>
                        </pic:spPr>
                      </pic:pic>
                    </a:graphicData>
                  </a:graphic>
                </wp:inline>
              </w:drawing>
            </w:r>
          </w:p>
        </w:tc>
        <w:tc>
          <w:tcPr>
            <w:tcW w:w="516"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vMerge w:val="continue"/>
            <w:tcBorders>
              <w:top w:val="single" w:sz="4" w:space="0" w:color="98CBEA"/>
              <w:bottom w:val="single" w:sz="8" w:space="0" w:color="005CBA"/>
            </w:tcBorders>
            <w:tcMar>
              <w:top w:w="30" w:type="dxa"/>
              <w:left w:w="0" w:type="dxa"/>
              <w:bottom w:w="30" w:type="dxa"/>
              <w:right w:w="0" w:type="dxa"/>
            </w:tcMar>
            <w:vAlign w:val="center"/>
          </w:tcPr>
          <w:p>
            <w:pPr>
              <w:pStyle w:val="Normal"/>
              <w:bidi w:val="0"/>
              <w:jc w:val="left"/>
              <w:rPr/>
            </w:pPr>
            <w:r>
              <w:rPr/>
            </w:r>
          </w:p>
        </w:tc>
      </w:tr>
    </w:tbl>
    <w:tbl>
      <w:tblPr>
        <w:tblW w:w="7607" w:type="dxa"/>
        <w:jc w:val="left"/>
        <w:tblInd w:w="0" w:type="dxa"/>
        <w:tblLayout w:type="fixed"/>
        <w:tblCellMar>
          <w:top w:w="28" w:type="dxa"/>
          <w:left w:w="28" w:type="dxa"/>
          <w:bottom w:w="28" w:type="dxa"/>
          <w:right w:w="28" w:type="dxa"/>
        </w:tblCellMar>
      </w:tblPr>
      <w:tblGrid>
        <w:gridCol w:w="287"/>
        <w:gridCol w:w="252"/>
        <w:gridCol w:w="252"/>
        <w:gridCol w:w="252"/>
        <w:gridCol w:w="252"/>
        <w:gridCol w:w="252"/>
        <w:gridCol w:w="1774"/>
        <w:gridCol w:w="1774"/>
        <w:gridCol w:w="2512"/>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9"/>
            <w:tcBorders/>
            <w:shd w:fill="8E4FBE" w:val="clear"/>
            <w:tcMar>
              <w:top w:w="0" w:type="dxa"/>
              <w:left w:w="0" w:type="dxa"/>
              <w:bottom w:w="0" w:type="dxa"/>
              <w:right w:w="0" w:type="dxa"/>
            </w:tcMar>
            <w:vAlign w:val="center"/>
          </w:tcPr>
          <w:p>
            <w:pPr>
              <w:pStyle w:val="TableContents"/>
              <w:bidi w:val="0"/>
              <w:spacing w:lineRule="auto" w:line="288" w:before="0" w:after="283"/>
              <w:jc w:val="center"/>
              <w:rPr>
                <w:rFonts w:ascii="Graphik;sans-serif" w:hAnsi="Graphik;sans-serif"/>
                <w:b/>
                <w:color w:val="FFFFFF"/>
                <w:sz w:val="20"/>
              </w:rPr>
            </w:pPr>
            <w:r>
              <w:rPr>
                <w:rFonts w:ascii="Graphik;sans-serif" w:hAnsi="Graphik;sans-serif"/>
                <w:b/>
                <w:color w:val="FFFFFF"/>
                <w:sz w:val="20"/>
              </w:rPr>
              <w:t>WHAT WE DON'T DO</w:t>
            </w:r>
          </w:p>
        </w:tc>
      </w:tr>
      <w:tr>
        <w:trPr/>
        <w:tc>
          <w:tcPr>
            <w:tcW w:w="791"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shd w:fill="8E4FB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No excise tax gross-ups</w:t>
            </w:r>
          </w:p>
        </w:tc>
      </w:tr>
      <w:tr>
        <w:trPr/>
        <w:tc>
          <w:tcPr>
            <w:tcW w:w="79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6200" cy="95250"/>
                  <wp:effectExtent l="0" t="0" r="0" b="0"/>
                  <wp:docPr id="21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56" descr=""/>
                          <pic:cNvPicPr>
                            <a:picLocks noChangeAspect="1" noChangeArrowheads="1"/>
                          </pic:cNvPicPr>
                        </pic:nvPicPr>
                        <pic:blipFill>
                          <a:blip r:embed="rId157"/>
                          <a:stretch>
                            <a:fillRect/>
                          </a:stretch>
                        </pic:blipFill>
                        <pic:spPr bwMode="auto">
                          <a:xfrm>
                            <a:off x="0" y="0"/>
                            <a:ext cx="76200" cy="95250"/>
                          </a:xfrm>
                          <a:prstGeom prst="rect">
                            <a:avLst/>
                          </a:prstGeom>
                        </pic:spPr>
                      </pic:pic>
                    </a:graphicData>
                  </a:graphic>
                </wp:inline>
              </w:drawing>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No excessive perquisites</w:t>
            </w:r>
          </w:p>
        </w:tc>
      </w:tr>
      <w:tr>
        <w:trPr/>
        <w:tc>
          <w:tcPr>
            <w:tcW w:w="79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6200" cy="95250"/>
                  <wp:effectExtent l="0" t="0" r="0" b="0"/>
                  <wp:docPr id="21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57" descr=""/>
                          <pic:cNvPicPr>
                            <a:picLocks noChangeAspect="1" noChangeArrowheads="1"/>
                          </pic:cNvPicPr>
                        </pic:nvPicPr>
                        <pic:blipFill>
                          <a:blip r:embed="rId158"/>
                          <a:stretch>
                            <a:fillRect/>
                          </a:stretch>
                        </pic:blipFill>
                        <pic:spPr bwMode="auto">
                          <a:xfrm>
                            <a:off x="0" y="0"/>
                            <a:ext cx="76200" cy="95250"/>
                          </a:xfrm>
                          <a:prstGeom prst="rect">
                            <a:avLst/>
                          </a:prstGeom>
                        </pic:spPr>
                      </pic:pic>
                    </a:graphicData>
                  </a:graphic>
                </wp:inline>
              </w:drawing>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7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No repricing of stock option awards without stockholder approval</w:t>
            </w:r>
          </w:p>
        </w:tc>
      </w:tr>
      <w:tr>
        <w:trPr/>
        <w:tc>
          <w:tcPr>
            <w:tcW w:w="79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6200" cy="95250"/>
                  <wp:effectExtent l="0" t="0" r="0" b="0"/>
                  <wp:docPr id="21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58" descr=""/>
                          <pic:cNvPicPr>
                            <a:picLocks noChangeAspect="1" noChangeArrowheads="1"/>
                          </pic:cNvPicPr>
                        </pic:nvPicPr>
                        <pic:blipFill>
                          <a:blip r:embed="rId159"/>
                          <a:stretch>
                            <a:fillRect/>
                          </a:stretch>
                        </pic:blipFill>
                        <pic:spPr bwMode="auto">
                          <a:xfrm>
                            <a:off x="0" y="0"/>
                            <a:ext cx="76200" cy="95250"/>
                          </a:xfrm>
                          <a:prstGeom prst="rect">
                            <a:avLst/>
                          </a:prstGeom>
                        </pic:spPr>
                      </pic:pic>
                    </a:graphicData>
                  </a:graphic>
                </wp:inline>
              </w:drawing>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7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No discounted stock option awards</w:t>
            </w:r>
          </w:p>
        </w:tc>
      </w:tr>
      <w:tr>
        <w:trPr/>
        <w:tc>
          <w:tcPr>
            <w:tcW w:w="79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6200" cy="95250"/>
                  <wp:effectExtent l="0" t="0" r="0" b="0"/>
                  <wp:docPr id="21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59" descr=""/>
                          <pic:cNvPicPr>
                            <a:picLocks noChangeAspect="1" noChangeArrowheads="1"/>
                          </pic:cNvPicPr>
                        </pic:nvPicPr>
                        <pic:blipFill>
                          <a:blip r:embed="rId160"/>
                          <a:stretch>
                            <a:fillRect/>
                          </a:stretch>
                        </pic:blipFill>
                        <pic:spPr bwMode="auto">
                          <a:xfrm>
                            <a:off x="0" y="0"/>
                            <a:ext cx="76200" cy="95250"/>
                          </a:xfrm>
                          <a:prstGeom prst="rect">
                            <a:avLst/>
                          </a:prstGeom>
                        </pic:spPr>
                      </pic:pic>
                    </a:graphicData>
                  </a:graphic>
                </wp:inline>
              </w:drawing>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7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restart"/>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No hedging or pledging of our stock</w:t>
            </w:r>
          </w:p>
        </w:tc>
      </w:tr>
      <w:tr>
        <w:trPr/>
        <w:tc>
          <w:tcPr>
            <w:tcW w:w="79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76200" cy="95250"/>
                  <wp:effectExtent l="0" t="0" r="0" b="0"/>
                  <wp:docPr id="21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0" descr=""/>
                          <pic:cNvPicPr>
                            <a:picLocks noChangeAspect="1" noChangeArrowheads="1"/>
                          </pic:cNvPicPr>
                        </pic:nvPicPr>
                        <pic:blipFill>
                          <a:blip r:embed="rId161"/>
                          <a:stretch>
                            <a:fillRect/>
                          </a:stretch>
                        </pic:blipFill>
                        <pic:spPr bwMode="auto">
                          <a:xfrm>
                            <a:off x="0" y="0"/>
                            <a:ext cx="76200" cy="95250"/>
                          </a:xfrm>
                          <a:prstGeom prst="rect">
                            <a:avLst/>
                          </a:prstGeom>
                        </pic:spPr>
                      </pic:pic>
                    </a:graphicData>
                  </a:graphic>
                </wp:inline>
              </w:drawing>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continue"/>
            <w:tcBorders>
              <w:top w:val="single" w:sz="4" w:space="0" w:color="98CBEA"/>
            </w:tcBorders>
            <w:tcMar>
              <w:top w:w="30" w:type="dxa"/>
              <w:left w:w="0" w:type="dxa"/>
              <w:bottom w:w="0" w:type="dxa"/>
              <w:right w:w="0" w:type="dxa"/>
            </w:tcMar>
            <w:vAlign w:val="center"/>
          </w:tcPr>
          <w:p>
            <w:pPr>
              <w:pStyle w:val="Normal"/>
              <w:bidi w:val="0"/>
              <w:jc w:val="left"/>
              <w:rPr/>
            </w:pPr>
            <w:r>
              <w:rPr/>
            </w:r>
          </w:p>
        </w:tc>
      </w:tr>
      <w:tr>
        <w:trPr/>
        <w:tc>
          <w:tcPr>
            <w:tcW w:w="79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restart"/>
            <w:tcBorders>
              <w:top w:val="single" w:sz="4" w:space="0" w:color="98CBEA"/>
              <w:bottom w:val="single" w:sz="8" w:space="0" w:color="8E4FBE"/>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8"/>
              </w:rPr>
            </w:pPr>
            <w:r>
              <w:rPr>
                <w:rFonts w:ascii="Graphik Light;sans-serif" w:hAnsi="Graphik Light;sans-serif"/>
                <w:b w:val="false"/>
                <w:color w:val="1D1D1D"/>
                <w:sz w:val="18"/>
              </w:rPr>
              <w:t>No dividends or dividend equivalents on unvested equity awards</w:t>
            </w:r>
          </w:p>
        </w:tc>
      </w:tr>
      <w:tr>
        <w:trPr/>
        <w:tc>
          <w:tcPr>
            <w:tcW w:w="791" w:type="dxa"/>
            <w:gridSpan w:val="3"/>
            <w:tcBorders>
              <w:bottom w:val="single" w:sz="8" w:space="0" w:color="8E4FBE"/>
            </w:tcBorders>
            <w:tcMar>
              <w:top w:w="0" w:type="dxa"/>
              <w:left w:w="0" w:type="dxa"/>
              <w:right w:w="0" w:type="dxa"/>
            </w:tcMar>
            <w:vAlign w:val="center"/>
          </w:tcPr>
          <w:p>
            <w:pPr>
              <w:pStyle w:val="TableContents"/>
              <w:bidi w:val="0"/>
              <w:spacing w:before="0" w:after="0"/>
              <w:jc w:val="right"/>
              <w:rPr/>
            </w:pPr>
            <w:r>
              <w:rPr/>
              <w:drawing>
                <wp:inline distT="0" distB="0" distL="0" distR="0">
                  <wp:extent cx="76200" cy="95250"/>
                  <wp:effectExtent l="0" t="0" r="0" b="0"/>
                  <wp:docPr id="21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1" descr=""/>
                          <pic:cNvPicPr>
                            <a:picLocks noChangeAspect="1" noChangeArrowheads="1"/>
                          </pic:cNvPicPr>
                        </pic:nvPicPr>
                        <pic:blipFill>
                          <a:blip r:embed="rId162"/>
                          <a:stretch>
                            <a:fillRect/>
                          </a:stretch>
                        </pic:blipFill>
                        <pic:spPr bwMode="auto">
                          <a:xfrm>
                            <a:off x="0" y="0"/>
                            <a:ext cx="76200" cy="95250"/>
                          </a:xfrm>
                          <a:prstGeom prst="rect">
                            <a:avLst/>
                          </a:prstGeom>
                        </pic:spPr>
                      </pic:pic>
                    </a:graphicData>
                  </a:graphic>
                </wp:inline>
              </w:drawing>
            </w:r>
          </w:p>
        </w:tc>
        <w:tc>
          <w:tcPr>
            <w:tcW w:w="756" w:type="dxa"/>
            <w:gridSpan w:val="3"/>
            <w:tcBorders>
              <w:bottom w:val="single" w:sz="8" w:space="0" w:color="8E4FB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vMerge w:val="continue"/>
            <w:tcBorders>
              <w:top w:val="single" w:sz="4" w:space="0" w:color="98CBEA"/>
              <w:bottom w:val="single" w:sz="8" w:space="0" w:color="8E4FBE"/>
            </w:tcBorders>
            <w:tcMar>
              <w:top w:w="30" w:type="dxa"/>
              <w:left w:w="0" w:type="dxa"/>
              <w:bottom w:w="30" w:type="dxa"/>
              <w:right w:w="0" w:type="dxa"/>
            </w:tcMar>
            <w:vAlign w:val="center"/>
          </w:tcPr>
          <w:p>
            <w:pPr>
              <w:pStyle w:val="Normal"/>
              <w:bidi w:val="0"/>
              <w:jc w:val="left"/>
              <w:rPr/>
            </w:pPr>
            <w:r>
              <w:rPr/>
            </w:r>
          </w:p>
        </w:tc>
      </w:tr>
    </w:tbl>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Say-on-Pay Results</w:t>
      </w:r>
    </w:p>
    <w:p>
      <w:pPr>
        <w:pStyle w:val="TextBody"/>
        <w:bidi w:val="0"/>
        <w:spacing w:lineRule="auto" w:line="336" w:before="0" w:after="180"/>
        <w:jc w:val="left"/>
        <w:rPr/>
      </w:pPr>
      <w:r>
        <w:rPr>
          <w:rFonts w:ascii="Graphik Light;sans-serif" w:hAnsi="Graphik Light;sans-serif"/>
          <w:b w:val="false"/>
          <w:color w:val="1D1D1D"/>
          <w:sz w:val="18"/>
        </w:rPr>
        <w:t xml:space="preserve">Veracyte received approximately 95.2% support from stockholders for our 2024 say-on-pay proposal. The Compensation Committee is appreciative of </w:t>
      </w:r>
      <w:r>
        <w:rPr>
          <w:rFonts w:ascii="Graphik Light;sans-serif" w:hAnsi="Graphik Light;sans-serif"/>
          <w:b w:val="false"/>
          <w:color w:val="1D1D1D"/>
          <w:sz w:val="18"/>
          <w:shd w:fill="FFFFFF" w:val="clear"/>
        </w:rPr>
        <w:t>this</w:t>
      </w:r>
      <w:r>
        <w:rPr>
          <w:color w:val="1D1D1D"/>
        </w:rPr>
        <w:t xml:space="preserve"> </w:t>
      </w:r>
      <w:r>
        <w:rPr>
          <w:rFonts w:ascii="Graphik Light;sans-serif" w:hAnsi="Graphik Light;sans-serif"/>
          <w:b w:val="false"/>
          <w:color w:val="1D1D1D"/>
          <w:sz w:val="18"/>
        </w:rPr>
        <w:t>support and believes it indicates that stockholders are supportive of our pay program structure and the alignment we have created between management and stockholder interests. The Compensation Committee will continue to consider the results of future stockholder votes, along with other forms of stockholder input and feedback, when structuring executive pay.</w:t>
      </w:r>
    </w:p>
    <w:tbl>
      <w:tblPr>
        <w:tblW w:w="6945" w:type="dxa"/>
        <w:jc w:val="left"/>
        <w:tblInd w:w="0" w:type="dxa"/>
        <w:tblLayout w:type="fixed"/>
        <w:tblCellMar>
          <w:top w:w="28" w:type="dxa"/>
          <w:left w:w="28" w:type="dxa"/>
          <w:bottom w:w="28" w:type="dxa"/>
          <w:right w:w="28" w:type="dxa"/>
        </w:tblCellMar>
      </w:tblPr>
      <w:tblGrid>
        <w:gridCol w:w="2221"/>
        <w:gridCol w:w="1953"/>
        <w:gridCol w:w="2771"/>
      </w:tblGrid>
      <w:tr>
        <w:trPr/>
        <w:tc>
          <w:tcPr>
            <w:tcW w:w="222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Graphik Medium;sans-serif" w:hAnsi="Graphik Medium;sans-serif"/>
                <w:b w:val="false"/>
                <w:color w:val="005CBA"/>
                <w:sz w:val="56"/>
              </w:rPr>
              <w:t>95.2</w:t>
            </w:r>
            <w:r>
              <w:rPr>
                <w:rFonts w:ascii="Graphik Medium;sans-serif" w:hAnsi="Graphik Medium;sans-serif"/>
                <w:b w:val="false"/>
                <w:color w:val="005CBA"/>
                <w:sz w:val="48"/>
              </w:rPr>
              <w:t>%</w:t>
            </w:r>
          </w:p>
          <w:p>
            <w:pPr>
              <w:pStyle w:val="TableContents"/>
              <w:bidi w:val="0"/>
              <w:spacing w:lineRule="auto" w:line="324" w:before="0" w:after="0"/>
              <w:jc w:val="left"/>
              <w:rPr>
                <w:rFonts w:ascii="Graphik;sans-serif" w:hAnsi="Graphik;sans-serif"/>
                <w:b w:val="false"/>
                <w:color w:val="1D1D1D"/>
                <w:sz w:val="20"/>
              </w:rPr>
            </w:pPr>
            <w:r>
              <w:rPr>
                <w:rFonts w:ascii="Graphik;sans-serif" w:hAnsi="Graphik;sans-serif"/>
                <w:b w:val="false"/>
                <w:color w:val="1D1D1D"/>
                <w:sz w:val="20"/>
              </w:rPr>
              <w:t>Support received from stockholders for our 2024 say-on-pay proposal</w:t>
            </w:r>
          </w:p>
        </w:tc>
      </w:tr>
      <w:tr>
        <w:trPr/>
        <w:tc>
          <w:tcPr>
            <w:tcW w:w="6945"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Executive Compensation Philosophy and Objectives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designed our executive compensation program to reward our executive officers, including our NEOs, at a level consistent with our overall strategic and financial performance and to provide remuneration sufficient to attract, retain and motivate them to exert their best efforts in the highly competitive environment in which we operate. We believe in providing competitive compensation packages consisting of a combination of base salary, an annual cash bonus and long-term incentive opportunities in the form of equity awards that are earned over a multi-year period.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660400"/>
                <wp:effectExtent l="0" t="0" r="0" b="0"/>
                <wp:wrapNone/>
                <wp:docPr id="216" name="Frame5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Compensation Determination Process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Role of Compensation Committee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Compensation Committee oversees our compensation policies, plans and benefits programs and determines and approves or makes recommendations to our Board of Directors regarding the compensation of our executive officers. In addition, our Compensation Committee reviews and approves or makes recommendations to our Board of Directors with respect to our major compensation plans, policies and programs and assesses whether our compensation structure establishes appropriate incentives for officers and employees. The Compensation Committee conducts an annual review of all components of executive compensation for all executive officers and approves compensation for all executive officers other than our Chief Executive Officer, for whom it recommends compensation to the Board of Directors. Chief Executive Officer compensation and overall bonus achievement are then approved by the independent members of our Board of Directors. The Compensation Committee also reviews and recommends non-employee directors’ compensation to the full Board of Directors on an annual basis. The Compensation Committee has the sole authority to select, retain, terminate and approve the fees and other retention terms of consultants as it deems appropriate to perform its duties.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Role of Management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Veracyte’s Chief Executive Officer is involved in the design and implementation of our executive compensation and is typically present at Compensation Committee meetings, except that the Chief Executive Officer is not present during any voting or deliberations on his compensation. In 2024, the Chief Executive Officer reviewed the analysis and recommendations of Aon, with the Compensation Committee and made recommendations regarding proposed salary, cash bonus opportunities and equity awards for our officers (other than himself). Management also participates in conducting annual risk assessments and ensuring that any risks involving compensation are properly mitigated. The Compensation Committee exercises its business judgment in accepting, rejecting and/or modifying any such executive compensation recommendations and approves all compensation and equity awards for all executive officers other than the Chief Executive Officer.</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Role of Independent Compensation Consultant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Compensation Committee retains an independent compensation consultant to provide professional expertise regarding a variety of executive compensation and market practices. The Compensation Committee believes that working with an independent compensation consultant furthers our objectives to recruit and retain qualified executives, align their interests with those of stockholders and ensure that their compensation packages will appropriately motivate and reward ongoing achievement of business goals. The independent consultant assists the Compensation Committee in setting compensation and designing a comprehensive plan. In 2024, the Compensation Committee retained Aon to provide the following services: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Reviewing and modifying the compensation peer group;</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Evaluating executive and director market pay analysis;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Developing executive and director pay programs;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Evaluating equity pay market analysis;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Examining the change in control and severance arrangement;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Updating certain proxy disclosures, including this CD&amp;A.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Compensation Committee annually evaluates the independent compensation consultant’s independence and performance under the applicable SEC and Nasdaq listing standards. Aon and its affiliates did not provide any services to us other than the services described in this proxy statement relating to director and executive compensation. The Compensation Committee conducted a specific review of its relationship with Aon in 2024, pursuant to the SEC rules and Nasdaq listing standards, and concluded that Aon’s work for the Compensation Committee did not raise any conflicts of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660400"/>
                <wp:effectExtent l="0" t="0" r="0" b="0"/>
                <wp:wrapNone/>
                <wp:docPr id="217" name="Frame5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Use of Competitive Data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To assess the competitiveness of our executive compensation program and compensation levels, our Compensation Committee, with the assistance of Aon, examines the competitive compensation data for senior executives of our peer companies examining overall pay, and each pay element. The Compensation Committee uses a peer group to reference and analyze recent market data and understand the marketplace.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also considers other factors such as individual performance, experience, history and scope of responsibility, current market conditions and the specific needs of the business at critical points in time. The Compensation Committee uses its best business judgment in setting pay with the peer group data as a reference point rather than as specific benchmark or a specific formula for allocated pay across the various elements. The Compensation Committee conducts an annual assessment of the peer group to ensure that it reflects Veracyte’s most current financial and sector-specific standing.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2024 Peer Group</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Aon helped the Compensation Committee identify companies similar to us with respect to sector and market capitalization, as well as revenue and headcount, to provide a broad perspective on competitive pay levels and practices. The Compensation Committee also considers criteria from outside investors and the talent market when selecting the final criteria and list of companies. The following criteria were applied in developing the peer group used for 2024 compensation decisions:</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Sector</w:t>
      </w:r>
      <w:r>
        <w:rPr>
          <w:color w:val="1D1D1D"/>
        </w:rPr>
        <w:t xml:space="preserve"> </w:t>
      </w:r>
      <w:r>
        <w:rPr>
          <w:rFonts w:ascii="Graphik Light;sans-serif" w:hAnsi="Graphik Light;sans-serif"/>
          <w:b w:val="false"/>
          <w:color w:val="1D1D1D"/>
          <w:sz w:val="18"/>
        </w:rPr>
        <w:t>- Biotechnology/Pharmaceuticals, Life Sciences Tools and Services, and Health Care Equipment &amp; Supplies companies;</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Market Capitalization</w:t>
      </w:r>
      <w:r>
        <w:rPr>
          <w:color w:val="1D1D1D"/>
        </w:rPr>
        <w:t xml:space="preserve"> </w:t>
      </w:r>
      <w:r>
        <w:rPr>
          <w:rFonts w:ascii="Graphik Light;sans-serif" w:hAnsi="Graphik Light;sans-serif"/>
          <w:b w:val="false"/>
          <w:color w:val="1D1D1D"/>
          <w:sz w:val="18"/>
        </w:rPr>
        <w:t>- $600.0 million to $5.6 billion, which was 0.3x to 3.0x; and</w:t>
      </w:r>
    </w:p>
    <w:p>
      <w:pPr>
        <w:pStyle w:val="TextBody"/>
        <w:bidi w:val="0"/>
        <w:spacing w:lineRule="auto" w:line="336" w:before="0" w:after="180"/>
        <w:ind w:left="0" w:right="0" w:hanging="270"/>
        <w:jc w:val="left"/>
        <w:rPr/>
      </w:pPr>
      <w:r>
        <w:rPr>
          <w:color w:val="005CBA"/>
        </w:rPr>
        <w:t>•</w:t>
      </w:r>
      <w:r>
        <w:rPr>
          <w:rFonts w:ascii="Graphik Semibold;sans-serif" w:hAnsi="Graphik Semibold;sans-serif"/>
          <w:b/>
          <w:color w:val="1D1D1D"/>
          <w:sz w:val="18"/>
        </w:rPr>
        <w:t>Revenue</w:t>
      </w:r>
      <w:r>
        <w:rPr>
          <w:color w:val="1D1D1D"/>
        </w:rPr>
        <w:t xml:space="preserve"> </w:t>
      </w:r>
      <w:r>
        <w:rPr>
          <w:rFonts w:ascii="Graphik Light;sans-serif" w:hAnsi="Graphik Light;sans-serif"/>
          <w:b w:val="false"/>
          <w:color w:val="1D1D1D"/>
          <w:sz w:val="18"/>
        </w:rPr>
        <w:t>- 0.5x to 3x Veracyte’s projected revenues.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Using these criteria, in July 2023 the following 18 companies were approved to make up our 2024 peer group^:</w:t>
      </w:r>
    </w:p>
    <w:tbl>
      <w:tblPr>
        <w:tblW w:w="8833" w:type="dxa"/>
        <w:jc w:val="left"/>
        <w:tblInd w:w="0" w:type="dxa"/>
        <w:tblLayout w:type="fixed"/>
        <w:tblCellMar>
          <w:top w:w="28" w:type="dxa"/>
          <w:left w:w="28" w:type="dxa"/>
          <w:bottom w:w="28" w:type="dxa"/>
          <w:right w:w="28" w:type="dxa"/>
        </w:tblCellMar>
      </w:tblPr>
      <w:tblGrid>
        <w:gridCol w:w="1228"/>
        <w:gridCol w:w="1079"/>
        <w:gridCol w:w="1082"/>
        <w:gridCol w:w="949"/>
        <w:gridCol w:w="949"/>
        <w:gridCol w:w="951"/>
        <w:gridCol w:w="760"/>
        <w:gridCol w:w="760"/>
        <w:gridCol w:w="1075"/>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10x Genomics (TXG)*</w:t>
            </w:r>
          </w:p>
        </w:tc>
        <w:tc>
          <w:tcPr>
            <w:tcW w:w="2849"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Adaptive Biotechnologies (ADPT)</w:t>
            </w:r>
          </w:p>
        </w:tc>
        <w:tc>
          <w:tcPr>
            <w:tcW w:w="2595"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Amicus Therapeutics (FOLD)*</w:t>
            </w:r>
          </w:p>
        </w:tc>
      </w:tr>
      <w:tr>
        <w:trPr/>
        <w:tc>
          <w:tcPr>
            <w:tcW w:w="338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CareDx (CDNA)</w:t>
            </w:r>
          </w:p>
        </w:tc>
        <w:tc>
          <w:tcPr>
            <w:tcW w:w="28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Cytek Biosciences (CTKB)</w:t>
            </w:r>
          </w:p>
        </w:tc>
        <w:tc>
          <w:tcPr>
            <w:tcW w:w="259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Exact Sciences (EXAS)</w:t>
            </w:r>
          </w:p>
        </w:tc>
      </w:tr>
      <w:tr>
        <w:trPr/>
        <w:tc>
          <w:tcPr>
            <w:tcW w:w="338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Fulgent Genetics (FLGT)*</w:t>
            </w:r>
          </w:p>
        </w:tc>
        <w:tc>
          <w:tcPr>
            <w:tcW w:w="28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Glaukos (GKOS)*</w:t>
            </w:r>
          </w:p>
        </w:tc>
        <w:tc>
          <w:tcPr>
            <w:tcW w:w="259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Guardant Health (GH)</w:t>
            </w:r>
          </w:p>
        </w:tc>
      </w:tr>
      <w:tr>
        <w:trPr/>
        <w:tc>
          <w:tcPr>
            <w:tcW w:w="338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Invitae (NVTA)</w:t>
            </w:r>
          </w:p>
        </w:tc>
        <w:tc>
          <w:tcPr>
            <w:tcW w:w="28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Maravai Lifesciences (MRVI)*</w:t>
            </w:r>
          </w:p>
        </w:tc>
        <w:tc>
          <w:tcPr>
            <w:tcW w:w="259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Myriad Genetics (MYGN)</w:t>
            </w:r>
          </w:p>
        </w:tc>
      </w:tr>
      <w:tr>
        <w:trPr/>
        <w:tc>
          <w:tcPr>
            <w:tcW w:w="338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Natera (NTRA)</w:t>
            </w:r>
          </w:p>
        </w:tc>
        <w:tc>
          <w:tcPr>
            <w:tcW w:w="284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NeoGenomics (NEO)</w:t>
            </w:r>
          </w:p>
        </w:tc>
        <w:tc>
          <w:tcPr>
            <w:tcW w:w="259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Nevro (NVRO)*</w:t>
            </w:r>
          </w:p>
        </w:tc>
      </w:tr>
      <w:tr>
        <w:trPr/>
        <w:tc>
          <w:tcPr>
            <w:tcW w:w="3389"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Pacific Biosciences of California (PACB)</w:t>
            </w:r>
          </w:p>
        </w:tc>
        <w:tc>
          <w:tcPr>
            <w:tcW w:w="2849"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Twist Bioscience (TWST)</w:t>
            </w:r>
          </w:p>
        </w:tc>
        <w:tc>
          <w:tcPr>
            <w:tcW w:w="259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Vericel (VCEL)</w:t>
            </w:r>
          </w:p>
        </w:tc>
      </w:tr>
    </w:tbl>
    <w:p>
      <w:pPr>
        <w:pStyle w:val="TextBody"/>
        <w:bidi w:val="0"/>
        <w:spacing w:lineRule="auto" w:line="300" w:before="0" w:after="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Castle Biosciences, Codexis and NanoString Technologies were removed from the peer list due to no longer fitting the criteria.</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     New in 2024.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At the time of approval, Veracyte was near the 50th percentile for revenue and market capitalization, reinforcing the balance in the group of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660400"/>
                <wp:effectExtent l="0" t="0" r="0" b="0"/>
                <wp:wrapNone/>
                <wp:docPr id="218" name="Frame5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Consideration of Compensation Risk</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compensation governance practices provide an appropriate framework for our executives to achieve our strategic goals without encouraging them to take excessive risks in their business decisions. </w:t>
      </w:r>
    </w:p>
    <w:p>
      <w:pPr>
        <w:pStyle w:val="TextBody"/>
        <w:bidi w:val="0"/>
        <w:spacing w:lineRule="auto" w:line="336" w:before="0" w:after="160"/>
        <w:jc w:val="left"/>
        <w:rPr>
          <w:rFonts w:ascii="Graphik Light;sans-serif" w:hAnsi="Graphik Light;sans-serif"/>
          <w:b w:val="false"/>
          <w:color w:val="1D1D1D"/>
          <w:sz w:val="18"/>
        </w:rPr>
      </w:pPr>
      <w:r>
        <w:rPr>
          <w:rFonts w:ascii="Graphik Light;sans-serif" w:hAnsi="Graphik Light;sans-serif"/>
          <w:b w:val="false"/>
          <w:color w:val="1D1D1D"/>
          <w:sz w:val="18"/>
        </w:rPr>
        <w:t xml:space="preserve">On an annual basis, the Compensation Committee conducts a thorough risk assessment of our compensation programs and practices to analyze whether they encourage employees to take excessive or inappropriate risks. After conducting this analysis, the Compensation Committee concluded our compensation programs are, on balance, consistent with market practice and do not present material risks to us. The reasons for the Compensation Committee’s determination include the following: </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 xml:space="preserve">We structure our compensation programs to consist of both fixed and variable components. The fixed (or base salary) component of our compensation programs is designed to provide income independent of our stock price performance so that employees will not focus exclusively on stock price performance to the detriment of other important business metrics. The variable (cash bonus and equity) components of our compensation programs are designed to reward both short- and long-term company performance, which we believe discourages employees from taking actions that focus only on our short-term success and helps align our employees with our stockholders and on our longer-term success. </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 xml:space="preserve">We maintain internal controls over the measurement and calculation of financial information, which are designed to prevent this information from being manipulated by any employee, including our executive officers. </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 xml:space="preserve">While we generally do not cap cash incentive awards for our sales commissions plans to maximize the incentive for our sales force to meet and exceed their revenue and other commercial objectives, we do maintain internal controls over the determination of sales incentive awards, which we believe helps prevent problematic behaviors. </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 xml:space="preserve">Our employees are required to comply with our Code of Conduct, which covers, among other things, accuracy in keeping financial and business records. </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 xml:space="preserve">As part of our Insider Trading Policy, we prohibit the trading of derivatives or hedging transactions involving our securities so that our Board of Directors, executive officers and all other employees cannot insulate themselves from the effects of poor stock price performance or engage in trading that is not aligned with value creation for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Elements of Our Executive Compensation Program</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To maintain a competitive and comprehensive pay package, we utilize three primary compensation vehicles to reward our executives: base salary, annual cash incentives and long-term equity compensation. When setting our compensation practices, we ensure that our program will focus our executive officers on leading our entire organization toward achieving both short-term and long-term strategic, financial and operational goals, and increasing stockholder value, without encouraging excessive risk-taking.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2024 Base Salaries</w:t>
      </w:r>
    </w:p>
    <w:p>
      <w:pPr>
        <w:pStyle w:val="TextBody"/>
        <w:bidi w:val="0"/>
        <w:spacing w:lineRule="auto" w:line="336" w:before="0" w:after="160"/>
        <w:jc w:val="left"/>
        <w:rPr>
          <w:rFonts w:ascii="Graphik Light;sans-serif" w:hAnsi="Graphik Light;sans-serif"/>
          <w:b w:val="false"/>
          <w:color w:val="1D1D1D"/>
          <w:sz w:val="18"/>
        </w:rPr>
      </w:pPr>
      <w:r>
        <w:rPr>
          <w:rFonts w:ascii="Graphik Light;sans-serif" w:hAnsi="Graphik Light;sans-serif"/>
          <w:b w:val="false"/>
          <w:color w:val="1D1D1D"/>
          <w:sz w:val="18"/>
        </w:rPr>
        <w:t>Base salaries serve to provide fixed cash compensation to our executive officers for performing their ongoing responsibilities. Base salaries for our executive officers are approved by the Compensation Committee upon the executive joining us, and then reviewed and adjusted, as appropriate, by the Compensation Committee on an annual basis, in consultation with Aon and based on consideration of various factors, including:</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The individual’s role and responsibilities;</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Individual contribution and performance of the past year;</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Overall experience and expertise;</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Current Veracyte base salary;</w:t>
      </w:r>
    </w:p>
    <w:p>
      <w:pPr>
        <w:pStyle w:val="TextBody"/>
        <w:bidi w:val="0"/>
        <w:spacing w:lineRule="auto" w:line="336" w:before="0" w:after="80"/>
        <w:ind w:left="0" w:right="0" w:hanging="270"/>
        <w:jc w:val="left"/>
        <w:rPr/>
      </w:pPr>
      <w:r>
        <w:rPr>
          <w:color w:val="005CBA"/>
        </w:rPr>
        <w:t>•</w:t>
      </w:r>
      <w:r>
        <w:rPr>
          <w:rFonts w:ascii="Graphik Light;sans-serif" w:hAnsi="Graphik Light;sans-serif"/>
          <w:b w:val="false"/>
          <w:color w:val="1D1D1D"/>
          <w:sz w:val="18"/>
        </w:rPr>
        <w:t>Corporate performance;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Salaries for similar positions within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660400"/>
                <wp:effectExtent l="0" t="0" r="0" b="0"/>
                <wp:wrapNone/>
                <wp:docPr id="219" name="Frame5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Our Compensation Committee and, with respect to our Chief Executive Officer, the independent members of the Board of Directors, approved the following base salaries for our NEOs in February 2023 in a similar manner, and at similar levels as our company-wide practices. </w:t>
      </w:r>
    </w:p>
    <w:tbl>
      <w:tblPr>
        <w:tblW w:w="7000" w:type="dxa"/>
        <w:jc w:val="left"/>
        <w:tblInd w:w="0" w:type="dxa"/>
        <w:tblLayout w:type="fixed"/>
        <w:tblCellMar>
          <w:top w:w="28" w:type="dxa"/>
          <w:left w:w="28" w:type="dxa"/>
          <w:bottom w:w="28" w:type="dxa"/>
          <w:right w:w="28" w:type="dxa"/>
        </w:tblCellMar>
      </w:tblPr>
      <w:tblGrid>
        <w:gridCol w:w="124"/>
        <w:gridCol w:w="109"/>
        <w:gridCol w:w="109"/>
        <w:gridCol w:w="614"/>
        <w:gridCol w:w="614"/>
        <w:gridCol w:w="617"/>
        <w:gridCol w:w="569"/>
        <w:gridCol w:w="569"/>
        <w:gridCol w:w="572"/>
        <w:gridCol w:w="569"/>
        <w:gridCol w:w="569"/>
        <w:gridCol w:w="572"/>
        <w:gridCol w:w="340"/>
        <w:gridCol w:w="340"/>
        <w:gridCol w:w="3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Executive</w:t>
            </w:r>
          </w:p>
        </w:tc>
        <w:tc>
          <w:tcPr>
            <w:tcW w:w="171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2023 Base Salary</w:t>
              <w:br/>
              <w:t>($)</w:t>
            </w:r>
          </w:p>
        </w:tc>
        <w:tc>
          <w:tcPr>
            <w:tcW w:w="171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2024 Base Salary</w:t>
              <w:br/>
              <w:t>($)</w:t>
            </w:r>
          </w:p>
        </w:tc>
        <w:tc>
          <w:tcPr>
            <w:tcW w:w="102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Change</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113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650,000 </w:t>
            </w:r>
          </w:p>
        </w:tc>
        <w:tc>
          <w:tcPr>
            <w:tcW w:w="572"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675,000 </w:t>
            </w:r>
          </w:p>
        </w:tc>
        <w:tc>
          <w:tcPr>
            <w:tcW w:w="572"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3.8 </w:t>
            </w:r>
          </w:p>
        </w:tc>
        <w:tc>
          <w:tcPr>
            <w:tcW w:w="34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510,000 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530,400 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4.0 </w:t>
            </w:r>
          </w:p>
        </w:tc>
        <w:tc>
          <w:tcPr>
            <w:tcW w:w="3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Phillip Febbo</w:t>
            </w:r>
            <w:r>
              <w:rPr>
                <w:rFonts w:ascii="Graphik Semibold;sans-serif" w:hAnsi="Graphik Semibold;sans-serif"/>
                <w:b/>
                <w:color w:val="1D1D1D"/>
                <w:sz w:val="10"/>
              </w:rPr>
              <w:t>(1)</w:t>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0.0 </w:t>
            </w:r>
          </w:p>
        </w:tc>
        <w:tc>
          <w:tcPr>
            <w:tcW w:w="3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John Leite</w:t>
            </w:r>
            <w:r>
              <w:rPr>
                <w:rFonts w:ascii="Graphik Semibold;sans-serif" w:hAnsi="Graphik Semibold;sans-serif"/>
                <w:b/>
                <w:color w:val="1D1D1D"/>
                <w:sz w:val="10"/>
              </w:rPr>
              <w:t>(2)</w:t>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450,000 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472,500 </w:t>
            </w:r>
          </w:p>
        </w:tc>
        <w:tc>
          <w:tcPr>
            <w:tcW w:w="57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5.0 </w:t>
            </w:r>
          </w:p>
        </w:tc>
        <w:tc>
          <w:tcPr>
            <w:tcW w:w="3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Annie McGuire</w:t>
            </w:r>
            <w:r>
              <w:rPr>
                <w:rFonts w:ascii="Graphik Semibold;sans-serif" w:hAnsi="Graphik Semibold;sans-serif"/>
                <w:b/>
                <w:color w:val="1D1D1D"/>
                <w:sz w:val="10"/>
              </w:rPr>
              <w:t>(3)</w:t>
            </w:r>
          </w:p>
        </w:tc>
        <w:tc>
          <w:tcPr>
            <w:tcW w:w="113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440,000 </w:t>
            </w:r>
          </w:p>
        </w:tc>
        <w:tc>
          <w:tcPr>
            <w:tcW w:w="572"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470,800 </w:t>
            </w:r>
          </w:p>
        </w:tc>
        <w:tc>
          <w:tcPr>
            <w:tcW w:w="572"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7.0 </w:t>
            </w:r>
          </w:p>
        </w:tc>
        <w:tc>
          <w:tcPr>
            <w:tcW w:w="34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(1)Dr. Febbo was hired as Chief Scientific and Chief Medical Officer effective October 2, 2023. His salary for 2024 was approved in connection with his appointment.</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(2)Dr. Leite was promoted from Senior Vice President, General Manager, Pulmonology &amp; Market Access to Chief Commercial Officer, CLIA effective September 1, 2023. Dr. Leite’s salary was increased to $450,000 in connection to his promotion.</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(3)Ms. McGuire assumed oversight of the project management office effective January 2024. Ms. McGuire’s salary increase is reflective of the role expansion and annual salary review.</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2024 Annual Cash Incentives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provide our executives, including our NEOs, with the opportunity to annually earn cash incentives to encourage the achievement of corporate objectives, and to reward those individuals who significantly impact our corporate results. Payments under our annual bonus plan are based on the achievement of corporate goals established by our Board of Directors. Actual performance against these metrics funds the annual bonus plan pool and threshold levels of performance must be met for the pool to be funded.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Each of our NEOs participated in our 2024 annual bonus plan. Executive officers who participate in this plan have an established annual incentive target, which is equal to a percentage of their base salary. The actual earned annual incentive bonus, if any, is calculated based on the bonus plan pool funding, pre-established company performance metrics and any adjustments for individual performance as assessed by the Compensation Committee (taking into consideration the assessment by the Chief Executive Officer) for the NEOs, and by the Board of Directors for the Chief Executive Officer. For 2024, our NEOs had the annual bonus target opportunities set forth in the table below. The target opportunities as a percentage of base salary for our incumbent NEOs were unchanged when compared to 2023. The maximum funding under the plan is 150% of target. </w:t>
      </w:r>
    </w:p>
    <w:tbl>
      <w:tblPr>
        <w:tblW w:w="4898" w:type="dxa"/>
        <w:jc w:val="left"/>
        <w:tblInd w:w="0" w:type="dxa"/>
        <w:tblLayout w:type="fixed"/>
        <w:tblCellMar>
          <w:top w:w="28" w:type="dxa"/>
          <w:left w:w="28" w:type="dxa"/>
          <w:bottom w:w="28" w:type="dxa"/>
          <w:right w:w="28" w:type="dxa"/>
        </w:tblCellMar>
      </w:tblPr>
      <w:tblGrid>
        <w:gridCol w:w="124"/>
        <w:gridCol w:w="109"/>
        <w:gridCol w:w="109"/>
        <w:gridCol w:w="614"/>
        <w:gridCol w:w="614"/>
        <w:gridCol w:w="617"/>
        <w:gridCol w:w="779"/>
        <w:gridCol w:w="779"/>
        <w:gridCol w:w="7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Executive</w:t>
            </w:r>
          </w:p>
        </w:tc>
        <w:tc>
          <w:tcPr>
            <w:tcW w:w="233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Target Annual Incentive</w:t>
              <w:br/>
              <w:t>(as % of base salary)</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155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100 </w:t>
            </w:r>
          </w:p>
        </w:tc>
        <w:tc>
          <w:tcPr>
            <w:tcW w:w="78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55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7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155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7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155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78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155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78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660400"/>
                <wp:effectExtent l="0" t="0" r="0" b="0"/>
                <wp:wrapNone/>
                <wp:docPr id="220" name="Frame5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2024 Bonus Plan Awards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February 2024, the independent members of our Board of Directors, on the recommendation of the Compensation Committee, approved corporate goals for our 2024 annual bonus plan. Under the plan, eligible employees, including our NEOs, were eligible to receive a cash bonus if we achieved the corporate goals approved by our Board of Directors, as described in the table below.</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maintained revenue as the primary financial performance measure to be used to determine annual cash bonuses as it is the best indicator of our growth in terms of aggregate test volume and sales, and successful execution of our annual operating plan. In addition, the Compensation Committee maintained our cash balance as a second key measure to determine annual cash bonuses to provide an incentive to manage our cash expenditures as we navigated toward profitability.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With respect to our NEOs, the bonus pool could be funded from 0% to 150% based upon achieving certain annual revenue and ending cash balance goals that were pre-established to align with our long-range goals as follows:</w:t>
      </w:r>
    </w:p>
    <w:tbl>
      <w:tblPr>
        <w:tblW w:w="5740" w:type="dxa"/>
        <w:jc w:val="left"/>
        <w:tblInd w:w="0" w:type="dxa"/>
        <w:tblLayout w:type="fixed"/>
        <w:tblCellMar>
          <w:top w:w="28" w:type="dxa"/>
          <w:left w:w="28" w:type="dxa"/>
          <w:bottom w:w="28" w:type="dxa"/>
          <w:right w:w="28" w:type="dxa"/>
        </w:tblCellMar>
      </w:tblPr>
      <w:tblGrid>
        <w:gridCol w:w="124"/>
        <w:gridCol w:w="109"/>
        <w:gridCol w:w="109"/>
        <w:gridCol w:w="413"/>
        <w:gridCol w:w="413"/>
        <w:gridCol w:w="419"/>
        <w:gridCol w:w="245"/>
        <w:gridCol w:w="245"/>
        <w:gridCol w:w="576"/>
        <w:gridCol w:w="109"/>
        <w:gridCol w:w="109"/>
        <w:gridCol w:w="109"/>
        <w:gridCol w:w="203"/>
        <w:gridCol w:w="203"/>
        <w:gridCol w:w="310"/>
        <w:gridCol w:w="263"/>
        <w:gridCol w:w="263"/>
        <w:gridCol w:w="310"/>
        <w:gridCol w:w="263"/>
        <w:gridCol w:w="263"/>
        <w:gridCol w:w="3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Funding Amount</w:t>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Goals</w:t>
            </w:r>
          </w:p>
        </w:tc>
        <w:tc>
          <w:tcPr>
            <w:tcW w:w="10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Weighting</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005CBA" w:val="clear"/>
            <w:tcMar>
              <w:top w:w="0" w:type="dxa"/>
              <w:left w:w="0" w:type="dxa"/>
              <w:bottom w:w="0" w:type="dxa"/>
              <w:right w:w="0" w:type="dxa"/>
            </w:tcMar>
            <w:vAlign w:val="center"/>
          </w:tcPr>
          <w:p>
            <w:pPr>
              <w:pStyle w:val="TableContents"/>
              <w:bidi w:val="0"/>
              <w:spacing w:lineRule="auto" w:line="288" w:before="0" w:after="283"/>
              <w:jc w:val="right"/>
              <w:rPr/>
            </w:pPr>
            <w:r>
              <w:rPr>
                <w:rFonts w:ascii="Graphik Semibold;sans-serif" w:hAnsi="Graphik Semibold;sans-serif"/>
                <w:b/>
                <w:color w:val="FFFFFF"/>
                <w:sz w:val="16"/>
              </w:rPr>
              <w:t>75</w:t>
            </w:r>
            <w:r>
              <w:rPr>
                <w:color w:val="FFFFFF"/>
              </w:rPr>
              <w:t> </w:t>
            </w:r>
          </w:p>
        </w:tc>
        <w:tc>
          <w:tcPr>
            <w:tcW w:w="310" w:type="dxa"/>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w:t>
            </w:r>
          </w:p>
        </w:tc>
        <w:tc>
          <w:tcPr>
            <w:tcW w:w="526" w:type="dxa"/>
            <w:gridSpan w:val="2"/>
            <w:tcBorders/>
            <w:shd w:fill="005CBA" w:val="clear"/>
            <w:tcMar>
              <w:top w:w="0" w:type="dxa"/>
              <w:left w:w="0" w:type="dxa"/>
              <w:bottom w:w="0" w:type="dxa"/>
              <w:right w:w="0" w:type="dxa"/>
            </w:tcMar>
            <w:vAlign w:val="center"/>
          </w:tcPr>
          <w:p>
            <w:pPr>
              <w:pStyle w:val="TableContents"/>
              <w:bidi w:val="0"/>
              <w:spacing w:lineRule="auto" w:line="288" w:before="0" w:after="283"/>
              <w:jc w:val="right"/>
              <w:rPr/>
            </w:pPr>
            <w:r>
              <w:rPr>
                <w:rFonts w:ascii="Graphik Semibold;sans-serif" w:hAnsi="Graphik Semibold;sans-serif"/>
                <w:b/>
                <w:color w:val="FFFFFF"/>
                <w:sz w:val="16"/>
              </w:rPr>
              <w:t>100</w:t>
            </w:r>
            <w:r>
              <w:rPr>
                <w:color w:val="FFFFFF"/>
              </w:rPr>
              <w:t> </w:t>
            </w:r>
          </w:p>
        </w:tc>
        <w:tc>
          <w:tcPr>
            <w:tcW w:w="310" w:type="dxa"/>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w:t>
            </w:r>
          </w:p>
        </w:tc>
        <w:tc>
          <w:tcPr>
            <w:tcW w:w="526" w:type="dxa"/>
            <w:gridSpan w:val="2"/>
            <w:tcBorders/>
            <w:shd w:fill="005CBA" w:val="clear"/>
            <w:tcMar>
              <w:top w:w="0" w:type="dxa"/>
              <w:left w:w="0" w:type="dxa"/>
              <w:bottom w:w="0" w:type="dxa"/>
              <w:right w:w="0" w:type="dxa"/>
            </w:tcMar>
            <w:vAlign w:val="center"/>
          </w:tcPr>
          <w:p>
            <w:pPr>
              <w:pStyle w:val="TableContents"/>
              <w:bidi w:val="0"/>
              <w:spacing w:lineRule="auto" w:line="288" w:before="0" w:after="283"/>
              <w:jc w:val="right"/>
              <w:rPr/>
            </w:pPr>
            <w:r>
              <w:rPr>
                <w:rFonts w:ascii="Graphik Semibold;sans-serif" w:hAnsi="Graphik Semibold;sans-serif"/>
                <w:b/>
                <w:color w:val="FFFFFF"/>
                <w:sz w:val="16"/>
              </w:rPr>
              <w:t>150</w:t>
            </w:r>
            <w:r>
              <w:rPr>
                <w:color w:val="FFFFFF"/>
              </w:rPr>
              <w:t> </w:t>
            </w:r>
          </w:p>
        </w:tc>
        <w:tc>
          <w:tcPr>
            <w:tcW w:w="310" w:type="dxa"/>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Revenue</w:t>
            </w:r>
          </w:p>
        </w:tc>
        <w:tc>
          <w:tcPr>
            <w:tcW w:w="49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60 </w:t>
            </w:r>
          </w:p>
        </w:tc>
        <w:tc>
          <w:tcPr>
            <w:tcW w:w="576" w:type="dxa"/>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$394M</w:t>
            </w:r>
          </w:p>
        </w:tc>
        <w:tc>
          <w:tcPr>
            <w:tcW w:w="83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$408M</w:t>
            </w:r>
          </w:p>
        </w:tc>
        <w:tc>
          <w:tcPr>
            <w:tcW w:w="83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$436M</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Cash Balance</w:t>
            </w:r>
          </w:p>
        </w:tc>
        <w:tc>
          <w:tcPr>
            <w:tcW w:w="49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40 </w:t>
            </w:r>
          </w:p>
        </w:tc>
        <w:tc>
          <w:tcPr>
            <w:tcW w:w="57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$228M</w:t>
            </w:r>
          </w:p>
        </w:tc>
        <w:tc>
          <w:tcPr>
            <w:tcW w:w="83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$245M</w:t>
            </w:r>
          </w:p>
        </w:tc>
        <w:tc>
          <w:tcPr>
            <w:tcW w:w="83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$279M</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For 2024, the annual incentive bonuses for the NEOs were determined based solely on Veracyte performance and did not include an individual performance multiplier. Actual annual performance bonus awards paid out under the plan could be greater or less than the NEOs’ individual targets, as determined by the independent members of our Board of Directors at their discretion, considering the recommendation of the Compensation Committee. The Board of Directors did not exercise this discretion when determining the final awards for 2024.</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February 2025, the independent members of our Board of Directors, on the recommendation of the Compensation Committee, determined 2024 performance and the resulting cash bonus awards. For 2024, our total revenue, adjusted for the effect of changes in foreign currency exchange rates, was $446 million, which exceeded our goal of $408 million (an increase over the 2023 goal of $340 million and actual result of $358.5 million). For 2024, our ending cash balance was $289 million, which exceeded our goal of greater than $245 million (an increase over the 2023 goal of $160 million and actual result of $216.4 million).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Each metric is calculated individually, and the sum of the calculations determines the potential bonus pool payout:</w:t>
      </w:r>
    </w:p>
    <w:tbl>
      <w:tblPr>
        <w:tblW w:w="9070" w:type="dxa"/>
        <w:jc w:val="left"/>
        <w:tblInd w:w="0" w:type="dxa"/>
        <w:tblLayout w:type="fixed"/>
        <w:tblCellMar>
          <w:top w:w="28" w:type="dxa"/>
          <w:left w:w="28" w:type="dxa"/>
          <w:bottom w:w="28" w:type="dxa"/>
          <w:right w:w="28" w:type="dxa"/>
        </w:tblCellMar>
      </w:tblPr>
      <w:tblGrid>
        <w:gridCol w:w="124"/>
        <w:gridCol w:w="109"/>
        <w:gridCol w:w="109"/>
        <w:gridCol w:w="617"/>
        <w:gridCol w:w="617"/>
        <w:gridCol w:w="625"/>
        <w:gridCol w:w="245"/>
        <w:gridCol w:w="245"/>
        <w:gridCol w:w="576"/>
        <w:gridCol w:w="320"/>
        <w:gridCol w:w="320"/>
        <w:gridCol w:w="321"/>
        <w:gridCol w:w="259"/>
        <w:gridCol w:w="259"/>
        <w:gridCol w:w="261"/>
        <w:gridCol w:w="330"/>
        <w:gridCol w:w="330"/>
        <w:gridCol w:w="331"/>
        <w:gridCol w:w="235"/>
        <w:gridCol w:w="235"/>
        <w:gridCol w:w="236"/>
        <w:gridCol w:w="444"/>
        <w:gridCol w:w="444"/>
        <w:gridCol w:w="11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Metric</w:t>
            </w:r>
          </w:p>
        </w:tc>
        <w:tc>
          <w:tcPr>
            <w:tcW w:w="10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Weighting</w:t>
            </w:r>
          </w:p>
        </w:tc>
        <w:tc>
          <w:tcPr>
            <w:tcW w:w="96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Minimum</w:t>
              <w:br/>
              <w:t> (75%)</w:t>
            </w:r>
          </w:p>
        </w:tc>
        <w:tc>
          <w:tcPr>
            <w:tcW w:w="77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Target</w:t>
              <w:br/>
              <w:t>(100%)</w:t>
            </w:r>
          </w:p>
        </w:tc>
        <w:tc>
          <w:tcPr>
            <w:tcW w:w="99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Maximum</w:t>
              <w:br/>
              <w:t> (150%)</w:t>
            </w:r>
          </w:p>
        </w:tc>
        <w:tc>
          <w:tcPr>
            <w:tcW w:w="70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Actual</w:t>
            </w:r>
          </w:p>
        </w:tc>
        <w:tc>
          <w:tcPr>
            <w:tcW w:w="199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Achievement </w:t>
              <w:br/>
              <w:t>(% of target payout)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Total Revenue</w:t>
            </w:r>
          </w:p>
        </w:tc>
        <w:tc>
          <w:tcPr>
            <w:tcW w:w="49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60 </w:t>
            </w:r>
          </w:p>
        </w:tc>
        <w:tc>
          <w:tcPr>
            <w:tcW w:w="576" w:type="dxa"/>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96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$394M</w:t>
            </w:r>
          </w:p>
        </w:tc>
        <w:tc>
          <w:tcPr>
            <w:tcW w:w="779"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$408M</w:t>
            </w:r>
          </w:p>
        </w:tc>
        <w:tc>
          <w:tcPr>
            <w:tcW w:w="99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$436M</w:t>
            </w:r>
          </w:p>
        </w:tc>
        <w:tc>
          <w:tcPr>
            <w:tcW w:w="70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$446M</w:t>
            </w:r>
          </w:p>
        </w:tc>
        <w:tc>
          <w:tcPr>
            <w:tcW w:w="888"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150 </w:t>
            </w:r>
          </w:p>
        </w:tc>
        <w:tc>
          <w:tcPr>
            <w:tcW w:w="1106" w:type="dxa"/>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Ending Cash Balance</w:t>
            </w:r>
          </w:p>
        </w:tc>
        <w:tc>
          <w:tcPr>
            <w:tcW w:w="49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40 </w:t>
            </w:r>
          </w:p>
        </w:tc>
        <w:tc>
          <w:tcPr>
            <w:tcW w:w="576" w:type="dxa"/>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96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$228M</w:t>
            </w:r>
          </w:p>
        </w:tc>
        <w:tc>
          <w:tcPr>
            <w:tcW w:w="77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$245M</w:t>
            </w:r>
          </w:p>
        </w:tc>
        <w:tc>
          <w:tcPr>
            <w:tcW w:w="9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$279M</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$289M</w:t>
            </w:r>
          </w:p>
        </w:tc>
        <w:tc>
          <w:tcPr>
            <w:tcW w:w="888"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150 </w:t>
            </w:r>
          </w:p>
        </w:tc>
        <w:tc>
          <w:tcPr>
            <w:tcW w:w="1106" w:type="dxa"/>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Total</w:t>
            </w:r>
          </w:p>
        </w:tc>
        <w:tc>
          <w:tcPr>
            <w:tcW w:w="106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Semibold;sans-serif" w:hAnsi="Graphik Semibold;sans-serif"/>
                <w:b/>
                <w:color w:val="1D1D1D"/>
                <w:sz w:val="16"/>
              </w:rPr>
            </w:pPr>
            <w:r>
              <w:rPr>
                <w:rFonts w:ascii="Graphik Semibold;sans-serif" w:hAnsi="Graphik Semibold;sans-serif"/>
                <w:b/>
                <w:color w:val="1D1D1D"/>
                <w:sz w:val="16"/>
              </w:rPr>
              <w:t>100%</w:t>
            </w:r>
          </w:p>
        </w:tc>
        <w:tc>
          <w:tcPr>
            <w:tcW w:w="961"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pPr>
            <w:r>
              <w:rPr>
                <w:rFonts w:ascii="Graphik Semibold;sans-serif" w:hAnsi="Graphik Semibold;sans-serif"/>
                <w:b/>
                <w:color w:val="1D1D1D"/>
                <w:sz w:val="16"/>
              </w:rPr>
              <w:t>150.0</w:t>
            </w:r>
            <w:r>
              <w:rPr>
                <w:color w:val="1D1D1D"/>
              </w:rPr>
              <w:t> </w:t>
            </w:r>
          </w:p>
        </w:tc>
        <w:tc>
          <w:tcPr>
            <w:tcW w:w="110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660400"/>
                <wp:effectExtent l="0" t="0" r="0" b="0"/>
                <wp:wrapNone/>
                <wp:docPr id="221" name="Frame6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Based on a review of all goals and accomplishments, the independent members of our Board of Directors and Compensation Committee determined that the financial goals were achieved at 150%. Our NEOs’ earned annual incentives for 2024 were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17"/>
        <w:gridCol w:w="512"/>
        <w:gridCol w:w="514"/>
        <w:gridCol w:w="570"/>
        <w:gridCol w:w="455"/>
        <w:gridCol w:w="411"/>
        <w:gridCol w:w="585"/>
        <w:gridCol w:w="562"/>
        <w:gridCol w:w="519"/>
        <w:gridCol w:w="442"/>
        <w:gridCol w:w="420"/>
        <w:gridCol w:w="347"/>
        <w:gridCol w:w="109"/>
        <w:gridCol w:w="109"/>
        <w:gridCol w:w="109"/>
        <w:gridCol w:w="542"/>
        <w:gridCol w:w="542"/>
        <w:gridCol w:w="544"/>
        <w:gridCol w:w="636"/>
        <w:gridCol w:w="527"/>
        <w:gridCol w:w="513"/>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9"/>
            <w:tcBorders/>
            <w:shd w:fill="D1ECF7"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005CBA"/>
                <w:sz w:val="16"/>
              </w:rPr>
            </w:pPr>
            <w:r>
              <w:rPr>
                <w:rFonts w:ascii="Graphik Semibold;sans-serif" w:hAnsi="Graphik Semibold;sans-serif"/>
                <w:b/>
                <w:color w:val="005CBA"/>
                <w:sz w:val="16"/>
              </w:rPr>
              <w:t>Original FY 2024 Opportunity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6"/>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Actual</w:t>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Executive</w:t>
            </w:r>
          </w:p>
        </w:tc>
        <w:tc>
          <w:tcPr>
            <w:tcW w:w="143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2024 Base Salary</w:t>
              <w:br/>
              <w:t>($)</w:t>
            </w:r>
          </w:p>
        </w:tc>
        <w:tc>
          <w:tcPr>
            <w:tcW w:w="166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2024 Target Bonus </w:t>
              <w:br/>
              <w:t>(as a % of base salary)</w:t>
            </w:r>
          </w:p>
        </w:tc>
        <w:tc>
          <w:tcPr>
            <w:tcW w:w="120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Target Bonus</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Corporate Multiplier</w:t>
              <w:br/>
              <w:t>(%)</w:t>
            </w:r>
          </w:p>
        </w:tc>
        <w:tc>
          <w:tcPr>
            <w:tcW w:w="167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2024 Earned Bonus</w:t>
              <w:br/>
              <w:t>($)</w:t>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1025"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675,000 </w:t>
            </w:r>
          </w:p>
        </w:tc>
        <w:tc>
          <w:tcPr>
            <w:tcW w:w="41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100 </w:t>
            </w:r>
          </w:p>
        </w:tc>
        <w:tc>
          <w:tcPr>
            <w:tcW w:w="519"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675,000 </w:t>
            </w:r>
          </w:p>
        </w:tc>
        <w:tc>
          <w:tcPr>
            <w:tcW w:w="347"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150.0 </w:t>
            </w:r>
          </w:p>
        </w:tc>
        <w:tc>
          <w:tcPr>
            <w:tcW w:w="544"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1,012,500 </w:t>
            </w:r>
          </w:p>
        </w:tc>
        <w:tc>
          <w:tcPr>
            <w:tcW w:w="513"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025"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530,400 </w:t>
            </w:r>
          </w:p>
        </w:tc>
        <w:tc>
          <w:tcPr>
            <w:tcW w:w="4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51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291,720 </w:t>
            </w:r>
          </w:p>
        </w:tc>
        <w:tc>
          <w:tcPr>
            <w:tcW w:w="34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150.0 </w:t>
            </w:r>
          </w:p>
        </w:tc>
        <w:tc>
          <w:tcPr>
            <w:tcW w:w="54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437,580 </w:t>
            </w:r>
          </w:p>
        </w:tc>
        <w:tc>
          <w:tcPr>
            <w:tcW w:w="513"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1025"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550,000 </w:t>
            </w:r>
          </w:p>
        </w:tc>
        <w:tc>
          <w:tcPr>
            <w:tcW w:w="4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51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302,500 </w:t>
            </w:r>
          </w:p>
        </w:tc>
        <w:tc>
          <w:tcPr>
            <w:tcW w:w="34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150.0 </w:t>
            </w:r>
          </w:p>
        </w:tc>
        <w:tc>
          <w:tcPr>
            <w:tcW w:w="54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453,750 </w:t>
            </w:r>
          </w:p>
        </w:tc>
        <w:tc>
          <w:tcPr>
            <w:tcW w:w="513"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1025"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472,500 </w:t>
            </w:r>
          </w:p>
        </w:tc>
        <w:tc>
          <w:tcPr>
            <w:tcW w:w="41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51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259,875 </w:t>
            </w:r>
          </w:p>
        </w:tc>
        <w:tc>
          <w:tcPr>
            <w:tcW w:w="347"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150.0 </w:t>
            </w:r>
          </w:p>
        </w:tc>
        <w:tc>
          <w:tcPr>
            <w:tcW w:w="544"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389,813 </w:t>
            </w:r>
          </w:p>
        </w:tc>
        <w:tc>
          <w:tcPr>
            <w:tcW w:w="513"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1025"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470,800 </w:t>
            </w:r>
          </w:p>
        </w:tc>
        <w:tc>
          <w:tcPr>
            <w:tcW w:w="41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55 </w:t>
            </w:r>
          </w:p>
        </w:tc>
        <w:tc>
          <w:tcPr>
            <w:tcW w:w="519"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258,940 </w:t>
            </w:r>
          </w:p>
        </w:tc>
        <w:tc>
          <w:tcPr>
            <w:tcW w:w="347"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150.0 </w:t>
            </w:r>
          </w:p>
        </w:tc>
        <w:tc>
          <w:tcPr>
            <w:tcW w:w="544"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388,410 </w:t>
            </w:r>
          </w:p>
        </w:tc>
        <w:tc>
          <w:tcPr>
            <w:tcW w:w="513"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Equity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A significant portion of executive pay is delivered as long-term incentives in the form of equity awards, which are designed to align executive officers’ interests with stockholder interests, promote retention through the reward of long-term company performance and encourage ownership in our company.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grant equity awards in the form of RSUs and PSUs. The Compensation Committee believes that certain targeted PSUs can provide an appropriate long-term incentive for our executive officers, as PSUs reward our executive officers only to the extent certain performance measures aligned with driving increased stockholder value are met. We believe that RSUs reward our executive officers with long-term stock price appreciation while simultaneously helping us retain our executive officers, as RSUs provide some value to the recipient even if the market price of our common stock declines following the grant date.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Compensation Committee initially determines the size of equity grants by considering the executive officer’s position and market data of our peer group companies as provided by Aon as well as overall dilution and other inputs. The Compensation Committee then takes into consideration each NEO’s recent performance history, his or her potential for future responsibility and criticality of his or her work to the long-term success of our company and the retention value of outstanding awards. The Compensation Committee uses its judgment to give relative weight to each of these factors as it sets the size of the equity grant to appropriately create an opportunity for reward based on increasing stockholder value. For newly hired or promoted executive officers, the Compensation Committee also takes into consideration the value needed to induce the individual to accept the position and to drive substantial performance.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2024 Equity Grants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February 2024, the Compensation Committee (and, in the case of our Chief Executive Officer, our Board of Directors), in consultation with Aon and in consideration of governance best practices as well as ongoing market trends and data of our compensation peers, determined to provide NEOs with annual grants that consisted of 50% RSUs and 50% PSUs. While no longer granting options to our NEOs, PSUs increased as a portion of 2024 total equity compensation (“2024 PSUs”). The terms of these 2024 PSUs are described below. The approved annual equity awards were granted to the NEOs, in the following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660400"/>
                <wp:effectExtent l="0" t="0" r="0" b="0"/>
                <wp:wrapNone/>
                <wp:docPr id="222" name="Frame6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tbl>
      <w:tblPr>
        <w:tblW w:w="4603" w:type="dxa"/>
        <w:jc w:val="left"/>
        <w:tblInd w:w="0" w:type="dxa"/>
        <w:tblLayout w:type="fixed"/>
        <w:tblCellMar>
          <w:top w:w="28" w:type="dxa"/>
          <w:left w:w="28" w:type="dxa"/>
          <w:bottom w:w="28" w:type="dxa"/>
          <w:right w:w="28" w:type="dxa"/>
        </w:tblCellMar>
      </w:tblPr>
      <w:tblGrid>
        <w:gridCol w:w="124"/>
        <w:gridCol w:w="109"/>
        <w:gridCol w:w="109"/>
        <w:gridCol w:w="614"/>
        <w:gridCol w:w="614"/>
        <w:gridCol w:w="617"/>
        <w:gridCol w:w="413"/>
        <w:gridCol w:w="413"/>
        <w:gridCol w:w="196"/>
        <w:gridCol w:w="413"/>
        <w:gridCol w:w="413"/>
        <w:gridCol w:w="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Executive</w:t>
            </w:r>
          </w:p>
        </w:tc>
        <w:tc>
          <w:tcPr>
            <w:tcW w:w="102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RSUs</w:t>
              <w:br/>
              <w:t>(#)</w:t>
            </w:r>
          </w:p>
        </w:tc>
        <w:tc>
          <w:tcPr>
            <w:tcW w:w="102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PSUs</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8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114,724 </w:t>
            </w:r>
          </w:p>
        </w:tc>
        <w:tc>
          <w:tcPr>
            <w:tcW w:w="19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114,724 </w:t>
            </w:r>
          </w:p>
        </w:tc>
        <w:tc>
          <w:tcPr>
            <w:tcW w:w="19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59,856 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59,856 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39,904 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39,904 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49,880 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49,880 </w:t>
            </w:r>
          </w:p>
        </w:tc>
        <w:tc>
          <w:tcPr>
            <w:tcW w:w="19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8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49,880 </w:t>
            </w:r>
          </w:p>
        </w:tc>
        <w:tc>
          <w:tcPr>
            <w:tcW w:w="19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49,880 </w:t>
            </w:r>
          </w:p>
        </w:tc>
        <w:tc>
          <w:tcPr>
            <w:tcW w:w="19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 xml:space="preserve">Time-Based Vesting RSUs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annual RSU awards granted in March 2024 vest as to 1/4 on the first anniversary of March 2, 2024 and then in equal quarterly installments over the following 12 quarters, based on continuing service on each vesting date (until the fourth anniversary of March 2, 2024). </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Performance-Based RSUs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March 2024, we again granted PSUs to certain of our executive officers, referred to as the 2024 PSUs. In 2023, we selected and continue to use revenue as a performance metric because we believe it is, and continues to be, an important indicator of our strategic long-term growth at this stage in our company’s maturity and it has been an important metric used by investors to assess the health and trajectory of our business. Further, in 2023, we incorporated an additional cash balance performance metric into this program to drive and reward improving profitability and durable growth, which is a key focus for the company. The 2024 PSUs continue to include revenue and cash balance as performance metrics. Additionally, to enhance the retention value of our long-term equity program and to drive sustained stockholder value growth, the 2024 PSUs also include a time-based service requirement such that any “achieved” PSUs will vest approximately one year after the end of the applicable performance period, subject to the officer’s continued service to Veracyte.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Consistent with our 2023 PSU awards, the 2024 PSU awards are split into a two-year measurement period and a three-year measurement period to reward growth and execution over time. Forty percent of the total number of shares subject to the PSU granted in 2024 will be earned if the revenue and cash balance for the two-year period ending December 31, 2025 equals or exceeds a certain threshold and 60% of the total number of shares subject to the PSU will be earned if the revenue and cash balance for the three-year period ending December 31, 2026 equals or exceeds a higher threshold. Achievement between threshold, target and maximum levels of performance of each metric is interpolated, with a maximum achievement level of 150% of the target PSUs for each performance period. For the 2024 PSUs, the officer must remain in service with Veracyte at the end of each of these measurement periods to “earn” the PSUs at the approved achievement level and the officer must remain in service until the following year end in order for the PSUs to vest, with the exception of a qualified termination. In the event of a qualified termination after the end of PSUs were earned and before the vesting date the officer will still be eligible to receive the earned PSUs. At the time these 2024 PSUs were awarded, the Compensation Committee and Board of Directors believed our primary and immediate focus should be on increased, sustained revenue growth across multiple time horizons and with increased attention to profitability. To that end, in addition to including short-term one-year revenue growth and cash balance goals in the 2024 annual bonus plan, the Compensation Committee felt the 2024 PSU’s two-year and three-year measurement periods were the most appropriate length for our growth strategy and drive toward profitability. In the Compensation Committee’s opinion, this structure strikes a reasonable balance between investing for long-term growth and an ongoing focus on medium-term revenue increases, balances with cash management, given the dynamic changes in the diagnostic and testing marketplace. For purposes of the 2024 PSU awards, “revenue” means our total revenue calculated in accordance with U.S. Generally Accepted Accounting Principles ("U.S. GAAP"), as reported in our annual financial statements for the applicable year excluding adjustments for acquisitions or similar transactions and including adjustments for the impact of foreign currency exchange and portfolio decisions made by the Board to discontinue any of the company’s products for which projected revenue was included in the forecast on which the revenue target was based and “cash balance” means our cash and cash equivalents as of December 31 of the subject year calculated in accordance with U.S. GAAP, as reported in its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660400"/>
                <wp:effectExtent l="0" t="0" r="0" b="0"/>
                <wp:wrapNone/>
                <wp:docPr id="223" name="Frame6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financial statements for the subject year, excluding adjustments for acquisitions or similar transactions and including adjustments for capital raises, capital uses and the impact of acquisition-related contingent consideration obligations arising or occurring on or following the start of the applicable performance period.</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Significant Competitive Harm in Disclosing Thresholds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not publicly disclosed the specific PSU performance thresholds because we believe advance disclosure of the thresholds could cause significant competitive harm to our business. The thresholds were purposefully set to be more aggressive than our disclosed guidance and long-term financial plan and are fully achievable only by outperforming such guidance and plan. If specific thresholds were disclosed, they could be treated as our new guidance or long-term financial plan, which would not align with (i) our purpose of using the PSU performance thresholds to encourage exceptional outperformance of our rigorous disclosed guidance and plan, and (ii) how we understand the role the PSU performance thresholds have in our long-term business and strategy. Disclosing the specific thresholds could also create a retention risk for our Chief Executive Officer and other NEOs, who are crucial to the execution of our next phase of growth by giving insight into the retentive value of the PSU awards. Companies competing for our top executive talent could use the thresholds’ rigor and the significant challenge of achieving the full award, depending on how many tranches have been earned and what remains of the performance period, to undercut the value of the PSU awards by offering a sign-on bonus or a more easily achievable compensation package to induce our NEOs to leave Veracyte. While we are not disclosing the thresholds in advance, we plan to appropriately disclose applicable achievements in a fiscal year in the following year’s proxy statement.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Prior Year PSUs – Achievement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and footnotes summarizes PSU awards that were eligible to be achieved during 2024.</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5"/>
        <w:gridCol w:w="305"/>
        <w:gridCol w:w="306"/>
        <w:gridCol w:w="109"/>
        <w:gridCol w:w="109"/>
        <w:gridCol w:w="109"/>
        <w:gridCol w:w="507"/>
        <w:gridCol w:w="507"/>
        <w:gridCol w:w="508"/>
        <w:gridCol w:w="1122"/>
        <w:gridCol w:w="1122"/>
        <w:gridCol w:w="1126"/>
        <w:gridCol w:w="109"/>
        <w:gridCol w:w="109"/>
        <w:gridCol w:w="109"/>
        <w:gridCol w:w="1007"/>
        <w:gridCol w:w="1007"/>
        <w:gridCol w:w="1010"/>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PSU Awards</w:t>
              <w:br/>
              <w:t>(Year of Grant)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Performance Period</w:t>
            </w:r>
          </w:p>
        </w:tc>
        <w:tc>
          <w:tcPr>
            <w:tcW w:w="337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Performance Metric</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Achievement</w:t>
              <w:br/>
              <w:t>(%)</w:t>
            </w:r>
          </w:p>
        </w:tc>
        <w:tc>
          <w:tcPr>
            <w:tcW w:w="3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Graphik Light;sans-serif" w:hAnsi="Graphik Light;sans-serif"/>
                <w:b w:val="false"/>
                <w:color w:val="1D1D1D"/>
                <w:sz w:val="16"/>
              </w:rPr>
              <w:t>2022 PSUs</w:t>
            </w:r>
            <w:r>
              <w:rPr>
                <w:rFonts w:ascii="Graphik Light;sans-serif" w:hAnsi="Graphik Light;sans-serif"/>
                <w:b w:val="false"/>
                <w:color w:val="1D1D1D"/>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3 years ended December 2024</w:t>
            </w:r>
          </w:p>
        </w:tc>
        <w:tc>
          <w:tcPr>
            <w:tcW w:w="3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Revenue calculated in accordance with U.S. GAAP, adjusted for foreign currency exchange impact and portfolio decisions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3"/>
            <w:tcBorders/>
            <w:tcMar>
              <w:top w:w="0" w:type="dxa"/>
              <w:left w:w="0" w:type="dxa"/>
              <w:bottom w:w="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118.8% of target level performance of $440 million in Revenue</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118.8% PSUs earned; vested in February 2025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0"/>
              <w:jc w:val="center"/>
              <w:rPr/>
            </w:pPr>
            <w:r>
              <w:rPr>
                <w:rFonts w:ascii="Graphik Light;sans-serif" w:hAnsi="Graphik Light;sans-serif"/>
                <w:b w:val="false"/>
                <w:color w:val="1D1D1D"/>
                <w:sz w:val="16"/>
              </w:rPr>
              <w:t>2023 PSUs</w:t>
            </w:r>
            <w:r>
              <w:rPr>
                <w:rFonts w:ascii="Graphik Light;sans-serif" w:hAnsi="Graphik Light;sans-serif"/>
                <w:b w:val="false"/>
                <w:color w:val="1D1D1D"/>
                <w:sz w:val="10"/>
              </w:rPr>
              <w:t>(1)</w:t>
            </w:r>
          </w:p>
        </w:tc>
        <w:tc>
          <w:tcPr>
            <w:tcW w:w="327"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2 years ended December 2024</w:t>
            </w:r>
          </w:p>
        </w:tc>
        <w:tc>
          <w:tcPr>
            <w:tcW w:w="3370"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 xml:space="preserve">Revenue calculated in accordance with U.S. GAAP, adjusted for foreign currency exchange impact and portfolio decisions </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Ending Cash, Cash Equivalents and Short-Term Investment balance as of December 31, 2024, excluding the impact of acquisitions and capital raises and uses</w:t>
            </w:r>
          </w:p>
        </w:tc>
        <w:tc>
          <w:tcPr>
            <w:tcW w:w="327"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3"/>
            <w:tcBorders>
              <w:bottom w:val="single" w:sz="8" w:space="0" w:color="005CBA"/>
            </w:tcBorders>
            <w:tcMar>
              <w:top w:w="0" w:type="dxa"/>
              <w:left w:w="0" w:type="dxa"/>
              <w:bottom w:w="30" w:type="dxa"/>
              <w:right w:w="0" w:type="dxa"/>
            </w:tcMar>
            <w:vAlign w:val="center"/>
          </w:tcPr>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139.7% of target level performance of $397 million in Revenue and max of 150% of target level performance of $175 million in Cash</w:t>
            </w:r>
          </w:p>
          <w:p>
            <w:pPr>
              <w:pStyle w:val="TableContents"/>
              <w:bidi w:val="0"/>
              <w:spacing w:lineRule="auto" w:line="288" w:before="0" w:after="90"/>
              <w:jc w:val="left"/>
              <w:rPr>
                <w:rFonts w:ascii="Graphik Light;sans-serif" w:hAnsi="Graphik Light;sans-serif"/>
                <w:b w:val="false"/>
                <w:color w:val="1D1D1D"/>
                <w:sz w:val="16"/>
              </w:rPr>
            </w:pPr>
            <w:r>
              <w:rPr>
                <w:rFonts w:ascii="Graphik Light;sans-serif" w:hAnsi="Graphik Light;sans-serif"/>
                <w:b w:val="false"/>
                <w:color w:val="1D1D1D"/>
                <w:sz w:val="16"/>
              </w:rPr>
              <w:t>143.8% PSUs earned; vested in February 2025</w:t>
            </w:r>
          </w:p>
        </w:tc>
        <w:tc>
          <w:tcPr>
            <w:tcW w:w="377"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(1)Any achieved PSUs vested upon the date the achievement was certified by the Compensation Committee during the first quarter of 2025, subject to the officer’s continued service to Veracyte.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Additional Compensation Practices and Policies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Compensation Recovery Policy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On April 23, 2023, our Board of Directors adopted a compensation recovery policy (the “Clawback Policy”) intended to comply with the requirements of the Dodd-Frank Wall Street Reform and Consumer Protection Act, as implemented by Nasdaq rules and the SEC’s rules and regulations. The Clawback Policy requires us to recover certain incentive-based compensation (as defined in the Clawback Policy) paid or granted to our officers, and such additional employees as may be identified from time to time, in the event we are required to prepare an accounting restatement due to our material noncompliance with any financial reporting requirement under the securities laws. The policy requires each person covered thereby to reimburse or forfeit to us all incentive-based compensation received by them prior to the restatement that exceeds the amount they would have received had their incentive-based compensation been calculated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660400"/>
                <wp:effectExtent l="0" t="0" r="0" b="0"/>
                <wp:wrapNone/>
                <wp:docPr id="224" name="Frame6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financial restatement. The recovery period extends up to three years prior to the date that it is, or reasonably should have been, concluded that we are required to prepare a restatement. The Clawback Policy applies to incentive-based compensation that is received (as defined in the Clawback Policy) after the effective date of the applicable Nasdaq rules. Per applicable requirements, the Clawback Policy is enforced without consideration of responsibility or fault or lack thereof. The full text of the Clawback Policy is included as Exhibit 97.1 to our Annual Report on Form 10-K for the year ended December 31, 2023.</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Hedging, Derivative Securities Transactions, Short Selling and Pledging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Under our Insider Trading Policy, our employees (including our executive officers) and the non-employee members of our Board of Directors are prohibited from engaging in hedging or monetization transactions involving our securities, such as zero-cost collars and forward sale contracts and may not contribute our securities to exchange funds that could be interpreted as having the effect of hedging in our securities. Further, our employees (including executive officers) and the non-employee members of our Board of Directors are prohibited from engaging in transactions involving options or other derivative securities on our securities, such as puts and calls, whether on an exchange or in any other market and from engaging in short sales of our securities, including short sales “against the box.”</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Also, under our Insider Trading Policy, our employees (including our executive officers) and the non-employee members of our Board of Directors are prohibited from using or pledging our securities as collateral in a margin account or as collateral for a loan. The full text of our Insider Trading Policy is included as Exhibit 19 to our Annual Report on Form 10-K for the fiscal year ended December 31, 2024.</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Executive and Board Stock Ownership Guidelines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maintain stock ownership guidelines for our executive officers and members of our Board of Directors. Under these guidelines, the Chief Executive Officer and each other individual serving as a C-Level executive officer and each member of our Board of Directors must achieve the requirement within five years of becoming subject to the guidelines. We believe these stock ownership guidelines create alignment between our executive officers and members of the Board of Directors and the long-term performance of the company. </w:t>
      </w:r>
    </w:p>
    <w:tbl>
      <w:tblPr>
        <w:tblW w:w="7988" w:type="dxa"/>
        <w:jc w:val="left"/>
        <w:tblInd w:w="0" w:type="dxa"/>
        <w:tblLayout w:type="fixed"/>
        <w:tblCellMar>
          <w:top w:w="28" w:type="dxa"/>
          <w:left w:w="28" w:type="dxa"/>
          <w:bottom w:w="28" w:type="dxa"/>
          <w:right w:w="28" w:type="dxa"/>
        </w:tblCellMar>
      </w:tblPr>
      <w:tblGrid>
        <w:gridCol w:w="124"/>
        <w:gridCol w:w="109"/>
        <w:gridCol w:w="109"/>
        <w:gridCol w:w="1722"/>
        <w:gridCol w:w="1722"/>
        <w:gridCol w:w="1745"/>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Position</w:t>
            </w:r>
          </w:p>
        </w:tc>
        <w:tc>
          <w:tcPr>
            <w:tcW w:w="208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Requirement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Chief Executive Officer</w:t>
            </w:r>
          </w:p>
        </w:tc>
        <w:tc>
          <w:tcPr>
            <w:tcW w:w="208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3x base salary</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C-Level Executive Officers other than Chief Executive Officer</w:t>
            </w:r>
          </w:p>
        </w:tc>
        <w:tc>
          <w:tcPr>
            <w:tcW w:w="208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1x base salary</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Non-Employee Members of the Board of Directors</w:t>
            </w:r>
          </w:p>
        </w:tc>
        <w:tc>
          <w:tcPr>
            <w:tcW w:w="208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6"/>
              </w:rPr>
            </w:pPr>
            <w:r>
              <w:rPr>
                <w:rFonts w:ascii="Graphik Light;sans-serif" w:hAnsi="Graphik Light;sans-serif"/>
                <w:b w:val="false"/>
                <w:color w:val="1D1D1D"/>
                <w:sz w:val="16"/>
              </w:rPr>
              <w:t>3x annual cash retainer</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For the purposes of determining stock ownership levels, the following forms of equity interests are included: shares owned by the officer directly, or held in trust for the benefit of, the officer or director or his or her immediate family members residing in same household or through trusts; and the “In-the-Money” value of vested stock option awards. Unvested stock options, unvested restricted stock units and unvested performance stock units are not included for the purposes of our stock ownership guidelines. The applicable guidelines must be met within the earliest of five years from: (i) joining Veracyte, (ii) promotion to a C-Level executive officer or (iii) establishment of the guidelines in February 2021. As of December 31, 2024, all non-employee directors and all of our current executive officers who are subject to these requirements were in compliance with our stock ownership guidelines, other than those executive officers whose employment began in 2022 or more recent years, each of whom has sufficient time remaining to meet the required ownership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660400"/>
                <wp:effectExtent l="0" t="0" r="0" b="0"/>
                <wp:wrapNone/>
                <wp:docPr id="225" name="Frame6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58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Tax and Accounting Considerations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Deductibility of Executive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Compensation Committee may take into consideration the accounting and tax treatment of the compensation and benefit arrangements of our NEOs. These considerations are in addition to those described above that were material to the pay decisions for the most recent fiscal year.</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While the Compensation Committee considers the deductibility of awards as one factor in determining executive compensation, the Compensation Committee also looks at other factors in making its decisions and retains the flexibility to award compensation that it determines to be consistent with the goals of our executive compensation program even if the awards are not deductible by us for tax purposes.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Taxation of “Parachute” Payments and Deferred Compensation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Sections 280G and 4999 of the Internal Revenue Code provide that certain employees, officers and directors, as well as individuals who hold significant equity interests and certain other service providers may be subject to an excise tax if they receive payments or benefits in connection with a change in control that exceed certain prescribed limits, and that we (or a successor) may forfeit a deduction on the amounts subject to this additional tax. Section 409A of the Internal Revenue Code imposes significant additional taxes in the event that an employee, including a named executive officer, director or service provider receives “nonqualified deferred compensation” that does not satisfy the conditions of Section 409A.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have not agreed and are not otherwise obligated to provide any named NEO with a “gross-up” or other reimbursement payment for any tax liability that he or she might owe as a result of the application of Sections 280G, 4999 or 409A of the Internal Revenue Code.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Accounting for Stock-Based Compensation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follow the FASB ASC Topic 718 for our stock-based compensation awards. ASC 718 requires companies to calculate the grant date “fair value” of their stock-based awards using a variety of assumptions. This calculation is performed for accounting purposes and reported in the compensation tables that accompany this CD&amp;A, even though recipients may never realize any value from their awards. ASC 718 also requires companies to recognize the compensation cost of their stock-based awards in their statements of operations over the period that the recipient of the award is required to render service in exchange for the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Compensation Committee Report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we specifically incorporate this information by reference, and will not otherwise be deemed “soliciting material” or “filed” under either the Securities Act or the Exchange Act.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Compensation Committee has reviewed and discussed with management the Compensation Discussion and Analysis required by Securities and Exchange Commission regulations. Based on its review and discussions, the Compensation Committee recommended to the Board of Directors that the Compensation Discussion and Analysis be included in this proxy statement and, through incorporation by reference, in our Annual Report on Form 10-K for the fiscal year ended December 31, 2024.</w:t>
      </w:r>
    </w:p>
    <w:p>
      <w:pPr>
        <w:pStyle w:val="TextBody"/>
        <w:bidi w:val="0"/>
        <w:spacing w:lineRule="auto" w:line="336" w:before="240" w:after="180"/>
        <w:jc w:val="left"/>
        <w:rPr>
          <w:rFonts w:ascii="Graphik Light;sans-serif" w:hAnsi="Graphik Light;sans-serif"/>
          <w:b w:val="false"/>
          <w:i/>
          <w:color w:val="1D1D1D"/>
          <w:sz w:val="18"/>
        </w:rPr>
      </w:pPr>
      <w:r>
        <w:rPr>
          <w:rFonts w:ascii="Graphik Light;sans-serif" w:hAnsi="Graphik Light;sans-serif"/>
          <w:b w:val="false"/>
          <w:i/>
          <w:color w:val="1D1D1D"/>
          <w:sz w:val="18"/>
        </w:rPr>
        <w:t>Submitted by The Compensation Committee of the Board of Directors</w:t>
      </w:r>
    </w:p>
    <w:p>
      <w:pPr>
        <w:pStyle w:val="TextBody"/>
        <w:bidi w:val="0"/>
        <w:spacing w:lineRule="auto" w:line="336" w:before="0" w:after="60"/>
        <w:jc w:val="left"/>
        <w:rPr/>
      </w:pPr>
      <w:r>
        <w:rPr>
          <w:rFonts w:ascii="Graphik Semibold;sans-serif" w:hAnsi="Graphik Semibold;sans-serif"/>
          <w:b/>
          <w:color w:val="1D1D1D"/>
          <w:sz w:val="18"/>
        </w:rPr>
        <w:t>Karin Eastham</w:t>
      </w:r>
      <w:r>
        <w:rPr>
          <w:color w:val="1D1D1D"/>
        </w:rPr>
        <w:t xml:space="preserve"> </w:t>
      </w:r>
      <w:r>
        <w:rPr>
          <w:rFonts w:ascii="Graphik Light;sans-serif" w:hAnsi="Graphik Light;sans-serif"/>
          <w:b w:val="false"/>
          <w:color w:val="1D1D1D"/>
          <w:sz w:val="18"/>
        </w:rPr>
        <w:t>(Chair)</w:t>
      </w:r>
    </w:p>
    <w:p>
      <w:pPr>
        <w:pStyle w:val="TextBody"/>
        <w:bidi w:val="0"/>
        <w:spacing w:lineRule="auto" w:line="336" w:before="0" w:after="60"/>
        <w:jc w:val="left"/>
        <w:rPr>
          <w:rFonts w:ascii="Graphik Semibold;sans-serif" w:hAnsi="Graphik Semibold;sans-serif"/>
          <w:b/>
          <w:color w:val="1D1D1D"/>
          <w:sz w:val="18"/>
        </w:rPr>
      </w:pPr>
      <w:r>
        <w:rPr>
          <w:rFonts w:ascii="Graphik Semibold;sans-serif" w:hAnsi="Graphik Semibold;sans-serif"/>
          <w:b/>
          <w:color w:val="1D1D1D"/>
          <w:sz w:val="18"/>
        </w:rPr>
        <w:t>Jens Holstein</w:t>
      </w:r>
    </w:p>
    <w:p>
      <w:pPr>
        <w:pStyle w:val="TextBody"/>
        <w:bidi w:val="0"/>
        <w:spacing w:lineRule="auto" w:line="336" w:before="0" w:after="360"/>
        <w:jc w:val="left"/>
        <w:rPr>
          <w:rFonts w:ascii="Graphik Semibold;sans-serif" w:hAnsi="Graphik Semibold;sans-serif"/>
          <w:b/>
          <w:color w:val="1D1D1D"/>
          <w:sz w:val="18"/>
        </w:rPr>
      </w:pPr>
      <w:r>
        <w:rPr>
          <w:rFonts w:ascii="Graphik Semibold;sans-serif" w:hAnsi="Graphik Semibold;sans-serif"/>
          <w:b/>
          <w:color w:val="1D1D1D"/>
          <w:sz w:val="18"/>
        </w:rPr>
        <w:t>Brent Shafer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660400"/>
                <wp:effectExtent l="0" t="0" r="0" b="0"/>
                <wp:wrapNone/>
                <wp:docPr id="226" name="Frame6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Summary Compensation Table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provides information concerning compensation awarded to, earned by, or paid to each of our NEOs for 2022, 2023 and 2024.</w:t>
      </w:r>
    </w:p>
    <w:tbl>
      <w:tblPr>
        <w:tblW w:w="10205" w:type="dxa"/>
        <w:jc w:val="left"/>
        <w:tblInd w:w="0" w:type="dxa"/>
        <w:tblLayout w:type="fixed"/>
        <w:tblCellMar>
          <w:top w:w="28" w:type="dxa"/>
          <w:left w:w="28" w:type="dxa"/>
          <w:bottom w:w="28" w:type="dxa"/>
          <w:right w:w="28" w:type="dxa"/>
        </w:tblCellMar>
      </w:tblPr>
      <w:tblGrid>
        <w:gridCol w:w="124"/>
        <w:gridCol w:w="109"/>
        <w:gridCol w:w="109"/>
        <w:gridCol w:w="571"/>
        <w:gridCol w:w="395"/>
        <w:gridCol w:w="396"/>
        <w:gridCol w:w="174"/>
        <w:gridCol w:w="174"/>
        <w:gridCol w:w="178"/>
        <w:gridCol w:w="259"/>
        <w:gridCol w:w="259"/>
        <w:gridCol w:w="263"/>
        <w:gridCol w:w="231"/>
        <w:gridCol w:w="231"/>
        <w:gridCol w:w="232"/>
        <w:gridCol w:w="407"/>
        <w:gridCol w:w="285"/>
        <w:gridCol w:w="286"/>
        <w:gridCol w:w="411"/>
        <w:gridCol w:w="289"/>
        <w:gridCol w:w="290"/>
        <w:gridCol w:w="562"/>
        <w:gridCol w:w="562"/>
        <w:gridCol w:w="563"/>
        <w:gridCol w:w="510"/>
        <w:gridCol w:w="510"/>
        <w:gridCol w:w="511"/>
        <w:gridCol w:w="309"/>
        <w:gridCol w:w="309"/>
        <w:gridCol w:w="313"/>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 and Principal Position</w:t>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78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Salary </w:t>
              <w:br/>
              <w:t>($)</w:t>
            </w:r>
          </w:p>
        </w:tc>
        <w:tc>
          <w:tcPr>
            <w:tcW w:w="69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Bonus </w:t>
              <w:br/>
              <w:t>($)</w:t>
            </w:r>
          </w:p>
        </w:tc>
        <w:tc>
          <w:tcPr>
            <w:tcW w:w="978"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Stock Awards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990"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Option Awards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1687"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Non-Equity Incentive Plan Compensation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(2)</w:t>
            </w:r>
          </w:p>
        </w:tc>
        <w:tc>
          <w:tcPr>
            <w:tcW w:w="1531"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All Other Compensation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(3)</w:t>
            </w:r>
          </w:p>
        </w:tc>
        <w:tc>
          <w:tcPr>
            <w:tcW w:w="93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w:t>
              <w:br/>
              <w:t>($)</w:t>
            </w:r>
          </w:p>
        </w:tc>
        <w:tc>
          <w:tcPr>
            <w:tcW w:w="38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op w:val="single" w:sz="16"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Marc Stapley</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Chief Executive Officer</w:t>
            </w:r>
          </w:p>
        </w:tc>
        <w:tc>
          <w:tcPr>
            <w:tcW w:w="5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675,000</w:t>
            </w:r>
          </w:p>
        </w:tc>
        <w:tc>
          <w:tcPr>
            <w:tcW w:w="69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5,125,868</w:t>
            </w:r>
          </w:p>
        </w:tc>
        <w:tc>
          <w:tcPr>
            <w:tcW w:w="990"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687"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1,012,500</w:t>
            </w:r>
          </w:p>
        </w:tc>
        <w:tc>
          <w:tcPr>
            <w:tcW w:w="153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6,816,368</w:t>
            </w:r>
          </w:p>
        </w:tc>
        <w:tc>
          <w:tcPr>
            <w:tcW w:w="383"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650,000</w:t>
            </w:r>
          </w:p>
        </w:tc>
        <w:tc>
          <w:tcPr>
            <w:tcW w:w="69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3,703,968</w:t>
            </w:r>
          </w:p>
        </w:tc>
        <w:tc>
          <w:tcPr>
            <w:tcW w:w="9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1,927,416</w:t>
            </w:r>
          </w:p>
        </w:tc>
        <w:tc>
          <w:tcPr>
            <w:tcW w:w="168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900,250</w:t>
            </w:r>
          </w:p>
        </w:tc>
        <w:tc>
          <w:tcPr>
            <w:tcW w:w="15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7,184,634</w:t>
            </w:r>
          </w:p>
        </w:tc>
        <w:tc>
          <w:tcPr>
            <w:tcW w:w="38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2022</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625,000</w:t>
            </w:r>
          </w:p>
        </w:tc>
        <w:tc>
          <w:tcPr>
            <w:tcW w:w="69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2,206,626</w:t>
            </w:r>
          </w:p>
        </w:tc>
        <w:tc>
          <w:tcPr>
            <w:tcW w:w="9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1,475,796</w:t>
            </w:r>
          </w:p>
        </w:tc>
        <w:tc>
          <w:tcPr>
            <w:tcW w:w="168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625,000</w:t>
            </w:r>
          </w:p>
        </w:tc>
        <w:tc>
          <w:tcPr>
            <w:tcW w:w="15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4,935,422</w:t>
            </w:r>
          </w:p>
        </w:tc>
        <w:tc>
          <w:tcPr>
            <w:tcW w:w="38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Rebecca Chambers</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Chief Financial Officer</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530,400</w:t>
            </w:r>
          </w:p>
        </w:tc>
        <w:tc>
          <w:tcPr>
            <w:tcW w:w="694"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2,674,366</w:t>
            </w:r>
          </w:p>
        </w:tc>
        <w:tc>
          <w:tcPr>
            <w:tcW w:w="990"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687"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437,580</w:t>
            </w:r>
          </w:p>
        </w:tc>
        <w:tc>
          <w:tcPr>
            <w:tcW w:w="15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3,645,346</w:t>
            </w:r>
          </w:p>
        </w:tc>
        <w:tc>
          <w:tcPr>
            <w:tcW w:w="383"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510,000</w:t>
            </w:r>
          </w:p>
        </w:tc>
        <w:tc>
          <w:tcPr>
            <w:tcW w:w="69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1,234,624</w:t>
            </w:r>
          </w:p>
        </w:tc>
        <w:tc>
          <w:tcPr>
            <w:tcW w:w="9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642,467</w:t>
            </w:r>
          </w:p>
        </w:tc>
        <w:tc>
          <w:tcPr>
            <w:tcW w:w="168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388,493</w:t>
            </w:r>
          </w:p>
        </w:tc>
        <w:tc>
          <w:tcPr>
            <w:tcW w:w="15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2,778,584</w:t>
            </w:r>
          </w:p>
        </w:tc>
        <w:tc>
          <w:tcPr>
            <w:tcW w:w="38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2022</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463,500</w:t>
            </w:r>
          </w:p>
        </w:tc>
        <w:tc>
          <w:tcPr>
            <w:tcW w:w="69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1,406,185</w:t>
            </w:r>
          </w:p>
        </w:tc>
        <w:tc>
          <w:tcPr>
            <w:tcW w:w="9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1,144,161</w:t>
            </w:r>
          </w:p>
        </w:tc>
        <w:tc>
          <w:tcPr>
            <w:tcW w:w="168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305,910</w:t>
            </w:r>
          </w:p>
        </w:tc>
        <w:tc>
          <w:tcPr>
            <w:tcW w:w="15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3,322,756</w:t>
            </w:r>
          </w:p>
        </w:tc>
        <w:tc>
          <w:tcPr>
            <w:tcW w:w="38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Phillip Febbo</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Chief Scientific and Chief Medical Officer</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550,000</w:t>
            </w:r>
          </w:p>
        </w:tc>
        <w:tc>
          <w:tcPr>
            <w:tcW w:w="694"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1,782,911</w:t>
            </w:r>
          </w:p>
        </w:tc>
        <w:tc>
          <w:tcPr>
            <w:tcW w:w="990"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687"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453,750</w:t>
            </w:r>
          </w:p>
        </w:tc>
        <w:tc>
          <w:tcPr>
            <w:tcW w:w="15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2,789,661</w:t>
            </w:r>
          </w:p>
        </w:tc>
        <w:tc>
          <w:tcPr>
            <w:tcW w:w="383"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137,500</w:t>
            </w:r>
          </w:p>
        </w:tc>
        <w:tc>
          <w:tcPr>
            <w:tcW w:w="69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2,335,753</w:t>
            </w:r>
          </w:p>
        </w:tc>
        <w:tc>
          <w:tcPr>
            <w:tcW w:w="9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1,206,047</w:t>
            </w:r>
          </w:p>
        </w:tc>
        <w:tc>
          <w:tcPr>
            <w:tcW w:w="168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104,741</w:t>
            </w:r>
          </w:p>
        </w:tc>
        <w:tc>
          <w:tcPr>
            <w:tcW w:w="15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3,787,041</w:t>
            </w:r>
          </w:p>
        </w:tc>
        <w:tc>
          <w:tcPr>
            <w:tcW w:w="38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John Leite</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Global Chief Commercial Officer</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472,500</w:t>
            </w:r>
          </w:p>
        </w:tc>
        <w:tc>
          <w:tcPr>
            <w:tcW w:w="694"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2,228,638</w:t>
            </w:r>
          </w:p>
        </w:tc>
        <w:tc>
          <w:tcPr>
            <w:tcW w:w="990"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687"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389,813</w:t>
            </w:r>
          </w:p>
        </w:tc>
        <w:tc>
          <w:tcPr>
            <w:tcW w:w="15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3,093,951</w:t>
            </w:r>
          </w:p>
        </w:tc>
        <w:tc>
          <w:tcPr>
            <w:tcW w:w="383"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421,067</w:t>
            </w:r>
          </w:p>
        </w:tc>
        <w:tc>
          <w:tcPr>
            <w:tcW w:w="69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858,051</w:t>
            </w:r>
          </w:p>
        </w:tc>
        <w:tc>
          <w:tcPr>
            <w:tcW w:w="9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377,918</w:t>
            </w:r>
          </w:p>
        </w:tc>
        <w:tc>
          <w:tcPr>
            <w:tcW w:w="168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264,433</w:t>
            </w:r>
          </w:p>
        </w:tc>
        <w:tc>
          <w:tcPr>
            <w:tcW w:w="15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1,924,469</w:t>
            </w:r>
          </w:p>
        </w:tc>
        <w:tc>
          <w:tcPr>
            <w:tcW w:w="38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op w:val="single" w:sz="8"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Annie McGuire</w:t>
            </w:r>
          </w:p>
          <w:p>
            <w:pPr>
              <w:pStyle w:val="TableContents"/>
              <w:bidi w:val="0"/>
              <w:spacing w:lineRule="auto" w:line="288" w:before="0" w:after="0"/>
              <w:jc w:val="left"/>
              <w:rPr>
                <w:rFonts w:ascii="Graphik Light;sans-serif" w:hAnsi="Graphik Light;sans-serif"/>
                <w:b w:val="false"/>
                <w:color w:val="1D1D1D"/>
                <w:sz w:val="16"/>
              </w:rPr>
            </w:pPr>
            <w:r>
              <w:rPr>
                <w:rFonts w:ascii="Graphik Light;sans-serif" w:hAnsi="Graphik Light;sans-serif"/>
                <w:b w:val="false"/>
                <w:color w:val="1D1D1D"/>
                <w:sz w:val="16"/>
              </w:rPr>
              <w:t>General Counsel and Chief People Officer</w:t>
            </w:r>
          </w:p>
        </w:tc>
        <w:tc>
          <w:tcPr>
            <w:tcW w:w="5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78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470,800</w:t>
            </w:r>
          </w:p>
        </w:tc>
        <w:tc>
          <w:tcPr>
            <w:tcW w:w="694"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2,228,638</w:t>
            </w:r>
          </w:p>
        </w:tc>
        <w:tc>
          <w:tcPr>
            <w:tcW w:w="990"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1687"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388,410</w:t>
            </w:r>
          </w:p>
        </w:tc>
        <w:tc>
          <w:tcPr>
            <w:tcW w:w="15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3,000</w:t>
            </w:r>
          </w:p>
        </w:tc>
        <w:tc>
          <w:tcPr>
            <w:tcW w:w="93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3,090,848</w:t>
            </w:r>
          </w:p>
        </w:tc>
        <w:tc>
          <w:tcPr>
            <w:tcW w:w="383"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2023</w:t>
            </w:r>
          </w:p>
        </w:tc>
        <w:tc>
          <w:tcPr>
            <w:tcW w:w="78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440,000</w:t>
            </w:r>
          </w:p>
        </w:tc>
        <w:tc>
          <w:tcPr>
            <w:tcW w:w="69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1,111,181</w:t>
            </w:r>
          </w:p>
        </w:tc>
        <w:tc>
          <w:tcPr>
            <w:tcW w:w="99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578,214</w:t>
            </w:r>
          </w:p>
        </w:tc>
        <w:tc>
          <w:tcPr>
            <w:tcW w:w="168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335,170</w:t>
            </w:r>
          </w:p>
        </w:tc>
        <w:tc>
          <w:tcPr>
            <w:tcW w:w="15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16,553</w:t>
            </w:r>
          </w:p>
        </w:tc>
        <w:tc>
          <w:tcPr>
            <w:tcW w:w="93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2,481,118</w:t>
            </w:r>
          </w:p>
        </w:tc>
        <w:tc>
          <w:tcPr>
            <w:tcW w:w="383"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2022</w:t>
            </w:r>
          </w:p>
        </w:tc>
        <w:tc>
          <w:tcPr>
            <w:tcW w:w="78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334,872</w:t>
            </w:r>
          </w:p>
        </w:tc>
        <w:tc>
          <w:tcPr>
            <w:tcW w:w="69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978"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933,955</w:t>
            </w:r>
          </w:p>
        </w:tc>
        <w:tc>
          <w:tcPr>
            <w:tcW w:w="990"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946,422</w:t>
            </w:r>
          </w:p>
        </w:tc>
        <w:tc>
          <w:tcPr>
            <w:tcW w:w="1687"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154,041</w:t>
            </w:r>
          </w:p>
        </w:tc>
        <w:tc>
          <w:tcPr>
            <w:tcW w:w="153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77,765</w:t>
            </w:r>
          </w:p>
        </w:tc>
        <w:tc>
          <w:tcPr>
            <w:tcW w:w="93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2,447,055</w:t>
            </w:r>
          </w:p>
        </w:tc>
        <w:tc>
          <w:tcPr>
            <w:tcW w:w="383"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(1)Amounts represent the aggregate fair value of the awards computed as of the grant date of each award in accordance with Topic 718 for financial reporting purposes, rather than amounts paid to or realized by the named individual. Our assumptions with respect to the calculation of these values are set forth in Note 9 to Financial Statements included in our Annual Report on Form 10-K for the year ended December 31, 2024. There can be no assurance that option awards will be exercised or that RSUs or PSUs will settle (in which case no value will be realized by the individual) or that the value on exercise of options or settlement of RSUs or PSUs will approximate the fair value as computed in accordance with Topic 718. We computed the grant date fair value of PSU awards based on our achievement of the PSU awards' performance conditions at 100% of target. If the PSUs were instead valued based on the maximum outcome of the applicable performance condition (i.e., based on maximum level performance), the total amount for the PSU awards reported in this column for 2024 would increase as follows: Mr. Stapley from $2,562,934 to $3,844,401; Ms. Chambers from $1,337,183 to $2,005,775; Dr. Febbo from $891,455 to $1,337,183; Dr. Leite from $1,114,319 to $1,617,479; and Ms. McGuire from $1,114,319 to $1,617,479.</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(2)The amounts reported in the Non-Equity Incentive Plan Compensation column for 2024 represent annual cash bonuses paid to the NEOs as described in </w:t>
      </w:r>
      <w:r>
        <w:rPr>
          <w:color w:val="1D1D1D"/>
        </w:rPr>
        <w:t>“—</w:t>
      </w:r>
      <w:r>
        <w:rPr>
          <w:rFonts w:ascii="Graphik Light;sans-serif" w:hAnsi="Graphik Light;sans-serif"/>
          <w:b w:val="false"/>
          <w:i/>
          <w:color w:val="1D1D1D"/>
          <w:sz w:val="16"/>
        </w:rPr>
        <w:t>Compensation Discussion and Analysis—2024 Annual Cash Incentives.”</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(3)Other income includes matching contributions to 401(k) plans in an amount up to $3,000 per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660400"/>
                <wp:effectExtent l="0" t="0" r="0" b="0"/>
                <wp:wrapNone/>
                <wp:docPr id="227" name="Frame6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Grants of Plan-Based Awards Table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provides information concerning each grant of an award made in 2024 for each of our NEOs under any plan. This information supplements the information about these awards set forth in the Summary Compensation Table.</w:t>
      </w:r>
    </w:p>
    <w:tbl>
      <w:tblPr>
        <w:tblW w:w="10804" w:type="dxa"/>
        <w:jc w:val="left"/>
        <w:tblInd w:w="0" w:type="dxa"/>
        <w:tblLayout w:type="fixed"/>
        <w:tblCellMar>
          <w:top w:w="28" w:type="dxa"/>
          <w:left w:w="28" w:type="dxa"/>
          <w:bottom w:w="28" w:type="dxa"/>
          <w:right w:w="28" w:type="dxa"/>
        </w:tblCellMar>
      </w:tblPr>
      <w:tblGrid>
        <w:gridCol w:w="124"/>
        <w:gridCol w:w="109"/>
        <w:gridCol w:w="109"/>
        <w:gridCol w:w="353"/>
        <w:gridCol w:w="265"/>
        <w:gridCol w:w="223"/>
        <w:gridCol w:w="190"/>
        <w:gridCol w:w="190"/>
        <w:gridCol w:w="191"/>
        <w:gridCol w:w="170"/>
        <w:gridCol w:w="170"/>
        <w:gridCol w:w="171"/>
        <w:gridCol w:w="581"/>
        <w:gridCol w:w="136"/>
        <w:gridCol w:w="109"/>
        <w:gridCol w:w="473"/>
        <w:gridCol w:w="109"/>
        <w:gridCol w:w="109"/>
        <w:gridCol w:w="581"/>
        <w:gridCol w:w="136"/>
        <w:gridCol w:w="109"/>
        <w:gridCol w:w="109"/>
        <w:gridCol w:w="109"/>
        <w:gridCol w:w="109"/>
        <w:gridCol w:w="418"/>
        <w:gridCol w:w="299"/>
        <w:gridCol w:w="109"/>
        <w:gridCol w:w="418"/>
        <w:gridCol w:w="164"/>
        <w:gridCol w:w="109"/>
        <w:gridCol w:w="418"/>
        <w:gridCol w:w="299"/>
        <w:gridCol w:w="109"/>
        <w:gridCol w:w="235"/>
        <w:gridCol w:w="235"/>
        <w:gridCol w:w="236"/>
        <w:gridCol w:w="300"/>
        <w:gridCol w:w="300"/>
        <w:gridCol w:w="301"/>
        <w:gridCol w:w="240"/>
        <w:gridCol w:w="240"/>
        <w:gridCol w:w="241"/>
        <w:gridCol w:w="395"/>
        <w:gridCol w:w="215"/>
        <w:gridCol w:w="2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shd w:fill="005CBA" w:val="clear"/>
            <w:tcMar>
              <w:top w:w="0" w:type="dxa"/>
              <w:left w:w="0" w:type="dxa"/>
              <w:bottom w:w="0" w:type="dxa"/>
              <w:right w:w="0" w:type="dxa"/>
            </w:tcMar>
            <w:vAlign w:val="center"/>
          </w:tcPr>
          <w:p>
            <w:pPr>
              <w:pStyle w:val="TableContents"/>
              <w:bidi w:val="0"/>
              <w:spacing w:lineRule="auto" w:line="288" w:before="0" w:after="0"/>
              <w:jc w:val="center"/>
              <w:rPr/>
            </w:pPr>
            <w:r>
              <w:rPr>
                <w:rFonts w:ascii="Graphik Semibold;sans-serif" w:hAnsi="Graphik Semibold;sans-serif"/>
                <w:b/>
                <w:color w:val="FFFFFF"/>
                <w:sz w:val="14"/>
              </w:rPr>
              <w:t xml:space="preserve">Estimated Future Payouts Under Non-Equity Incentive Plan Awards </w:t>
            </w:r>
            <w:r>
              <w:rPr>
                <w:rFonts w:ascii="Graphik Semibold;sans-serif" w:hAnsi="Graphik Semibold;sans-serif"/>
                <w:b/>
                <w:color w:val="FFFFFF"/>
                <w:sz w:val="9"/>
              </w:rPr>
              <w:t>(1)</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shd w:fill="005CBA" w:val="clear"/>
            <w:tcMar>
              <w:top w:w="0" w:type="dxa"/>
              <w:left w:w="0" w:type="dxa"/>
              <w:bottom w:w="0" w:type="dxa"/>
              <w:right w:w="0" w:type="dxa"/>
            </w:tcMar>
            <w:vAlign w:val="center"/>
          </w:tcPr>
          <w:p>
            <w:pPr>
              <w:pStyle w:val="TableContents"/>
              <w:bidi w:val="0"/>
              <w:spacing w:lineRule="auto" w:line="288" w:before="0" w:after="0"/>
              <w:jc w:val="center"/>
              <w:rPr>
                <w:rFonts w:ascii="Graphik Semibold;sans-serif" w:hAnsi="Graphik Semibold;sans-serif"/>
                <w:b/>
                <w:color w:val="FFFFFF"/>
                <w:sz w:val="14"/>
              </w:rPr>
            </w:pPr>
            <w:r>
              <w:rPr>
                <w:rFonts w:ascii="Graphik Semibold;sans-serif" w:hAnsi="Graphik Semibold;sans-serif"/>
                <w:b/>
                <w:color w:val="FFFFFF"/>
                <w:sz w:val="14"/>
              </w:rPr>
              <w:t xml:space="preserve">Estimated Future Payouts Under Equity Incentive </w:t>
            </w:r>
          </w:p>
          <w:p>
            <w:pPr>
              <w:pStyle w:val="TableContents"/>
              <w:bidi w:val="0"/>
              <w:spacing w:lineRule="auto" w:line="288" w:before="0" w:after="0"/>
              <w:jc w:val="center"/>
              <w:rPr/>
            </w:pPr>
            <w:r>
              <w:rPr>
                <w:rFonts w:ascii="Graphik Semibold;sans-serif" w:hAnsi="Graphik Semibold;sans-serif"/>
                <w:b/>
                <w:color w:val="FFFFFF"/>
                <w:sz w:val="14"/>
              </w:rPr>
              <w:t>Plan Awards</w:t>
            </w:r>
            <w:r>
              <w:rPr>
                <w:rFonts w:ascii="Graphik Semibold;sans-serif" w:hAnsi="Graphik Semibold;sans-serif"/>
                <w:b/>
                <w:color w:val="FFFFFF"/>
                <w:sz w:val="9"/>
              </w:rPr>
              <w:t>(2)</w:t>
            </w:r>
          </w:p>
        </w:tc>
        <w:tc>
          <w:tcPr>
            <w:tcW w:w="706"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All Other Stock Awards: Number of Shares of Stock or Units </w:t>
              <w:br/>
              <w:t>(#)</w:t>
            </w:r>
          </w:p>
        </w:tc>
        <w:tc>
          <w:tcPr>
            <w:tcW w:w="901"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All Other Option Awards: Number of Securities Underlying Options </w:t>
              <w:br/>
              <w:t>(#)</w:t>
            </w:r>
          </w:p>
        </w:tc>
        <w:tc>
          <w:tcPr>
            <w:tcW w:w="721"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Exercise or Base Price of Option Awards </w:t>
              <w:br/>
              <w:t>($/Share)</w:t>
            </w:r>
          </w:p>
        </w:tc>
        <w:tc>
          <w:tcPr>
            <w:tcW w:w="826"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 xml:space="preserve">Grant Date Fair Value of Stock and Option Awards </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(3)</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901"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721"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2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4"/>
              </w:rPr>
            </w:pPr>
            <w:r>
              <w:rPr>
                <w:rFonts w:ascii="Graphik Semibold;sans-serif" w:hAnsi="Graphik Semibold;sans-serif"/>
                <w:b/>
                <w:color w:val="FFFFFF"/>
                <w:sz w:val="14"/>
              </w:rPr>
              <w:t>Name</w:t>
            </w:r>
          </w:p>
        </w:tc>
        <w:tc>
          <w:tcPr>
            <w:tcW w:w="57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4"/>
              </w:rPr>
            </w:pPr>
            <w:r>
              <w:rPr>
                <w:rFonts w:ascii="Graphik Semibold;sans-serif" w:hAnsi="Graphik Semibold;sans-serif"/>
                <w:b/>
                <w:color w:val="FFFFFF"/>
                <w:sz w:val="14"/>
              </w:rPr>
              <w:t>Type of Award</w:t>
            </w:r>
          </w:p>
        </w:tc>
        <w:tc>
          <w:tcPr>
            <w:tcW w:w="51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4"/>
              </w:rPr>
            </w:pPr>
            <w:r>
              <w:rPr>
                <w:rFonts w:ascii="Graphik Semibold;sans-serif" w:hAnsi="Graphik Semibold;sans-serif"/>
                <w:b/>
                <w:color w:val="FFFFFF"/>
                <w:sz w:val="14"/>
              </w:rPr>
              <w:t>Grant Date</w:t>
            </w:r>
          </w:p>
        </w:tc>
        <w:tc>
          <w:tcPr>
            <w:tcW w:w="826"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Threshold </w:t>
              <w:br/>
              <w:t>($)</w:t>
            </w:r>
          </w:p>
        </w:tc>
        <w:tc>
          <w:tcPr>
            <w:tcW w:w="691"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Target </w:t>
              <w:br/>
              <w:t>($)</w:t>
            </w:r>
          </w:p>
        </w:tc>
        <w:tc>
          <w:tcPr>
            <w:tcW w:w="826"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Maximum </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Threshold </w:t>
              <w:br/>
              <w:t>(#)</w:t>
            </w:r>
          </w:p>
        </w:tc>
        <w:tc>
          <w:tcPr>
            <w:tcW w:w="691"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Target </w:t>
              <w:br/>
              <w:t>(#)</w:t>
            </w:r>
          </w:p>
        </w:tc>
        <w:tc>
          <w:tcPr>
            <w:tcW w:w="826"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Maximum </w:t>
              <w:br/>
              <w:t>(#)</w:t>
            </w:r>
          </w:p>
        </w:tc>
        <w:tc>
          <w:tcPr>
            <w:tcW w:w="70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901"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721"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2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Marc Stapley</w:t>
            </w:r>
          </w:p>
        </w:tc>
        <w:tc>
          <w:tcPr>
            <w:tcW w:w="57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511"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506,250</w:t>
            </w:r>
          </w:p>
        </w:tc>
        <w:tc>
          <w:tcPr>
            <w:tcW w:w="69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675,000</w:t>
            </w:r>
          </w:p>
        </w:tc>
        <w:tc>
          <w:tcPr>
            <w:tcW w:w="8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1,012,500</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114,724</w:t>
            </w:r>
          </w:p>
        </w:tc>
        <w:tc>
          <w:tcPr>
            <w:tcW w:w="9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2,562,934</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86,043</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114,724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172,086</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2,562,934</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Rebecca Chambers</w:t>
            </w:r>
          </w:p>
        </w:tc>
        <w:tc>
          <w:tcPr>
            <w:tcW w:w="57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511"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218,790</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291,720</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437,580</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59,856</w:t>
            </w:r>
          </w:p>
        </w:tc>
        <w:tc>
          <w:tcPr>
            <w:tcW w:w="9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1,337,183</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44,892</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59,856</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89,784</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1,337,183</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Phillip Febbo</w:t>
            </w:r>
          </w:p>
        </w:tc>
        <w:tc>
          <w:tcPr>
            <w:tcW w:w="57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511"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226,875</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302,500</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453,750</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39,904</w:t>
            </w:r>
          </w:p>
        </w:tc>
        <w:tc>
          <w:tcPr>
            <w:tcW w:w="9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891,455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29,928</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39,904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59,856</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891,455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John Leite</w:t>
            </w:r>
          </w:p>
        </w:tc>
        <w:tc>
          <w:tcPr>
            <w:tcW w:w="57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511"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194,906</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259,875</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389,813</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49,880</w:t>
            </w:r>
          </w:p>
        </w:tc>
        <w:tc>
          <w:tcPr>
            <w:tcW w:w="9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1,114,319</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7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37,410</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49,880</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74,820</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1,114,319</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Annie McGuire</w:t>
            </w:r>
          </w:p>
        </w:tc>
        <w:tc>
          <w:tcPr>
            <w:tcW w:w="57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Light;sans-serif" w:hAnsi="Graphik Light;sans-serif"/>
                <w:b w:val="false"/>
                <w:color w:val="1D1D1D"/>
                <w:sz w:val="14"/>
              </w:rPr>
            </w:pPr>
            <w:r>
              <w:rPr>
                <w:rFonts w:ascii="Graphik Light;sans-serif" w:hAnsi="Graphik Light;sans-serif"/>
                <w:b w:val="false"/>
                <w:color w:val="1D1D1D"/>
                <w:sz w:val="14"/>
              </w:rPr>
              <w:t>Cash</w:t>
            </w:r>
          </w:p>
        </w:tc>
        <w:tc>
          <w:tcPr>
            <w:tcW w:w="511"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194,205</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258,940</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388,410</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7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RSUs</w:t>
            </w:r>
            <w:r>
              <w:rPr>
                <w:rFonts w:ascii="Graphik Light;sans-serif" w:hAnsi="Graphik Light;sans-serif"/>
                <w:b w:val="false"/>
                <w:color w:val="1D1D1D"/>
                <w:sz w:val="9"/>
              </w:rPr>
              <w:t>(4)</w:t>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49,880</w:t>
            </w:r>
          </w:p>
        </w:tc>
        <w:tc>
          <w:tcPr>
            <w:tcW w:w="9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1,114,319</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7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pPr>
            <w:r>
              <w:rPr>
                <w:rFonts w:ascii="Graphik Light;sans-serif" w:hAnsi="Graphik Light;sans-serif"/>
                <w:b w:val="false"/>
                <w:color w:val="1D1D1D"/>
                <w:sz w:val="14"/>
              </w:rPr>
              <w:t>PSUs</w:t>
            </w:r>
            <w:r>
              <w:rPr>
                <w:rFonts w:ascii="Graphik Light;sans-serif" w:hAnsi="Graphik Light;sans-serif"/>
                <w:b w:val="false"/>
                <w:color w:val="1D1D1D"/>
                <w:sz w:val="9"/>
              </w:rPr>
              <w:t>(5)</w:t>
            </w:r>
          </w:p>
        </w:tc>
        <w:tc>
          <w:tcPr>
            <w:tcW w:w="51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8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69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37,410</w:t>
            </w:r>
          </w:p>
        </w:tc>
        <w:tc>
          <w:tcPr>
            <w:tcW w:w="69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49,880</w:t>
            </w:r>
          </w:p>
        </w:tc>
        <w:tc>
          <w:tcPr>
            <w:tcW w:w="8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74,820</w:t>
            </w:r>
          </w:p>
        </w:tc>
        <w:tc>
          <w:tcPr>
            <w:tcW w:w="70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90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72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82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1,114,319</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9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(1)Reflects threshold, target and maximum cash bonus amounts for 2024 performance under our 2024 bonus plan, as described in “—Compensation Discussion and Analysis-2024 Bonus Plan Awards.” These amounts do not necessarily correspond to the actual amounts that were received by our NEOs.</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(2)Reflects threshold, target and maximum amounts for 2024 PSUs awards, as described in </w:t>
      </w:r>
      <w:r>
        <w:rPr>
          <w:color w:val="1D1D1D"/>
        </w:rPr>
        <w:t>“—</w:t>
      </w:r>
      <w:r>
        <w:rPr>
          <w:rFonts w:ascii="Graphik Light;sans-serif" w:hAnsi="Graphik Light;sans-serif"/>
          <w:b w:val="false"/>
          <w:i/>
          <w:color w:val="1D1D1D"/>
          <w:sz w:val="16"/>
        </w:rPr>
        <w:t>Compensation Discussion and Analysis—Equity Compensation.”</w:t>
      </w:r>
      <w:r>
        <w:rPr>
          <w:color w:val="1D1D1D"/>
        </w:rPr>
        <w:t xml:space="preserve"> </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(3)The amounts reported in this column represent the grant date fair value of each award as computed in accordance with ASC 718. Note that the amounts reported in these columns reflect the accounting cost for these awards and do not correspond to the actual economic value that may be received by our NEOs from the awards. In particular, amounts in this column include the grant date fair value of the 2024 PSUs granted to our NEOs during the year ended December 31, 2024, as computed in accordance with ASC 718, assuming the probable outcome of related performance conditions, which we have expected to be achieved at 100% of target for each of the 2024 PSUs.</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(4)The RSUs vest at a rate of 1/4th of the total number of RSUs on the one-year anniversary of the vesting commencement date, and vest at a rate of 1/16th of the total number of RSUs on each quarter thereafter. The RSUs are subject to acceleration upon certain events as described in </w:t>
      </w:r>
      <w:r>
        <w:rPr>
          <w:color w:val="1D1D1D"/>
        </w:rPr>
        <w:t>“—</w:t>
      </w:r>
      <w:r>
        <w:rPr>
          <w:rFonts w:ascii="Graphik Light;sans-serif" w:hAnsi="Graphik Light;sans-serif"/>
          <w:b w:val="false"/>
          <w:i/>
          <w:color w:val="1D1D1D"/>
          <w:sz w:val="16"/>
        </w:rPr>
        <w:t>Potential Payments upon Termination or Change in Control.”</w:t>
      </w:r>
    </w:p>
    <w:p>
      <w:pPr>
        <w:pStyle w:val="TextBody"/>
        <w:bidi w:val="0"/>
        <w:spacing w:lineRule="auto" w:line="300" w:before="0" w:after="300"/>
        <w:ind w:left="0" w:right="0" w:hanging="360"/>
        <w:jc w:val="left"/>
        <w:rPr/>
      </w:pPr>
      <w:r>
        <w:rPr>
          <w:rFonts w:ascii="Graphik Light;sans-serif" w:hAnsi="Graphik Light;sans-serif"/>
          <w:b w:val="false"/>
          <w:color w:val="1D1D1D"/>
          <w:sz w:val="16"/>
        </w:rPr>
        <w:t xml:space="preserve">(5)40% of the total number of PSUs will vest on December 2, 2026 subject to the certification of achievement of the performance metric for the performance period ending December 31, 2025 and 60% of the total number of PSUs will vest on December 2, 2027 subject to the certification of achievement of the performance metric for the performance period ending December 31, 2026 and the continued service of the applicable executive. The PSUs are subject to acceleration upon certain events as described in </w:t>
      </w:r>
      <w:r>
        <w:rPr>
          <w:color w:val="1D1D1D"/>
        </w:rPr>
        <w:t>“—</w:t>
      </w:r>
      <w:r>
        <w:rPr>
          <w:rFonts w:ascii="Graphik Light;sans-serif" w:hAnsi="Graphik Light;sans-serif"/>
          <w:b w:val="false"/>
          <w:i/>
          <w:color w:val="1D1D1D"/>
          <w:sz w:val="16"/>
        </w:rPr>
        <w:t>Potential Payments upon Termination or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660400"/>
                <wp:effectExtent l="0" t="0" r="0" b="0"/>
                <wp:wrapNone/>
                <wp:docPr id="228" name="Frame6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2024 Outstanding Equity Awards at Fiscal Year-End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provides information concerning the outstanding and unexercised stock options, outstanding RSUs and outstanding PSUs that have not vested for each NEO as of December 31, 2024.</w:t>
      </w:r>
    </w:p>
    <w:tbl>
      <w:tblPr>
        <w:tblW w:w="11613" w:type="dxa"/>
        <w:jc w:val="left"/>
        <w:tblInd w:w="0" w:type="dxa"/>
        <w:tblLayout w:type="fixed"/>
        <w:tblCellMar>
          <w:top w:w="28" w:type="dxa"/>
          <w:left w:w="28" w:type="dxa"/>
          <w:bottom w:w="28" w:type="dxa"/>
          <w:right w:w="28" w:type="dxa"/>
        </w:tblCellMar>
      </w:tblPr>
      <w:tblGrid>
        <w:gridCol w:w="124"/>
        <w:gridCol w:w="109"/>
        <w:gridCol w:w="109"/>
        <w:gridCol w:w="353"/>
        <w:gridCol w:w="265"/>
        <w:gridCol w:w="223"/>
        <w:gridCol w:w="170"/>
        <w:gridCol w:w="170"/>
        <w:gridCol w:w="171"/>
        <w:gridCol w:w="541"/>
        <w:gridCol w:w="195"/>
        <w:gridCol w:w="195"/>
        <w:gridCol w:w="195"/>
        <w:gridCol w:w="195"/>
        <w:gridCol w:w="196"/>
        <w:gridCol w:w="446"/>
        <w:gridCol w:w="200"/>
        <w:gridCol w:w="200"/>
        <w:gridCol w:w="200"/>
        <w:gridCol w:w="200"/>
        <w:gridCol w:w="201"/>
        <w:gridCol w:w="316"/>
        <w:gridCol w:w="240"/>
        <w:gridCol w:w="241"/>
        <w:gridCol w:w="285"/>
        <w:gridCol w:w="285"/>
        <w:gridCol w:w="286"/>
        <w:gridCol w:w="109"/>
        <w:gridCol w:w="109"/>
        <w:gridCol w:w="109"/>
        <w:gridCol w:w="506"/>
        <w:gridCol w:w="230"/>
        <w:gridCol w:w="231"/>
        <w:gridCol w:w="762"/>
        <w:gridCol w:w="109"/>
        <w:gridCol w:w="109"/>
        <w:gridCol w:w="109"/>
        <w:gridCol w:w="109"/>
        <w:gridCol w:w="109"/>
        <w:gridCol w:w="376"/>
        <w:gridCol w:w="270"/>
        <w:gridCol w:w="271"/>
        <w:gridCol w:w="736"/>
        <w:gridCol w:w="135"/>
        <w:gridCol w:w="135"/>
        <w:gridCol w:w="135"/>
        <w:gridCol w:w="135"/>
        <w:gridCol w:w="1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18"/>
            <w:tcBorders/>
            <w:shd w:fill="D1ECF7"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005CBA"/>
                <w:sz w:val="14"/>
              </w:rPr>
            </w:pPr>
            <w:r>
              <w:rPr>
                <w:rFonts w:ascii="Graphik Semibold;sans-serif" w:hAnsi="Graphik Semibold;sans-serif"/>
                <w:b/>
                <w:color w:val="005CBA"/>
                <w:sz w:val="14"/>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18"/>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4"/>
              </w:rPr>
            </w:pPr>
            <w:r>
              <w:rPr>
                <w:rFonts w:ascii="Graphik Semibold;sans-serif" w:hAnsi="Graphik Semibold;sans-serif"/>
                <w:b/>
                <w:color w:val="FFFFFF"/>
                <w:sz w:val="14"/>
              </w:rPr>
              <w:t>Stock Awards</w:t>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4"/>
              </w:rPr>
            </w:pPr>
            <w:r>
              <w:rPr>
                <w:rFonts w:ascii="Graphik Semibold;sans-serif" w:hAnsi="Graphik Semibold;sans-serif"/>
                <w:b/>
                <w:color w:val="FFFFFF"/>
                <w:sz w:val="14"/>
              </w:rPr>
              <w:t>Name</w:t>
            </w:r>
          </w:p>
        </w:tc>
        <w:tc>
          <w:tcPr>
            <w:tcW w:w="51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4"/>
              </w:rPr>
            </w:pPr>
            <w:r>
              <w:rPr>
                <w:rFonts w:ascii="Graphik Semibold;sans-serif" w:hAnsi="Graphik Semibold;sans-serif"/>
                <w:b/>
                <w:color w:val="FFFFFF"/>
                <w:sz w:val="14"/>
              </w:rPr>
              <w:t>Grant Date</w:t>
            </w:r>
          </w:p>
        </w:tc>
        <w:tc>
          <w:tcPr>
            <w:tcW w:w="1517" w:type="dxa"/>
            <w:gridSpan w:val="6"/>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Number of Securities Underlying Unexercised Options (# Exercisable)</w:t>
            </w:r>
          </w:p>
        </w:tc>
        <w:tc>
          <w:tcPr>
            <w:tcW w:w="1447" w:type="dxa"/>
            <w:gridSpan w:val="6"/>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Number of Securities Underlying Options (#</w:t>
            </w:r>
          </w:p>
          <w:p>
            <w:pPr>
              <w:pStyle w:val="TableContents"/>
              <w:bidi w:val="0"/>
              <w:spacing w:lineRule="auto" w:line="288" w:before="0" w:after="0"/>
              <w:jc w:val="right"/>
              <w:rPr/>
            </w:pPr>
            <w:r>
              <w:rPr>
                <w:rFonts w:ascii="Graphik Semibold;sans-serif" w:hAnsi="Graphik Semibold;sans-serif"/>
                <w:b/>
                <w:color w:val="FFFFFF"/>
                <w:sz w:val="14"/>
              </w:rPr>
              <w:t>Unexercisable)</w:t>
            </w:r>
            <w:r>
              <w:rPr>
                <w:rFonts w:ascii="Graphik Semibold;sans-serif" w:hAnsi="Graphik Semibold;sans-serif"/>
                <w:b/>
                <w:color w:val="FFFFFF"/>
                <w:sz w:val="9"/>
              </w:rPr>
              <w:t>(1)</w:t>
            </w:r>
          </w:p>
        </w:tc>
        <w:tc>
          <w:tcPr>
            <w:tcW w:w="797"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Option Exercise Price</w:t>
            </w:r>
          </w:p>
          <w:p>
            <w:pPr>
              <w:pStyle w:val="TableContents"/>
              <w:bidi w:val="0"/>
              <w:spacing w:lineRule="auto" w:line="288" w:before="0" w:after="0"/>
              <w:jc w:val="right"/>
              <w:rPr>
                <w:color w:val="FFFFFF"/>
              </w:rPr>
            </w:pPr>
            <w:r>
              <w:rPr>
                <w:color w:val="FFFFFF"/>
              </w:rPr>
              <w:t> </w:t>
            </w:r>
            <w:r>
              <w:rPr>
                <w:rFonts w:ascii="Graphik Semibold;sans-serif" w:hAnsi="Graphik Semibold;sans-serif"/>
                <w:b/>
                <w:color w:val="FFFFFF"/>
                <w:sz w:val="14"/>
              </w:rPr>
              <w:t>($)</w:t>
            </w:r>
          </w:p>
        </w:tc>
        <w:tc>
          <w:tcPr>
            <w:tcW w:w="856"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center"/>
              <w:rPr>
                <w:rFonts w:ascii="Graphik Semibold;sans-serif" w:hAnsi="Graphik Semibold;sans-serif"/>
                <w:b/>
                <w:color w:val="FFFFFF"/>
                <w:sz w:val="14"/>
              </w:rPr>
            </w:pPr>
            <w:r>
              <w:rPr>
                <w:rFonts w:ascii="Graphik Semibold;sans-serif" w:hAnsi="Graphik Semibold;sans-serif"/>
                <w:b/>
                <w:color w:val="FFFFFF"/>
                <w:sz w:val="14"/>
              </w:rPr>
              <w:t>Option Expiration Date</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Number of Shares or Units of Stock That Have Not Vested </w:t>
              <w:br/>
              <w:t>(#)</w:t>
            </w:r>
          </w:p>
        </w:tc>
        <w:tc>
          <w:tcPr>
            <w:tcW w:w="1307" w:type="dxa"/>
            <w:gridSpan w:val="6"/>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 xml:space="preserve">Market Value of Shares or Units of Stock That Have Not Vested </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(3)</w:t>
            </w:r>
          </w:p>
        </w:tc>
        <w:tc>
          <w:tcPr>
            <w:tcW w:w="91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Equity Incentive Plan Awards: Number of Unearned Shares or Units of Stock That Have Not Vested</w:t>
              <w:br/>
              <w:t>(#)</w:t>
            </w:r>
          </w:p>
        </w:tc>
        <w:tc>
          <w:tcPr>
            <w:tcW w:w="1412" w:type="dxa"/>
            <w:gridSpan w:val="6"/>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Equity Incentive Plan Awards: Market Value or Payout Value of Unearned Shares or Units of Stock That Have Not Vested</w:t>
            </w:r>
          </w:p>
          <w:p>
            <w:pPr>
              <w:pStyle w:val="TableContents"/>
              <w:bidi w:val="0"/>
              <w:spacing w:lineRule="auto" w:line="288" w:before="0" w:after="0"/>
              <w:jc w:val="right"/>
              <w:rPr/>
            </w:pPr>
            <w:r>
              <w:rPr>
                <w:rFonts w:ascii="Graphik Semibold;sans-serif" w:hAnsi="Graphik Semibold;sans-serif"/>
                <w:b/>
                <w:color w:val="FFFFFF"/>
                <w:sz w:val="14"/>
              </w:rPr>
              <w:t>($)</w:t>
            </w:r>
            <w:r>
              <w:rPr>
                <w:color w:val="FFFFFF"/>
              </w:rPr>
              <w:t xml:space="preserve"> </w:t>
            </w:r>
            <w:r>
              <w:rPr>
                <w:rFonts w:ascii="Graphik Semibold;sans-serif" w:hAnsi="Graphik Semibold;sans-serif"/>
                <w:b/>
                <w:color w:val="FFFFFF"/>
                <w:sz w:val="9"/>
              </w:rPr>
              <w:t>(4)</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Marc Stapley</w:t>
            </w:r>
          </w:p>
        </w:tc>
        <w:tc>
          <w:tcPr>
            <w:tcW w:w="51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6/1/2021</w:t>
            </w:r>
          </w:p>
        </w:tc>
        <w:tc>
          <w:tcPr>
            <w:tcW w:w="73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120,794 </w:t>
            </w:r>
          </w:p>
        </w:tc>
        <w:tc>
          <w:tcPr>
            <w:tcW w:w="195"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17,257 </w:t>
            </w:r>
          </w:p>
        </w:tc>
        <w:tc>
          <w:tcPr>
            <w:tcW w:w="200"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36.60 </w:t>
            </w:r>
          </w:p>
        </w:tc>
        <w:tc>
          <w:tcPr>
            <w:tcW w:w="24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6/1/2031</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5,851 </w:t>
            </w:r>
          </w:p>
        </w:tc>
        <w:tc>
          <w:tcPr>
            <w:tcW w:w="23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231,700 </w:t>
            </w:r>
          </w:p>
        </w:tc>
        <w:tc>
          <w:tcPr>
            <w:tcW w:w="109"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3/3/2022</w:t>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70,830 </w:t>
            </w:r>
          </w:p>
        </w:tc>
        <w:tc>
          <w:tcPr>
            <w:tcW w:w="19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32,196 </w:t>
            </w:r>
          </w:p>
        </w:tc>
        <w:tc>
          <w:tcPr>
            <w:tcW w:w="20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26.02 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3/3/2032</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40,054 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1,586,138 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3/6/2023</w:t>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56,380 </w:t>
            </w:r>
          </w:p>
        </w:tc>
        <w:tc>
          <w:tcPr>
            <w:tcW w:w="19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72,489 </w:t>
            </w:r>
          </w:p>
        </w:tc>
        <w:tc>
          <w:tcPr>
            <w:tcW w:w="20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23.73 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3/6/2033</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88,791 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3,516,124 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70,239 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2,781,464 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16"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9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114,724 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4,543,070 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86,043 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3,407,303 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(7)</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Rebecca Chambers</w:t>
            </w:r>
          </w:p>
        </w:tc>
        <w:tc>
          <w:tcPr>
            <w:tcW w:w="51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7/19/2021</w:t>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57,229 </w:t>
            </w:r>
          </w:p>
        </w:tc>
        <w:tc>
          <w:tcPr>
            <w:tcW w:w="19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9,771 </w:t>
            </w:r>
          </w:p>
        </w:tc>
        <w:tc>
          <w:tcPr>
            <w:tcW w:w="200"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36.59 </w:t>
            </w:r>
          </w:p>
        </w:tc>
        <w:tc>
          <w:tcPr>
            <w:tcW w:w="24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7/19/2031</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6,375 </w:t>
            </w:r>
          </w:p>
        </w:tc>
        <w:tc>
          <w:tcPr>
            <w:tcW w:w="23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252,450 </w:t>
            </w:r>
          </w:p>
        </w:tc>
        <w:tc>
          <w:tcPr>
            <w:tcW w:w="109"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3/3/2022</w:t>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25,968 </w:t>
            </w:r>
          </w:p>
        </w:tc>
        <w:tc>
          <w:tcPr>
            <w:tcW w:w="19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11,805 </w:t>
            </w:r>
          </w:p>
        </w:tc>
        <w:tc>
          <w:tcPr>
            <w:tcW w:w="20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26.02 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3/3/2032</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14,686 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581,566 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(5)</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8/5/2022</w:t>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28,386 </w:t>
            </w:r>
          </w:p>
        </w:tc>
        <w:tc>
          <w:tcPr>
            <w:tcW w:w="19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8,110 </w:t>
            </w:r>
          </w:p>
        </w:tc>
        <w:tc>
          <w:tcPr>
            <w:tcW w:w="20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(2)</w:t>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27.90 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8/5/2032</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5,351 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211,900 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(8)</w:t>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3/6/2023</w:t>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18,793 </w:t>
            </w:r>
          </w:p>
        </w:tc>
        <w:tc>
          <w:tcPr>
            <w:tcW w:w="19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24,163 </w:t>
            </w:r>
          </w:p>
        </w:tc>
        <w:tc>
          <w:tcPr>
            <w:tcW w:w="20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23.73 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3/6/2033</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29,597 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1,172,041 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23,412 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927,115 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9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59,856 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2,370,298 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44,892 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1,777,723 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(7)</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Phillip Febbo</w:t>
            </w:r>
          </w:p>
        </w:tc>
        <w:tc>
          <w:tcPr>
            <w:tcW w:w="51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10/2/2023</w:t>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25,041 </w:t>
            </w:r>
          </w:p>
        </w:tc>
        <w:tc>
          <w:tcPr>
            <w:tcW w:w="19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60,817 </w:t>
            </w:r>
          </w:p>
        </w:tc>
        <w:tc>
          <w:tcPr>
            <w:tcW w:w="200"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21.96 </w:t>
            </w:r>
          </w:p>
        </w:tc>
        <w:tc>
          <w:tcPr>
            <w:tcW w:w="24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10/2/2033</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70,476 </w:t>
            </w:r>
          </w:p>
        </w:tc>
        <w:tc>
          <w:tcPr>
            <w:tcW w:w="23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2,790,850 </w:t>
            </w:r>
          </w:p>
        </w:tc>
        <w:tc>
          <w:tcPr>
            <w:tcW w:w="109"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47,864 </w:t>
            </w:r>
          </w:p>
        </w:tc>
        <w:tc>
          <w:tcPr>
            <w:tcW w:w="27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1,895,414 </w:t>
            </w:r>
          </w:p>
        </w:tc>
        <w:tc>
          <w:tcPr>
            <w:tcW w:w="13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9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39,904 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1,580,198 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29,928 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1,185,149 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(7)</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John Leite</w:t>
            </w:r>
          </w:p>
        </w:tc>
        <w:tc>
          <w:tcPr>
            <w:tcW w:w="51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9/1/2022</w:t>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24,212 </w:t>
            </w:r>
          </w:p>
        </w:tc>
        <w:tc>
          <w:tcPr>
            <w:tcW w:w="19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18,832 </w:t>
            </w:r>
          </w:p>
        </w:tc>
        <w:tc>
          <w:tcPr>
            <w:tcW w:w="200"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19.81 </w:t>
            </w:r>
          </w:p>
        </w:tc>
        <w:tc>
          <w:tcPr>
            <w:tcW w:w="24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9/1/2032</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11,244 </w:t>
            </w:r>
          </w:p>
        </w:tc>
        <w:tc>
          <w:tcPr>
            <w:tcW w:w="23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445,262 </w:t>
            </w:r>
          </w:p>
        </w:tc>
        <w:tc>
          <w:tcPr>
            <w:tcW w:w="109"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3/6/2023</w:t>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11,054 </w:t>
            </w:r>
          </w:p>
        </w:tc>
        <w:tc>
          <w:tcPr>
            <w:tcW w:w="19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14,214 </w:t>
            </w:r>
          </w:p>
        </w:tc>
        <w:tc>
          <w:tcPr>
            <w:tcW w:w="20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23.73 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3/6/2033</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8,869 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351,212 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9/11/2023</w:t>
            </w:r>
          </w:p>
        </w:tc>
        <w:tc>
          <w:tcPr>
            <w:tcW w:w="9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11,006 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435,838 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17,222 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681,991 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tcBorders>
            <w:tcMar>
              <w:top w:w="30" w:type="dxa"/>
              <w:left w:w="0" w:type="dxa"/>
              <w:bottom w:w="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93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49,880 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1,975,248 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37,410 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1,481,436 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(7)</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4"/>
              </w:rPr>
            </w:pPr>
            <w:r>
              <w:rPr>
                <w:rFonts w:ascii="Graphik Semibold;sans-serif" w:hAnsi="Graphik Semibold;sans-serif"/>
                <w:b/>
                <w:color w:val="1D1D1D"/>
                <w:sz w:val="14"/>
              </w:rPr>
              <w:t>Annie McGuire</w:t>
            </w:r>
          </w:p>
        </w:tc>
        <w:tc>
          <w:tcPr>
            <w:tcW w:w="511"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2/28/2022</w:t>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29,873 </w:t>
            </w:r>
          </w:p>
        </w:tc>
        <w:tc>
          <w:tcPr>
            <w:tcW w:w="19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12,302 </w:t>
            </w:r>
          </w:p>
        </w:tc>
        <w:tc>
          <w:tcPr>
            <w:tcW w:w="200"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27.80 </w:t>
            </w:r>
          </w:p>
        </w:tc>
        <w:tc>
          <w:tcPr>
            <w:tcW w:w="24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2/28/2032</w:t>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7,143 </w:t>
            </w:r>
          </w:p>
        </w:tc>
        <w:tc>
          <w:tcPr>
            <w:tcW w:w="23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282,863 </w:t>
            </w:r>
          </w:p>
        </w:tc>
        <w:tc>
          <w:tcPr>
            <w:tcW w:w="109"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8"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(5)</w:t>
            </w:r>
          </w:p>
        </w:tc>
        <w:tc>
          <w:tcPr>
            <w:tcW w:w="372" w:type="dxa"/>
            <w:gridSpan w:val="3"/>
            <w:tcBorders>
              <w:top w:val="single" w:sz="8"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8/5/2022</w:t>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14,193 </w:t>
            </w:r>
          </w:p>
        </w:tc>
        <w:tc>
          <w:tcPr>
            <w:tcW w:w="19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4,055 </w:t>
            </w:r>
          </w:p>
        </w:tc>
        <w:tc>
          <w:tcPr>
            <w:tcW w:w="20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(2)</w:t>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27.90 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8/5/2032</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2,676 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105,970 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(8)</w:t>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3/6/2023</w:t>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16,913 </w:t>
            </w:r>
          </w:p>
        </w:tc>
        <w:tc>
          <w:tcPr>
            <w:tcW w:w="19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21,747 </w:t>
            </w:r>
          </w:p>
        </w:tc>
        <w:tc>
          <w:tcPr>
            <w:tcW w:w="200"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23.73 </w:t>
            </w:r>
          </w:p>
        </w:tc>
        <w:tc>
          <w:tcPr>
            <w:tcW w:w="2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3/6/2033</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26,636 </w:t>
            </w:r>
          </w:p>
        </w:tc>
        <w:tc>
          <w:tcPr>
            <w:tcW w:w="23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1,054,786 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21,072 </w:t>
            </w:r>
          </w:p>
        </w:tc>
        <w:tc>
          <w:tcPr>
            <w:tcW w:w="27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834,451 </w:t>
            </w:r>
          </w:p>
        </w:tc>
        <w:tc>
          <w:tcPr>
            <w:tcW w:w="13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(6)</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98CBEA"/>
              <w:bottom w:val="single" w:sz="8" w:space="0" w:color="005CBA"/>
            </w:tcBorders>
            <w:tcMar>
              <w:top w:w="30" w:type="dxa"/>
              <w:left w:w="0" w:type="dxa"/>
              <w:bottom w:w="30" w:type="dxa"/>
              <w:right w:w="0" w:type="dxa"/>
            </w:tcMar>
            <w:vAlign w:val="center"/>
          </w:tcPr>
          <w:p>
            <w:pPr>
              <w:pStyle w:val="Normal"/>
              <w:bidi w:val="0"/>
              <w:jc w:val="left"/>
              <w:rPr/>
            </w:pPr>
            <w:r>
              <w:rPr/>
            </w:r>
          </w:p>
        </w:tc>
        <w:tc>
          <w:tcPr>
            <w:tcW w:w="51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4"/>
              </w:rPr>
            </w:pPr>
            <w:r>
              <w:rPr>
                <w:rFonts w:ascii="Graphik Light;sans-serif" w:hAnsi="Graphik Light;sans-serif"/>
                <w:b w:val="false"/>
                <w:color w:val="1D1D1D"/>
                <w:sz w:val="14"/>
              </w:rPr>
              <w:t>3/6/2024</w:t>
            </w:r>
          </w:p>
        </w:tc>
        <w:tc>
          <w:tcPr>
            <w:tcW w:w="931"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49,880 </w:t>
            </w:r>
          </w:p>
        </w:tc>
        <w:tc>
          <w:tcPr>
            <w:tcW w:w="23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1,975,248 </w:t>
            </w:r>
          </w:p>
        </w:tc>
        <w:tc>
          <w:tcPr>
            <w:tcW w:w="109"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37,410 </w:t>
            </w:r>
          </w:p>
        </w:tc>
        <w:tc>
          <w:tcPr>
            <w:tcW w:w="27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4"/>
              </w:rPr>
            </w:pPr>
            <w:r>
              <w:rPr>
                <w:rFonts w:ascii="Graphik Light;sans-serif" w:hAnsi="Graphik Light;sans-serif"/>
                <w:b w:val="false"/>
                <w:color w:val="1D1D1D"/>
                <w:sz w:val="14"/>
              </w:rPr>
              <w:t>1,481,436 </w:t>
            </w:r>
          </w:p>
        </w:tc>
        <w:tc>
          <w:tcPr>
            <w:tcW w:w="135"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0"/>
              <w:jc w:val="left"/>
              <w:rPr>
                <w:rFonts w:ascii="Graphik Light;sans-serif" w:hAnsi="Graphik Light;sans-serif"/>
                <w:b w:val="false"/>
                <w:color w:val="1D1D1D"/>
                <w:sz w:val="9"/>
              </w:rPr>
            </w:pPr>
            <w:r>
              <w:rPr>
                <w:rFonts w:ascii="Graphik Light;sans-serif" w:hAnsi="Graphik Light;sans-serif"/>
                <w:b w:val="false"/>
                <w:color w:val="1D1D1D"/>
                <w:sz w:val="9"/>
              </w:rPr>
              <w:t>(7)</w:t>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(1)Except as otherwise noted, options become exercisable as to 25% of the shares on the first anniversary of the vesting commencement date, and the remaining shares vest at a rate of 1/48th of the total number of shares subject to the options each month thereafter. The options have a term of ten years, subject to earlier termination upon termination of employment. The options are subject to acceleration upon certain specified events; for more information, see </w:t>
      </w:r>
      <w:r>
        <w:rPr>
          <w:color w:val="1D1D1D"/>
        </w:rPr>
        <w:t>“—</w:t>
      </w:r>
      <w:r>
        <w:rPr>
          <w:rFonts w:ascii="Graphik Light;sans-serif" w:hAnsi="Graphik Light;sans-serif"/>
          <w:b w:val="false"/>
          <w:i/>
          <w:color w:val="1D1D1D"/>
          <w:sz w:val="16"/>
        </w:rPr>
        <w:t>Potential Payments upon Termination or Change in Control”</w:t>
      </w:r>
      <w:r>
        <w:rPr>
          <w:color w:val="1D1D1D"/>
        </w:rPr>
        <w:t xml:space="preserve"> </w:t>
      </w:r>
      <w:r>
        <w:rPr>
          <w:rFonts w:ascii="Graphik Light;sans-serif" w:hAnsi="Graphik Light;sans-serif"/>
          <w:b w:val="false"/>
          <w:color w:val="1D1D1D"/>
          <w:sz w:val="16"/>
        </w:rPr>
        <w:t>below.</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(2)The stock option vests at a rate of 1/3rd of the total number of shares of common stock underlying the stock option on the one-year anniversary of the vesting commencement date, and vests at a rate of 1/36th of the total number of shares of common stock underlying the stock option each month following such one-year anniversary. The stock option is subject to acceleration upon certain events as described in </w:t>
      </w:r>
      <w:r>
        <w:rPr>
          <w:color w:val="1D1D1D"/>
        </w:rPr>
        <w:t>“—</w:t>
      </w:r>
      <w:r>
        <w:rPr>
          <w:rFonts w:ascii="Graphik Light;sans-serif" w:hAnsi="Graphik Light;sans-serif"/>
          <w:b w:val="false"/>
          <w:i/>
          <w:color w:val="1D1D1D"/>
          <w:sz w:val="16"/>
        </w:rPr>
        <w:t>Potential Payments upon Termination or Change in Control”</w:t>
      </w:r>
      <w:r>
        <w:rPr>
          <w:color w:val="1D1D1D"/>
        </w:rPr>
        <w:t xml:space="preserve"> </w:t>
      </w:r>
      <w:r>
        <w:rPr>
          <w:rFonts w:ascii="Graphik Light;sans-serif" w:hAnsi="Graphik Light;sans-serif"/>
          <w:b w:val="false"/>
          <w:color w:val="1D1D1D"/>
          <w:sz w:val="16"/>
        </w:rPr>
        <w:t>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660400"/>
                <wp:effectExtent l="0" t="0" r="0" b="0"/>
                <wp:wrapNone/>
                <wp:docPr id="229" name="Frame6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(3)Based on a price of $39.60 per share, which was the closing price per share of our common stock as reported by The Nasdaq Global Market on December 31, 2024. Except as otherwise noted, RSUs vest and settle as to 25% of the units on the first anniversary of the vesting commencement date, and the remaining RSUs vest and settle at a rate of 1/16th of the total number of shares subject to the units each quarter thereafter. The RSUs are subject to acceleration upon certain specified events; for more information, see </w:t>
      </w:r>
      <w:r>
        <w:rPr>
          <w:color w:val="1D1D1D"/>
        </w:rPr>
        <w:t>“—</w:t>
      </w:r>
      <w:r>
        <w:rPr>
          <w:rFonts w:ascii="Graphik Light;sans-serif" w:hAnsi="Graphik Light;sans-serif"/>
          <w:b w:val="false"/>
          <w:i/>
          <w:color w:val="1D1D1D"/>
          <w:sz w:val="16"/>
        </w:rPr>
        <w:t>Potential Payments upon Termination or Change in Control”</w:t>
      </w:r>
      <w:r>
        <w:rPr>
          <w:color w:val="1D1D1D"/>
        </w:rPr>
        <w:t xml:space="preserve"> </w:t>
      </w:r>
      <w:r>
        <w:rPr>
          <w:rFonts w:ascii="Graphik Light;sans-serif" w:hAnsi="Graphik Light;sans-serif"/>
          <w:b w:val="false"/>
          <w:color w:val="1D1D1D"/>
          <w:sz w:val="16"/>
        </w:rPr>
        <w:t>below.</w:t>
      </w:r>
    </w:p>
    <w:p>
      <w:pPr>
        <w:pStyle w:val="TextBody"/>
        <w:bidi w:val="0"/>
        <w:spacing w:lineRule="auto" w:line="300" w:before="0" w:after="90"/>
        <w:ind w:left="0" w:right="0" w:hanging="360"/>
        <w:jc w:val="left"/>
        <w:rPr/>
      </w:pPr>
      <w:r>
        <w:rPr>
          <w:rFonts w:ascii="Graphik Light;sans-serif" w:hAnsi="Graphik Light;sans-serif"/>
          <w:b w:val="false"/>
          <w:color w:val="1D1D1D"/>
          <w:sz w:val="16"/>
        </w:rPr>
        <w:t xml:space="preserve">(4)Based on a price of $39.60 per share, which was the closing price per share of our common stock as reported by The Nasdaq Global Market on December 31, 2024 and assuming the PSU awards' performance conditions are achieved at 100% of target. The PSUs are subject to acceleration upon certain specified events; for more information, see </w:t>
      </w:r>
      <w:r>
        <w:rPr>
          <w:color w:val="1D1D1D"/>
        </w:rPr>
        <w:t>“—</w:t>
      </w:r>
      <w:r>
        <w:rPr>
          <w:rFonts w:ascii="Graphik Light;sans-serif" w:hAnsi="Graphik Light;sans-serif"/>
          <w:b w:val="false"/>
          <w:i/>
          <w:color w:val="1D1D1D"/>
          <w:sz w:val="16"/>
        </w:rPr>
        <w:t>Potential Payments upon Termination or Change in Control”</w:t>
      </w:r>
      <w:r>
        <w:rPr>
          <w:color w:val="1D1D1D"/>
        </w:rPr>
        <w:t xml:space="preserve"> </w:t>
      </w:r>
      <w:r>
        <w:rPr>
          <w:rFonts w:ascii="Graphik Light;sans-serif" w:hAnsi="Graphik Light;sans-serif"/>
          <w:b w:val="false"/>
          <w:color w:val="1D1D1D"/>
          <w:sz w:val="16"/>
        </w:rPr>
        <w:t>below.</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(5)For the 2022 PSUs, 1/3 of the total number of PSUs were eligible to be earned and vest subject to and upon certification of achievement of the performance metric for the performance period ending December 31, 2023 (the “2023 Tranche”) and 2/3 of the total number of PSUs were eligible to be earned and vest subject to and upon the certification of achievement of the performance metric for the performance period ending December 31, 2024 (the “2024 Tranche”) and the continued service of the applicable executive. The 2022 PSUs vest between 75% and 125% of the total grant based on the achievement of the performance metrics. The 2024 Tranche was earned at 118.8% of target achievement and the resulting PSUs are included under the column titled “Number of Shares or Units of Stock That Have Not Vested”; they vested in February 2025. </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(6)For the 2023 PSUs, 40% of the total number of PSUs were eligible to be earned and vest subject to and upon certification of achievement of the performance metric for the performance period ending December 31, 2024 (the “2024 Tranche”) and 60% of the total number of PSUs will vest subject to and upon the certification of achievement of the performance metric for the performance period ending December 31, 2025 (the “2025 Tranche”) and the continued service of the applicable executive. The 2023 PSUs vest between 75% and 150% of the total grant based on the achievement of the performance metrics. The 2024 Tranche was earned at 143.8% of target achievement and the resulting PSUs are included under the column titled “Number of Shares or Units of Stock That Have Not Vested”; they vested in February 2025. The performance period for the 2025 Tranche has not yet concluded and such PSUs are reflected at the overall maximum performance level under the column titled “Equity Incentive Plan Awards: Number of Unearned Shares or Units of Stock That Have Not Vested.” </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 xml:space="preserve">(7)For the 2024 PSUs, 40% of the total number of PSUs will vest subject to and upon certification of achievement of the performance metric for the performance period ending December 31, 2025 and 60% of the total number of PSUs will vest subject to and upon the certification of achievement of the performance metric for the performance period ending December 31, 2026 and the continued service of the applicable executive. The 2024 PSUs vest between 75% and 150% of the total grant based on the achievement of the performance metrics. The performance period for the 2024 PSUs have not yet concluded and such PSUs are reflected at the overall threshold performance levels under the column titled “Equity Incentive Plan Awards: Number of Unearned Shares or Units of Stock That Have Not Vested.” </w:t>
      </w:r>
    </w:p>
    <w:p>
      <w:pPr>
        <w:pStyle w:val="TextBody"/>
        <w:bidi w:val="0"/>
        <w:spacing w:lineRule="auto" w:line="300" w:before="0" w:after="300"/>
        <w:ind w:left="0" w:right="0" w:hanging="360"/>
        <w:jc w:val="left"/>
        <w:rPr/>
      </w:pPr>
      <w:r>
        <w:rPr>
          <w:rFonts w:ascii="Graphik Light;sans-serif" w:hAnsi="Graphik Light;sans-serif"/>
          <w:b w:val="false"/>
          <w:color w:val="1D1D1D"/>
          <w:sz w:val="16"/>
        </w:rPr>
        <w:t xml:space="preserve">(8)The RSUs vest at a rate of 1/3rd of the total number of RSUs on the one-year anniversary of the vesting commencement date, and vest at a rate of 1/12th of the total number of RSUs on each quarter thereafter. The RSUs are subject to acceleration upon certain events as described in </w:t>
      </w:r>
      <w:r>
        <w:rPr>
          <w:color w:val="1D1D1D"/>
        </w:rPr>
        <w:t>“—</w:t>
      </w:r>
      <w:r>
        <w:rPr>
          <w:rFonts w:ascii="Graphik Light;sans-serif" w:hAnsi="Graphik Light;sans-serif"/>
          <w:b w:val="false"/>
          <w:i/>
          <w:color w:val="1D1D1D"/>
          <w:sz w:val="16"/>
        </w:rPr>
        <w:t>Potential Payments upon Termination or Change in Control”</w:t>
      </w:r>
      <w:r>
        <w:rPr>
          <w:color w:val="1D1D1D"/>
        </w:rPr>
        <w:t xml:space="preserve"> </w:t>
      </w:r>
      <w:r>
        <w:rPr>
          <w:rFonts w:ascii="Graphik Light;sans-serif" w:hAnsi="Graphik Light;sans-serif"/>
          <w:b w:val="false"/>
          <w:color w:val="1D1D1D"/>
          <w:sz w:val="16"/>
        </w:rPr>
        <w:t>below.</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Stock Option Exercises and Stock Vested Table</w:t>
      </w:r>
    </w:p>
    <w:p>
      <w:pPr>
        <w:pStyle w:val="TextBody"/>
        <w:bidi w:val="0"/>
        <w:spacing w:lineRule="auto" w:line="336" w:before="0" w:after="14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presents, for each of our NEOs, the number of shares of our common stock acquired upon the exercise of stock options or vesting and settlement of RSUs and PSUs during 2024 and the aggregate value realized upon the exercise of stock options and the vesting and settlement of RSUs and PSUs.</w:t>
      </w:r>
    </w:p>
    <w:tbl>
      <w:tblPr>
        <w:tblW w:w="10205" w:type="dxa"/>
        <w:jc w:val="left"/>
        <w:tblInd w:w="0" w:type="dxa"/>
        <w:tblLayout w:type="fixed"/>
        <w:tblCellMar>
          <w:top w:w="28" w:type="dxa"/>
          <w:left w:w="28" w:type="dxa"/>
          <w:bottom w:w="28" w:type="dxa"/>
          <w:right w:w="28" w:type="dxa"/>
        </w:tblCellMar>
      </w:tblPr>
      <w:tblGrid>
        <w:gridCol w:w="124"/>
        <w:gridCol w:w="109"/>
        <w:gridCol w:w="109"/>
        <w:gridCol w:w="498"/>
        <w:gridCol w:w="426"/>
        <w:gridCol w:w="396"/>
        <w:gridCol w:w="670"/>
        <w:gridCol w:w="670"/>
        <w:gridCol w:w="673"/>
        <w:gridCol w:w="129"/>
        <w:gridCol w:w="129"/>
        <w:gridCol w:w="129"/>
        <w:gridCol w:w="510"/>
        <w:gridCol w:w="510"/>
        <w:gridCol w:w="512"/>
        <w:gridCol w:w="109"/>
        <w:gridCol w:w="109"/>
        <w:gridCol w:w="109"/>
        <w:gridCol w:w="663"/>
        <w:gridCol w:w="663"/>
        <w:gridCol w:w="665"/>
        <w:gridCol w:w="125"/>
        <w:gridCol w:w="125"/>
        <w:gridCol w:w="125"/>
        <w:gridCol w:w="537"/>
        <w:gridCol w:w="499"/>
        <w:gridCol w:w="501"/>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9"/>
            <w:tcBorders/>
            <w:shd w:fill="D1ECF7"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005CBA"/>
                <w:sz w:val="16"/>
              </w:rPr>
            </w:pPr>
            <w:r>
              <w:rPr>
                <w:rFonts w:ascii="Graphik Semibold;sans-serif" w:hAnsi="Graphik Semibold;sans-serif"/>
                <w:b/>
                <w:color w:val="005CBA"/>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9"/>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Stock Awards</w:t>
            </w:r>
          </w:p>
        </w:tc>
        <w:tc>
          <w:tcPr>
            <w:tcW w:w="38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201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Number of Shares Acquired on Exercise </w:t>
              <w:br/>
              <w:t>(#)</w:t>
            </w:r>
          </w:p>
        </w:tc>
        <w:tc>
          <w:tcPr>
            <w:tcW w:w="38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Value Realized on Exercise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Number of Shares Acquired on Vesting </w:t>
              <w:br/>
              <w:t>(#)</w:t>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Value Realized on Vesting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(2)</w:t>
            </w:r>
          </w:p>
        </w:tc>
        <w:tc>
          <w:tcPr>
            <w:tcW w:w="3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2013"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8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71,761</w:t>
            </w:r>
          </w:p>
        </w:tc>
        <w:tc>
          <w:tcPr>
            <w:tcW w:w="375"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1,964,975</w:t>
            </w:r>
          </w:p>
        </w:tc>
        <w:tc>
          <w:tcPr>
            <w:tcW w:w="381"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20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8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36,515</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1,030,640</w:t>
            </w:r>
          </w:p>
        </w:tc>
        <w:tc>
          <w:tcPr>
            <w:tcW w:w="38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20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8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13,295</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586,575</w:t>
            </w:r>
          </w:p>
        </w:tc>
        <w:tc>
          <w:tcPr>
            <w:tcW w:w="38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2013"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8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13,322</w:t>
            </w:r>
          </w:p>
        </w:tc>
        <w:tc>
          <w:tcPr>
            <w:tcW w:w="375"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383,028</w:t>
            </w:r>
          </w:p>
        </w:tc>
        <w:tc>
          <w:tcPr>
            <w:tcW w:w="381"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2013"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38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19,524</w:t>
            </w:r>
          </w:p>
        </w:tc>
        <w:tc>
          <w:tcPr>
            <w:tcW w:w="375"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560,964</w:t>
            </w:r>
          </w:p>
        </w:tc>
        <w:tc>
          <w:tcPr>
            <w:tcW w:w="381"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(1)The value realized on exercise is calculated as the difference between the fair market value of our common stock on the date of exercise and the applicable exercise price of those options.</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(2)The aggregate value realized upon the vesting and settlement of an RSU or PSU is based on the closing price on the Nasdaq Global Market of a share of common stock on the date prior to the day of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660400"/>
                <wp:effectExtent l="0" t="0" r="0" b="0"/>
                <wp:wrapNone/>
                <wp:docPr id="230" name="Frame6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Employment or Letter Agreements</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Marc Stapley</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an employment agreement with Mr. Stapley, our Chief Executive Officer, on May 7, 2021. The agreement provides for base salary, subject to periodic review. Under the employment agreement, Mr. Stapley is also eligible to earn a bonus based on criteria and terms and conditions as may be established by our Board of Directors as well as a grant of restricted stock, stock options and performance-based stock units. We have also entered into a change of control and severance agreement with Mr. Stapley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 xml:space="preserve">below for more information. </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Rebecca Chambers</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an amended and restated offer letter with Ms. Chambers, our Chief Financial Officer, on August 15, 2021. The letter provides for base salary, subject to periodic review. Under the employment agreement, Ms. Chambers is also eligible to earn a bonus based on criteria and terms and conditions as may be established by our Board of Directors, as well as a grant of restricted stock units, stock options and performance-based stock units. We have also entered into a change of control and severance agreement with Ms. Chambers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 xml:space="preserve">below for more information. </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Phillip Febbo</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an offer letter with Dr. Febbo, our Chief Scientific Officer and Chief Medical, on September 11, 2023. The letter provides for base salary, subject to periodic review. Pursuant to the offer letter, Dr. Febbo is eligible for a bonus based on criteria and terms and conditions as may be established by our Board of Directors, as well as equity grants subject to approval by our Board of Directors. We have also entered into a change of control and severance agreement with Dr. Febbo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below for more information.</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John Leite</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 promotion letter with Dr. Leite when he was promoted to Chief Commercial Officer, CLIA, on August 22, 2023. The letter provides for base salary, subject to periodic review. Dr. Leite is also eligible for an increased target bonus based on criteria and terms and conditions as may be established by our Board of Directors. The promotion letter also provided a grant of 2023 PSUs under the same terms and performance as the PSUs granted to existing executive officers. We have also entered into a change of control and severance agreement with Dr. Leite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below for more information.</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Annie McGuire</w:t>
      </w:r>
    </w:p>
    <w:p>
      <w:pPr>
        <w:pStyle w:val="TextBody"/>
        <w:bidi w:val="0"/>
        <w:spacing w:lineRule="auto" w:line="336" w:before="0" w:after="180"/>
        <w:jc w:val="left"/>
        <w:rPr/>
      </w:pPr>
      <w:r>
        <w:rPr>
          <w:rFonts w:ascii="Graphik Light;sans-serif" w:hAnsi="Graphik Light;sans-serif"/>
          <w:b w:val="false"/>
          <w:color w:val="1D1D1D"/>
          <w:sz w:val="18"/>
        </w:rPr>
        <w:t xml:space="preserve">We entered into an offer letter with Ms. McGuire, our General Counsel and Chief People Officer, on January 9, 2023. The letter provides for base salary, subject to periodic review. Pursuant to the offer letter, Ms. McGuire is also eligible to earn a bonus based on criteria and terms and conditions as may be established by our Board of Directors, as well as equity grants subject to approval by our Board of Directors. We have also entered into a change of control and severance agreement with Ms. McGuire that provides for certain payments and benefits upon a qualifying termination of employment. See </w:t>
      </w:r>
      <w:r>
        <w:rPr>
          <w:color w:val="1D1D1D"/>
        </w:rPr>
        <w:t>“—</w:t>
      </w:r>
      <w:r>
        <w:rPr>
          <w:rFonts w:ascii="Graphik Light;sans-serif" w:hAnsi="Graphik Light;sans-serif"/>
          <w:b w:val="false"/>
          <w:i/>
          <w:color w:val="1D1D1D"/>
          <w:sz w:val="18"/>
        </w:rPr>
        <w:t>Potential Payments upon Termination or Change in Control”</w:t>
      </w:r>
      <w:r>
        <w:rPr>
          <w:color w:val="1D1D1D"/>
        </w:rPr>
        <w:t xml:space="preserve"> </w:t>
      </w:r>
      <w:r>
        <w:rPr>
          <w:rFonts w:ascii="Graphik Light;sans-serif" w:hAnsi="Graphik Light;sans-serif"/>
          <w:b w:val="false"/>
          <w:color w:val="1D1D1D"/>
          <w:sz w:val="18"/>
        </w:rPr>
        <w:t>below for more information.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Equity Grant Timing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generally grant equity awards to our NEOs in the first quarter of the fiscal year. In certain circumstances, including the hiring or promotion of an officer, or the granting of special awards, we may approve grants at other times. We do not take material nonpublic information into account when determining the timing and terms of equity awards granted to non-employee directors or NEOs, and we do not time the disclosure of material nonpublic information for the purpose of affecting the value of executive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660400"/>
                <wp:effectExtent l="0" t="0" r="0" b="0"/>
                <wp:wrapNone/>
                <wp:docPr id="231" name="Frame7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Potential Payments upon Termination or Change in Control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entered into change of control and severance agreements with each of our NEOs.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Each of these agreements has an initial term of four years, which term automatically renews for additional one</w:t>
        <w:noBreakHyphen/>
        <w:t>year periods unless either party provides written notice of non-renewal at least 60 days prior to the date of automatic renewal and which term extends for one year from a “change of control,” as defined in the agreement, if such change of control occurs within the final 12 months of the initial term or the term as extended through automatic renewal.</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Outside of a Change in Control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Pursuant to each of the agreements, if the NEO is terminated by us without “cause” (as defined in the agreement), or terminates his or her employment for “good reason” (as defined in the agreement), each outside the period beginning two months prior to and ending 12 months following a change of control, or the “change of control period” (as defined in the agreement), he or she is entitled to the following benefits: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Mr. Stapley: (i) 12 months of salary continuation from the termination date, (ii) a lump sum payment equal to his prorated annual bonus for the applicable performance period based on actual corporate performance and (iii) up to 12 months continuation coverage under the Consolidated Omnibus Budget Reconciliation Act of 1985, as amended (“COBRA”).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Ms. Chambers, Dr. Febbo, Dr. Leite and Ms. McGuire: (i) 6 months of salary continuation from the termination date and (ii) up to 6 months continuation coverage under COBRA.</w:t>
      </w:r>
    </w:p>
    <w:p>
      <w:pPr>
        <w:pStyle w:val="TextBody"/>
        <w:bidi w:val="0"/>
        <w:spacing w:lineRule="auto" w:line="288" w:before="0" w:after="100"/>
        <w:jc w:val="left"/>
        <w:rPr>
          <w:rFonts w:ascii="Graphik Semibold;sans-serif" w:hAnsi="Graphik Semibold;sans-serif"/>
          <w:b/>
          <w:color w:val="1D1D1D"/>
          <w:sz w:val="18"/>
        </w:rPr>
      </w:pPr>
      <w:r>
        <w:rPr>
          <w:rFonts w:ascii="Graphik Semibold;sans-serif" w:hAnsi="Graphik Semibold;sans-serif"/>
          <w:b/>
          <w:color w:val="1D1D1D"/>
          <w:sz w:val="18"/>
        </w:rPr>
        <w:t>During Change in Control Period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Pursuant to each of these agreements, if the NEO is terminated by us without cause, or terminates his or her employment for good reason each during the change of control period, he or she is entitled to the following benefits: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Mr. Stapley: (i) a lump sum severance payment equal to 24 months of salary, (ii) a lump sum payment equal to 200% of the highest of his (A) annual target bonus for the year in which the change of control occurs, (B) annual target bonus for the year in which the termination occurs, or (C) actual bonus for the year prior to the year in which the termination occurs, (iii) accelerated vesting equal to 100% of any outstanding equity awards (and with respect to equity awards subject to performance, assuming “target” level performance, unless provided otherwise in the applicable PSU agreement) and (iv) up to 24 months continuation coverage under COBRA.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Ms. Chambers, Dr. Febbo, Dr. Leite and Ms. McGuire: (i) a lump sum severance payment equal to 18 months of salary from the termination date, (ii) a lump sum payment equal to 150% the highest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(and with respect to equity awards subject to performance, assuming “target” level performance, unless provided otherwise in the applicable PSU agreement) and (iv) up to 18 months continuation coverage under COBRA.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Upon a change in control of the company, the NEO may be subject to a reduction in compensation as a result of excise tax calculations under the best net after-tax severance approach pursuant to Section 4999 of the Code.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receipt of the above-described benefits is subject to the NEO executing a release of certain claims against us.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illustrates the potential payments and benefits our NEOs would be entitled to upon termination of employment or a Change in Control (“CIC”) under each situation listed below. The potential payments assume that the termination and/or termination resulting from a CIC occurred on December 31, 2024 and, where applicable, use the closing price of our Common Stock of $39.60 on December 31, 2024, the final trading day of the year. The table is merely an illustrative example of the impact of a hypothetical termination of employment or change in control and qualifying termination. The amounts that would actually be paid upon a termination of employment can only be determined at the time of such termination, based on the facts and circumstances then prevailing. The receipt of the above-described benefits is subject to the NEO executing a release of certain claims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660400"/>
                <wp:effectExtent l="0" t="0" r="0" b="0"/>
                <wp:wrapNone/>
                <wp:docPr id="232" name="Frame7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tbl>
      <w:tblPr>
        <w:tblW w:w="12399" w:type="dxa"/>
        <w:jc w:val="left"/>
        <w:tblInd w:w="0" w:type="dxa"/>
        <w:tblLayout w:type="fixed"/>
        <w:tblCellMar>
          <w:top w:w="28" w:type="dxa"/>
          <w:left w:w="28" w:type="dxa"/>
          <w:bottom w:w="28" w:type="dxa"/>
          <w:right w:w="28" w:type="dxa"/>
        </w:tblCellMar>
      </w:tblPr>
      <w:tblGrid>
        <w:gridCol w:w="124"/>
        <w:gridCol w:w="109"/>
        <w:gridCol w:w="109"/>
        <w:gridCol w:w="433"/>
        <w:gridCol w:w="320"/>
        <w:gridCol w:w="268"/>
        <w:gridCol w:w="539"/>
        <w:gridCol w:w="437"/>
        <w:gridCol w:w="351"/>
        <w:gridCol w:w="440"/>
        <w:gridCol w:w="440"/>
        <w:gridCol w:w="441"/>
        <w:gridCol w:w="400"/>
        <w:gridCol w:w="400"/>
        <w:gridCol w:w="401"/>
        <w:gridCol w:w="511"/>
        <w:gridCol w:w="465"/>
        <w:gridCol w:w="109"/>
        <w:gridCol w:w="109"/>
        <w:gridCol w:w="109"/>
        <w:gridCol w:w="109"/>
        <w:gridCol w:w="539"/>
        <w:gridCol w:w="437"/>
        <w:gridCol w:w="351"/>
        <w:gridCol w:w="440"/>
        <w:gridCol w:w="440"/>
        <w:gridCol w:w="441"/>
        <w:gridCol w:w="681"/>
        <w:gridCol w:w="400"/>
        <w:gridCol w:w="401"/>
        <w:gridCol w:w="540"/>
        <w:gridCol w:w="541"/>
        <w:gridCol w:w="1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12"/>
            <w:tcBorders/>
            <w:shd w:fill="D1ECF7"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005CBA"/>
                <w:sz w:val="16"/>
              </w:rPr>
            </w:pPr>
            <w:r>
              <w:rPr>
                <w:rFonts w:ascii="Graphik Semibold;sans-serif" w:hAnsi="Graphik Semibold;sans-serif"/>
                <w:b/>
                <w:color w:val="005CBA"/>
                <w:sz w:val="16"/>
              </w:rPr>
              <w:t xml:space="preserve">Upon Qualifying Termination - </w:t>
              <w:br/>
              <w:t>No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15"/>
            <w:tcBorders/>
            <w:shd w:fill="98CBE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 xml:space="preserve">Upon Qualifying Termination - </w:t>
              <w:br/>
              <w:t>Change in Control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D1EC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8CBE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Name</w:t>
            </w:r>
          </w:p>
        </w:tc>
        <w:tc>
          <w:tcPr>
            <w:tcW w:w="1327"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Cash Severance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132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Continuation of Medical Benefits </w:t>
              <w:br/>
              <w:t>($)</w:t>
            </w:r>
          </w:p>
        </w:tc>
        <w:tc>
          <w:tcPr>
            <w:tcW w:w="1201"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Value of Accelerated Vesting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(2)</w:t>
            </w:r>
          </w:p>
        </w:tc>
        <w:tc>
          <w:tcPr>
            <w:tcW w:w="1085"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Total </w:t>
            </w:r>
          </w:p>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Cash Severance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(1)</w:t>
            </w:r>
          </w:p>
        </w:tc>
        <w:tc>
          <w:tcPr>
            <w:tcW w:w="1321"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Continuation of Medical Benefits </w:t>
              <w:br/>
              <w:t>($)</w:t>
            </w:r>
          </w:p>
        </w:tc>
        <w:tc>
          <w:tcPr>
            <w:tcW w:w="1482" w:type="dxa"/>
            <w:gridSpan w:val="3"/>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6"/>
              </w:rPr>
            </w:pPr>
            <w:r>
              <w:rPr>
                <w:rFonts w:ascii="Graphik Semibold;sans-serif" w:hAnsi="Graphik Semibold;sans-serif"/>
                <w:b/>
                <w:color w:val="FFFFFF"/>
                <w:sz w:val="16"/>
              </w:rPr>
              <w:t xml:space="preserve">Value of Accelerated Vesting </w:t>
            </w:r>
          </w:p>
          <w:p>
            <w:pPr>
              <w:pStyle w:val="TableContents"/>
              <w:bidi w:val="0"/>
              <w:spacing w:lineRule="auto" w:line="288" w:before="0" w:after="0"/>
              <w:jc w:val="right"/>
              <w:rPr/>
            </w:pPr>
            <w:r>
              <w:rPr>
                <w:rFonts w:ascii="Graphik Semibold;sans-serif" w:hAnsi="Graphik Semibold;sans-serif"/>
                <w:b/>
                <w:color w:val="FFFFFF"/>
                <w:sz w:val="16"/>
              </w:rPr>
              <w:t>($)</w:t>
            </w:r>
            <w:r>
              <w:rPr>
                <w:rFonts w:ascii="Graphik Semibold;sans-serif" w:hAnsi="Graphik Semibold;sans-serif"/>
                <w:b/>
                <w:color w:val="FFFFFF"/>
                <w:sz w:val="10"/>
              </w:rPr>
              <w:t>(2)</w:t>
            </w:r>
          </w:p>
        </w:tc>
        <w:tc>
          <w:tcPr>
            <w:tcW w:w="127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w:t>
              <w:b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Marc Stapley</w:t>
            </w:r>
          </w:p>
        </w:tc>
        <w:tc>
          <w:tcPr>
            <w:tcW w:w="97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1,687,500 </w:t>
            </w:r>
          </w:p>
        </w:tc>
        <w:tc>
          <w:tcPr>
            <w:tcW w:w="35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38,969 </w:t>
            </w:r>
          </w:p>
        </w:tc>
        <w:tc>
          <w:tcPr>
            <w:tcW w:w="44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1,726,469 </w:t>
            </w:r>
          </w:p>
        </w:tc>
        <w:tc>
          <w:tcPr>
            <w:tcW w:w="109"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3,150,500 </w:t>
            </w:r>
          </w:p>
        </w:tc>
        <w:tc>
          <w:tcPr>
            <w:tcW w:w="35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77,938 </w:t>
            </w:r>
          </w:p>
        </w:tc>
        <w:tc>
          <w:tcPr>
            <w:tcW w:w="44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17,232,091 </w:t>
            </w:r>
          </w:p>
        </w:tc>
        <w:tc>
          <w:tcPr>
            <w:tcW w:w="40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20,460,529 </w:t>
            </w:r>
          </w:p>
        </w:tc>
        <w:tc>
          <w:tcPr>
            <w:tcW w:w="192"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265,200 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19,484 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284,684 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1,378,340 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58,453 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8,012,807 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9,449,600 </w:t>
            </w:r>
          </w:p>
        </w:tc>
        <w:tc>
          <w:tcPr>
            <w:tcW w:w="19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275,000 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19,484 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294,484 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1,278,750 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58,453 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7,918,741 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9,255,944 </w:t>
            </w:r>
          </w:p>
        </w:tc>
        <w:tc>
          <w:tcPr>
            <w:tcW w:w="19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236,250 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19,484 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255,734 </w:t>
            </w:r>
          </w:p>
        </w:tc>
        <w:tc>
          <w:tcPr>
            <w:tcW w:w="109"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1,105,400 </w:t>
            </w:r>
          </w:p>
        </w:tc>
        <w:tc>
          <w:tcPr>
            <w:tcW w:w="3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58,453 </w:t>
            </w:r>
          </w:p>
        </w:tc>
        <w:tc>
          <w:tcPr>
            <w:tcW w:w="44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6,102,978 </w:t>
            </w:r>
          </w:p>
        </w:tc>
        <w:tc>
          <w:tcPr>
            <w:tcW w:w="40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7,266,831 </w:t>
            </w:r>
          </w:p>
        </w:tc>
        <w:tc>
          <w:tcPr>
            <w:tcW w:w="192"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97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235,400 </w:t>
            </w:r>
          </w:p>
        </w:tc>
        <w:tc>
          <w:tcPr>
            <w:tcW w:w="35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19,484 </w:t>
            </w:r>
          </w:p>
        </w:tc>
        <w:tc>
          <w:tcPr>
            <w:tcW w:w="44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 </w:t>
            </w:r>
          </w:p>
        </w:tc>
        <w:tc>
          <w:tcPr>
            <w:tcW w:w="40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254,884 </w:t>
            </w:r>
          </w:p>
        </w:tc>
        <w:tc>
          <w:tcPr>
            <w:tcW w:w="109"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1,208,955 </w:t>
            </w:r>
          </w:p>
        </w:tc>
        <w:tc>
          <w:tcPr>
            <w:tcW w:w="35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58,453 </w:t>
            </w:r>
          </w:p>
        </w:tc>
        <w:tc>
          <w:tcPr>
            <w:tcW w:w="44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6,325,747 </w:t>
            </w:r>
          </w:p>
        </w:tc>
        <w:tc>
          <w:tcPr>
            <w:tcW w:w="40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7,593,155 </w:t>
            </w:r>
          </w:p>
        </w:tc>
        <w:tc>
          <w:tcPr>
            <w:tcW w:w="192"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(1)The cash severance amount related to base salary was determined based on the base salaries in effect on December 31, 2024. The cash severance amount related to annual cash bonus was determined based on the 2023 earned bonus and for Mr. Febbo, based on the 2024 target bonus.</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(2)The value of accelerated vesting is calculated based on the per share closing price of our common stock on The Nasdaq Stock Market as of December 31, 2024, the final trading day of the year ($39.60) less, if applicable, the exercise price of each outstanding stock option. In addition, the value of the accelerated vesting of any outstanding PSUs for which the performance period has not yet ended is based upon “at target” achievement.</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Pay Versus Performance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tbl>
      <w:tblPr>
        <w:tblW w:w="12019" w:type="dxa"/>
        <w:jc w:val="left"/>
        <w:tblInd w:w="0" w:type="dxa"/>
        <w:tblLayout w:type="fixed"/>
        <w:tblCellMar>
          <w:top w:w="28" w:type="dxa"/>
          <w:left w:w="28" w:type="dxa"/>
          <w:bottom w:w="28" w:type="dxa"/>
          <w:right w:w="28" w:type="dxa"/>
        </w:tblCellMar>
      </w:tblPr>
      <w:tblGrid>
        <w:gridCol w:w="124"/>
        <w:gridCol w:w="109"/>
        <w:gridCol w:w="109"/>
        <w:gridCol w:w="154"/>
        <w:gridCol w:w="154"/>
        <w:gridCol w:w="158"/>
        <w:gridCol w:w="486"/>
        <w:gridCol w:w="385"/>
        <w:gridCol w:w="386"/>
        <w:gridCol w:w="486"/>
        <w:gridCol w:w="385"/>
        <w:gridCol w:w="386"/>
        <w:gridCol w:w="576"/>
        <w:gridCol w:w="385"/>
        <w:gridCol w:w="386"/>
        <w:gridCol w:w="576"/>
        <w:gridCol w:w="385"/>
        <w:gridCol w:w="386"/>
        <w:gridCol w:w="486"/>
        <w:gridCol w:w="385"/>
        <w:gridCol w:w="386"/>
        <w:gridCol w:w="486"/>
        <w:gridCol w:w="385"/>
        <w:gridCol w:w="386"/>
        <w:gridCol w:w="491"/>
        <w:gridCol w:w="155"/>
        <w:gridCol w:w="155"/>
        <w:gridCol w:w="491"/>
        <w:gridCol w:w="155"/>
        <w:gridCol w:w="156"/>
        <w:gridCol w:w="256"/>
        <w:gridCol w:w="225"/>
        <w:gridCol w:w="226"/>
        <w:gridCol w:w="306"/>
        <w:gridCol w:w="250"/>
        <w:gridCol w:w="2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4"/>
              </w:rPr>
            </w:pPr>
            <w:r>
              <w:rPr>
                <w:rFonts w:ascii="Graphik Semibold;sans-serif" w:hAnsi="Graphik Semibold;sans-serif"/>
                <w:b/>
                <w:color w:val="FFFFFF"/>
                <w:sz w:val="14"/>
              </w:rPr>
              <w:t>Year</w:t>
            </w:r>
          </w:p>
        </w:tc>
        <w:tc>
          <w:tcPr>
            <w:tcW w:w="125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Summary Compensation Table Total for Marc Stapley</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w:t>
            </w:r>
            <w:r>
              <w:rPr>
                <w:color w:val="FFFFFF"/>
              </w:rPr>
              <w:t xml:space="preserve"> </w:t>
            </w:r>
          </w:p>
        </w:tc>
        <w:tc>
          <w:tcPr>
            <w:tcW w:w="125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Summary Compensation Table Total for Bonnie Anderson</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w:t>
            </w:r>
            <w:r>
              <w:rPr>
                <w:color w:val="FFFFFF"/>
              </w:rPr>
              <w:t xml:space="preserve"> </w:t>
            </w:r>
          </w:p>
        </w:tc>
        <w:tc>
          <w:tcPr>
            <w:tcW w:w="134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Compensation Actually Paid to Marc Stapley</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(1)(2)(3)</w:t>
            </w:r>
          </w:p>
        </w:tc>
        <w:tc>
          <w:tcPr>
            <w:tcW w:w="134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Compensation Actually Paid to Bonnie Anderson</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(1)(2)(3)</w:t>
            </w:r>
          </w:p>
        </w:tc>
        <w:tc>
          <w:tcPr>
            <w:tcW w:w="125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Average Summary Compensation Table Total for Non-PEO NEOs</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w:t>
            </w:r>
            <w:r>
              <w:rPr>
                <w:color w:val="FFFFFF"/>
              </w:rPr>
              <w:t xml:space="preserve"> </w:t>
            </w:r>
          </w:p>
        </w:tc>
        <w:tc>
          <w:tcPr>
            <w:tcW w:w="125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Average Compensation Actually Paid to Non-PEO NEOs</w:t>
            </w:r>
          </w:p>
          <w:p>
            <w:pPr>
              <w:pStyle w:val="TableContents"/>
              <w:bidi w:val="0"/>
              <w:spacing w:lineRule="auto" w:line="288" w:before="0" w:after="0"/>
              <w:jc w:val="right"/>
              <w:rPr/>
            </w:pPr>
            <w:r>
              <w:rPr>
                <w:rFonts w:ascii="Graphik Semibold;sans-serif" w:hAnsi="Graphik Semibold;sans-serif"/>
                <w:b/>
                <w:color w:val="FFFFFF"/>
                <w:sz w:val="14"/>
              </w:rPr>
              <w:t>($)</w:t>
            </w:r>
            <w:r>
              <w:rPr>
                <w:rFonts w:ascii="Graphik Semibold;sans-serif" w:hAnsi="Graphik Semibold;sans-serif"/>
                <w:b/>
                <w:color w:val="FFFFFF"/>
                <w:sz w:val="9"/>
              </w:rPr>
              <w:t>(1)(2)(3)</w:t>
            </w:r>
          </w:p>
        </w:tc>
        <w:tc>
          <w:tcPr>
            <w:tcW w:w="1603" w:type="dxa"/>
            <w:gridSpan w:val="6"/>
            <w:tcBorders/>
            <w:shd w:fill="005CBA" w:val="clear"/>
            <w:tcMar>
              <w:top w:w="0" w:type="dxa"/>
              <w:left w:w="0" w:type="dxa"/>
              <w:bottom w:w="0" w:type="dxa"/>
              <w:right w:w="0" w:type="dxa"/>
            </w:tcMar>
            <w:vAlign w:val="center"/>
          </w:tcPr>
          <w:p>
            <w:pPr>
              <w:pStyle w:val="TableContents"/>
              <w:bidi w:val="0"/>
              <w:spacing w:lineRule="auto" w:line="288" w:before="0" w:after="0"/>
              <w:jc w:val="center"/>
              <w:rPr/>
            </w:pPr>
            <w:r>
              <w:rPr>
                <w:rFonts w:ascii="Graphik Semibold;sans-serif" w:hAnsi="Graphik Semibold;sans-serif"/>
                <w:b/>
                <w:color w:val="FFFFFF"/>
                <w:sz w:val="14"/>
              </w:rPr>
              <w:t>Value of Initial Fixed $100 Investment based on:</w:t>
            </w:r>
            <w:r>
              <w:rPr>
                <w:rFonts w:ascii="Graphik Semibold;sans-serif" w:hAnsi="Graphik Semibold;sans-serif"/>
                <w:b/>
                <w:color w:val="FFFFFF"/>
                <w:sz w:val="9"/>
              </w:rPr>
              <w:t>(4)</w:t>
            </w:r>
          </w:p>
        </w:tc>
        <w:tc>
          <w:tcPr>
            <w:tcW w:w="70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Net Income </w:t>
              <w:br/>
              <w:t>($ in millions)</w:t>
            </w:r>
          </w:p>
        </w:tc>
        <w:tc>
          <w:tcPr>
            <w:tcW w:w="807" w:type="dxa"/>
            <w:gridSpan w:val="3"/>
            <w:vMerge w:val="restart"/>
            <w:tcBorders/>
            <w:shd w:fill="005CBA" w:val="clear"/>
            <w:tcMar>
              <w:top w:w="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FFFFFF"/>
                <w:sz w:val="14"/>
              </w:rPr>
            </w:pPr>
            <w:r>
              <w:rPr>
                <w:rFonts w:ascii="Graphik Semibold;sans-serif" w:hAnsi="Graphik Semibold;sans-serif"/>
                <w:b/>
                <w:color w:val="FFFFFF"/>
                <w:sz w:val="14"/>
              </w:rPr>
              <w:t xml:space="preserve">Total Revenue </w:t>
            </w:r>
          </w:p>
          <w:p>
            <w:pPr>
              <w:pStyle w:val="TableContents"/>
              <w:bidi w:val="0"/>
              <w:spacing w:lineRule="auto" w:line="288" w:before="0" w:after="0"/>
              <w:jc w:val="right"/>
              <w:rPr/>
            </w:pPr>
            <w:r>
              <w:rPr>
                <w:rFonts w:ascii="Graphik Semibold;sans-serif" w:hAnsi="Graphik Semibold;sans-serif"/>
                <w:b/>
                <w:color w:val="FFFFFF"/>
                <w:sz w:val="14"/>
              </w:rPr>
              <w:t>($ in millions)</w:t>
            </w:r>
            <w:r>
              <w:rPr>
                <w:rFonts w:ascii="Graphik Semibold;sans-serif" w:hAnsi="Graphik Semibold;sans-serif"/>
                <w:b/>
                <w:color w:val="FFFFFF"/>
                <w:sz w:val="9"/>
              </w:rPr>
              <w:t>(</w:t>
            </w:r>
            <w:r>
              <w:rPr>
                <w:color w:val="FFFFFF"/>
              </w:rPr>
              <w:t>⁵</w:t>
            </w:r>
            <w:r>
              <w:rPr>
                <w:rFonts w:ascii="Graphik Semibold;sans-serif" w:hAnsi="Graphik Semibold;sans-serif"/>
                <w:b/>
                <w:color w:val="FFFFFF"/>
                <w:sz w:val="9"/>
              </w:rPr>
              <w:t>)</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34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34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603" w:type="dxa"/>
            <w:gridSpan w:val="6"/>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0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34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34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125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01"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TSR </w:t>
              <w:br/>
              <w:t>($)</w:t>
            </w:r>
          </w:p>
        </w:tc>
        <w:tc>
          <w:tcPr>
            <w:tcW w:w="802" w:type="dxa"/>
            <w:gridSpan w:val="3"/>
            <w:tcBorders>
              <w:top w:val="single" w:sz="8" w:space="0" w:color="98CBEA"/>
            </w:tcBorders>
            <w:shd w:fill="005CBA" w:val="clear"/>
            <w:tcMar>
              <w:top w:w="3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4"/>
              </w:rPr>
            </w:pPr>
            <w:r>
              <w:rPr>
                <w:rFonts w:ascii="Graphik Semibold;sans-serif" w:hAnsi="Graphik Semibold;sans-serif"/>
                <w:b/>
                <w:color w:val="FFFFFF"/>
                <w:sz w:val="14"/>
              </w:rPr>
              <w:t xml:space="preserve">Peer Group TSR </w:t>
              <w:br/>
              <w:t>($)</w:t>
            </w:r>
          </w:p>
        </w:tc>
        <w:tc>
          <w:tcPr>
            <w:tcW w:w="70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807" w:type="dxa"/>
            <w:gridSpan w:val="3"/>
            <w:vMerge w:val="continue"/>
            <w:tcBorders/>
            <w:shd w:fill="005CBA" w:val="clear"/>
            <w:tcMar>
              <w:top w:w="0" w:type="dxa"/>
              <w:left w:w="0" w:type="dxa"/>
              <w:bottom w:w="0" w:type="dxa"/>
              <w:right w:w="0" w:type="dxa"/>
            </w:tcMar>
            <w:vAlign w:val="center"/>
          </w:tcPr>
          <w:p>
            <w:pPr>
              <w:pStyle w:val="Normal"/>
              <w:bidi w:val="0"/>
              <w:jc w:val="left"/>
              <w:rPr/>
            </w:pPr>
            <w:r>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2024</w:t>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6,816,368 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14,888,998 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3,154,952 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6,617,801 </w:t>
            </w:r>
          </w:p>
        </w:tc>
        <w:tc>
          <w:tcPr>
            <w:tcW w:w="38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141.83 </w:t>
            </w:r>
          </w:p>
        </w:tc>
        <w:tc>
          <w:tcPr>
            <w:tcW w:w="155"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118.20 </w:t>
            </w:r>
          </w:p>
        </w:tc>
        <w:tc>
          <w:tcPr>
            <w:tcW w:w="15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24.1 </w:t>
            </w:r>
          </w:p>
        </w:tc>
        <w:tc>
          <w:tcPr>
            <w:tcW w:w="226"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445.8 </w:t>
            </w:r>
          </w:p>
        </w:tc>
        <w:tc>
          <w:tcPr>
            <w:tcW w:w="251" w:type="dxa"/>
            <w:tcBorders>
              <w:top w:val="single" w:sz="16"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2023</w:t>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7,184,634 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9,559,060 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2,742,803 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3,440,029 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98.53 </w:t>
            </w:r>
          </w:p>
        </w:tc>
        <w:tc>
          <w:tcPr>
            <w:tcW w:w="15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118.87 </w:t>
            </w:r>
          </w:p>
        </w:tc>
        <w:tc>
          <w:tcPr>
            <w:tcW w:w="15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(74.4)</w:t>
            </w:r>
          </w:p>
        </w:tc>
        <w:tc>
          <w:tcPr>
            <w:tcW w:w="2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361.1 </w:t>
            </w:r>
          </w:p>
        </w:tc>
        <w:tc>
          <w:tcPr>
            <w:tcW w:w="2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2022</w:t>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4,935,422 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1,622,674 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3,725,476 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1,450,011 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84.99 </w:t>
            </w:r>
          </w:p>
        </w:tc>
        <w:tc>
          <w:tcPr>
            <w:tcW w:w="15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113.65 </w:t>
            </w:r>
          </w:p>
        </w:tc>
        <w:tc>
          <w:tcPr>
            <w:tcW w:w="15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(36.6)</w:t>
            </w:r>
          </w:p>
        </w:tc>
        <w:tc>
          <w:tcPr>
            <w:tcW w:w="2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296.5 </w:t>
            </w:r>
          </w:p>
        </w:tc>
        <w:tc>
          <w:tcPr>
            <w:tcW w:w="2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2021</w:t>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5,741,940 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4,518,093 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5,700,065 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2,876,781 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2,235,504 </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(434,017)</w:t>
            </w:r>
          </w:p>
        </w:tc>
        <w:tc>
          <w:tcPr>
            <w:tcW w:w="38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147.56 </w:t>
            </w:r>
          </w:p>
        </w:tc>
        <w:tc>
          <w:tcPr>
            <w:tcW w:w="155"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126.45 </w:t>
            </w:r>
          </w:p>
        </w:tc>
        <w:tc>
          <w:tcPr>
            <w:tcW w:w="15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(75.6)</w:t>
            </w:r>
          </w:p>
        </w:tc>
        <w:tc>
          <w:tcPr>
            <w:tcW w:w="226"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219.5 </w:t>
            </w:r>
          </w:p>
        </w:tc>
        <w:tc>
          <w:tcPr>
            <w:tcW w:w="251" w:type="dxa"/>
            <w:tcBorders>
              <w:top w:val="single" w:sz="4" w:space="0" w:color="98CBE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5"/>
              </w:rPr>
            </w:pPr>
            <w:r>
              <w:rPr>
                <w:rFonts w:ascii="Graphik Light;sans-serif" w:hAnsi="Graphik Light;sans-serif"/>
                <w:b w:val="false"/>
                <w:color w:val="1D1D1D"/>
                <w:sz w:val="15"/>
              </w:rPr>
              <w:t>2020</w:t>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4,571,345 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15,466,734 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2,200,189 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5,837,075 </w:t>
            </w:r>
          </w:p>
        </w:tc>
        <w:tc>
          <w:tcPr>
            <w:tcW w:w="38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175.29 </w:t>
            </w:r>
          </w:p>
        </w:tc>
        <w:tc>
          <w:tcPr>
            <w:tcW w:w="155"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126.42 </w:t>
            </w:r>
          </w:p>
        </w:tc>
        <w:tc>
          <w:tcPr>
            <w:tcW w:w="15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(34.9)</w:t>
            </w:r>
          </w:p>
        </w:tc>
        <w:tc>
          <w:tcPr>
            <w:tcW w:w="226"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5"/>
              </w:rPr>
            </w:pPr>
            <w:r>
              <w:rPr>
                <w:rFonts w:ascii="Graphik Light;sans-serif" w:hAnsi="Graphik Light;sans-serif"/>
                <w:b w:val="false"/>
                <w:color w:val="1D1D1D"/>
                <w:sz w:val="15"/>
              </w:rPr>
              <w:t>117.5 </w:t>
            </w:r>
          </w:p>
        </w:tc>
        <w:tc>
          <w:tcPr>
            <w:tcW w:w="251" w:type="dxa"/>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(1)Bonnie Anderson was our PEO until June 2021. Marc Stapley has been our PEO from June 2021 to present. The individuals comprising the Non-PEO NEOs for each year presented are listed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660400"/>
                <wp:effectExtent l="0" t="0" r="0" b="0"/>
                <wp:wrapNone/>
                <wp:docPr id="233" name="Frame7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tbl>
      <w:tblPr>
        <w:tblW w:w="7928" w:type="dxa"/>
        <w:jc w:val="left"/>
        <w:tblInd w:w="0" w:type="dxa"/>
        <w:tblLayout w:type="fixed"/>
        <w:tblCellMar>
          <w:top w:w="28" w:type="dxa"/>
          <w:left w:w="28" w:type="dxa"/>
          <w:bottom w:w="28" w:type="dxa"/>
          <w:right w:w="28" w:type="dxa"/>
        </w:tblCellMar>
      </w:tblPr>
      <w:tblGrid>
        <w:gridCol w:w="124"/>
        <w:gridCol w:w="109"/>
        <w:gridCol w:w="109"/>
        <w:gridCol w:w="558"/>
        <w:gridCol w:w="558"/>
        <w:gridCol w:w="564"/>
        <w:gridCol w:w="613"/>
        <w:gridCol w:w="613"/>
        <w:gridCol w:w="619"/>
        <w:gridCol w:w="612"/>
        <w:gridCol w:w="612"/>
        <w:gridCol w:w="620"/>
        <w:gridCol w:w="614"/>
        <w:gridCol w:w="614"/>
        <w:gridCol w:w="61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2020</w:t>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2021</w:t>
            </w:r>
          </w:p>
        </w:tc>
        <w:tc>
          <w:tcPr>
            <w:tcW w:w="1844"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2022</w:t>
            </w:r>
          </w:p>
        </w:tc>
        <w:tc>
          <w:tcPr>
            <w:tcW w:w="184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FFFFFF"/>
                <w:sz w:val="16"/>
              </w:rPr>
            </w:pPr>
            <w:r>
              <w:rPr>
                <w:rFonts w:ascii="Graphik Semibold;sans-serif" w:hAnsi="Graphik Semibold;sans-serif"/>
                <w:b/>
                <w:color w:val="FFFFFF"/>
                <w:sz w:val="16"/>
              </w:rPr>
              <w:t>2023 - 2024</w:t>
            </w:r>
          </w:p>
        </w:tc>
        <w:tc>
          <w:tcPr>
            <w:tcW w:w="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98CBEA"/>
            </w:tcBorders>
            <w:shd w:fill="005CBA"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Keith Kennedy</w:t>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Keith Kennedy</w:t>
            </w:r>
          </w:p>
        </w:tc>
        <w:tc>
          <w:tcPr>
            <w:tcW w:w="1844"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Giulia Kennedy</w:t>
            </w:r>
          </w:p>
        </w:tc>
        <w:tc>
          <w:tcPr>
            <w:tcW w:w="1845" w:type="dxa"/>
            <w:gridSpan w:val="3"/>
            <w:tcBorders>
              <w:top w:val="single" w:sz="16"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372" w:type="dxa"/>
            <w:gridSpan w:val="3"/>
            <w:tcBorders>
              <w:top w:val="single" w:sz="16"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Giulia Kennedy</w:t>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Giulia Kennedy</w:t>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Phillip Febbo</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Hanna</w:t>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James Erlinger III</w:t>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Tina Nova</w:t>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John Leite</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James Erlinger III</w:t>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Beverly Jane Alley</w:t>
            </w:r>
          </w:p>
        </w:tc>
        <w:tc>
          <w:tcPr>
            <w:tcW w:w="184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1845"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Annie McGuire</w:t>
            </w:r>
          </w:p>
        </w:tc>
        <w:tc>
          <w:tcPr>
            <w:tcW w:w="372" w:type="dxa"/>
            <w:gridSpan w:val="3"/>
            <w:tcBorders>
              <w:top w:val="single" w:sz="4" w:space="0" w:color="98CBE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left"/>
              <w:rPr>
                <w:rFonts w:ascii="Graphik Semibold;sans-serif" w:hAnsi="Graphik Semibold;sans-serif"/>
                <w:b/>
                <w:color w:val="1D1D1D"/>
                <w:sz w:val="16"/>
              </w:rPr>
            </w:pPr>
            <w:r>
              <w:rPr>
                <w:rFonts w:ascii="Graphik Semibold;sans-serif" w:hAnsi="Graphik Semibold;sans-serif"/>
                <w:b/>
                <w:color w:val="1D1D1D"/>
                <w:sz w:val="16"/>
              </w:rPr>
              <w:t>Rebecca Chambers</w:t>
            </w:r>
          </w:p>
        </w:tc>
        <w:tc>
          <w:tcPr>
            <w:tcW w:w="1844"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(2)The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bidi w:val="0"/>
        <w:spacing w:lineRule="auto" w:line="300" w:before="0" w:after="9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(3)Compensation Actually Paid reflects the exclusions and inclusions of certain amounts for the PEOs and the Non-PEO NEOs as set forth below. Equity values are calculated in accordance with FASB ASC Topic 718. Amounts in the Exclusion of Stock Awards and Option Awards column below reflect the totals from the Stock Awards and Option Awards columns set forth in the Summary Compensation Table.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812"/>
        <w:gridCol w:w="812"/>
        <w:gridCol w:w="814"/>
        <w:gridCol w:w="800"/>
        <w:gridCol w:w="800"/>
        <w:gridCol w:w="802"/>
        <w:gridCol w:w="663"/>
        <w:gridCol w:w="619"/>
        <w:gridCol w:w="621"/>
        <w:gridCol w:w="739"/>
        <w:gridCol w:w="739"/>
        <w:gridCol w:w="740"/>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243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Summary Compensation Table Total for Marc Stapley </w:t>
              <w:br/>
              <w:t>($)</w:t>
            </w:r>
          </w:p>
        </w:tc>
        <w:tc>
          <w:tcPr>
            <w:tcW w:w="240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Exclusion of Stock Awards and Option Awards for Marc Stapley </w:t>
              <w:br/>
              <w:t>($)</w:t>
            </w:r>
          </w:p>
        </w:tc>
        <w:tc>
          <w:tcPr>
            <w:tcW w:w="190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Inclusion of Equity Values for Marc Stapley </w:t>
              <w:br/>
              <w:t>($)</w:t>
            </w:r>
          </w:p>
        </w:tc>
        <w:tc>
          <w:tcPr>
            <w:tcW w:w="221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Compensation Actually Paid to Marc Stapley </w:t>
              <w:br/>
              <w:t>($)</w:t>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2438"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6,816,368</w:t>
            </w:r>
          </w:p>
        </w:tc>
        <w:tc>
          <w:tcPr>
            <w:tcW w:w="2402"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(5,125,868)</w:t>
            </w:r>
          </w:p>
        </w:tc>
        <w:tc>
          <w:tcPr>
            <w:tcW w:w="1903"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13,198,498</w:t>
            </w:r>
          </w:p>
        </w:tc>
        <w:tc>
          <w:tcPr>
            <w:tcW w:w="2218"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14,888,998</w:t>
            </w:r>
          </w:p>
        </w:tc>
        <w:tc>
          <w:tcPr>
            <w:tcW w:w="376"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791"/>
        <w:gridCol w:w="791"/>
        <w:gridCol w:w="793"/>
        <w:gridCol w:w="109"/>
        <w:gridCol w:w="109"/>
        <w:gridCol w:w="109"/>
        <w:gridCol w:w="746"/>
        <w:gridCol w:w="746"/>
        <w:gridCol w:w="748"/>
        <w:gridCol w:w="109"/>
        <w:gridCol w:w="109"/>
        <w:gridCol w:w="109"/>
        <w:gridCol w:w="492"/>
        <w:gridCol w:w="492"/>
        <w:gridCol w:w="493"/>
        <w:gridCol w:w="737"/>
        <w:gridCol w:w="737"/>
        <w:gridCol w:w="73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2375"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Summary Compensation Table Total for Non-PEO NEOs </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Exclusion of Stock Awards and Option Awards for Non-PEO NEOs </w:t>
              <w:br/>
              <w:t>($)</w:t>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Inclusion </w:t>
              <w:br/>
              <w:t xml:space="preserve">of Equity Values for Non-PEO NEOs </w:t>
              <w:br/>
              <w:t>($)</w:t>
            </w:r>
          </w:p>
        </w:tc>
        <w:tc>
          <w:tcPr>
            <w:tcW w:w="2213"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Compensation Actually Paid to Non-PEO NEOs </w:t>
              <w:br/>
              <w:t>($)</w:t>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2375"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3,154,952</w:t>
            </w:r>
          </w:p>
        </w:tc>
        <w:tc>
          <w:tcPr>
            <w:tcW w:w="327"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(2,228,638)</w:t>
            </w:r>
          </w:p>
        </w:tc>
        <w:tc>
          <w:tcPr>
            <w:tcW w:w="327"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5,691,487</w:t>
            </w:r>
          </w:p>
        </w:tc>
        <w:tc>
          <w:tcPr>
            <w:tcW w:w="2213"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6,617,801</w:t>
            </w:r>
          </w:p>
        </w:tc>
        <w:tc>
          <w:tcPr>
            <w:tcW w:w="378"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90"/>
        <w:jc w:val="left"/>
        <w:rPr>
          <w:rFonts w:ascii="Graphik Light;sans-serif" w:hAnsi="Graphik Light;sans-serif"/>
          <w:b w:val="false"/>
          <w:color w:val="1D1D1D"/>
          <w:sz w:val="16"/>
        </w:rPr>
      </w:pPr>
      <w:r>
        <w:rPr>
          <w:rFonts w:ascii="Graphik Light;sans-serif" w:hAnsi="Graphik Light;sans-serif"/>
          <w:b w:val="false"/>
          <w:color w:val="1D1D1D"/>
          <w:sz w:val="16"/>
        </w:rPr>
        <w:t>The amounts in the Inclusion of Equity Values in the tables above are derived from the amounts set forth in the following tables: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512"/>
        <w:gridCol w:w="512"/>
        <w:gridCol w:w="514"/>
        <w:gridCol w:w="486"/>
        <w:gridCol w:w="486"/>
        <w:gridCol w:w="488"/>
        <w:gridCol w:w="582"/>
        <w:gridCol w:w="582"/>
        <w:gridCol w:w="584"/>
        <w:gridCol w:w="519"/>
        <w:gridCol w:w="519"/>
        <w:gridCol w:w="521"/>
        <w:gridCol w:w="449"/>
        <w:gridCol w:w="449"/>
        <w:gridCol w:w="451"/>
        <w:gridCol w:w="433"/>
        <w:gridCol w:w="433"/>
        <w:gridCol w:w="434"/>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153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Year-End Fair Value of Equity Awards Granted During Year That Remained Unvested as of Last Day of Year for Marc Stapley </w:t>
              <w:br/>
              <w:t>($)</w:t>
            </w:r>
          </w:p>
        </w:tc>
        <w:tc>
          <w:tcPr>
            <w:tcW w:w="146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Change in Fair Value from Last Day of Prior Year to Last Day of Year of Unvested Equity Awards for Marc Stapley </w:t>
              <w:br/>
              <w:t>($)</w:t>
            </w:r>
          </w:p>
        </w:tc>
        <w:tc>
          <w:tcPr>
            <w:tcW w:w="174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Vesting-Date Fair Value of Equity Awards Granted During Year that Vested During Year for Marc Stapley </w:t>
              <w:br/>
              <w:t>($)</w:t>
            </w:r>
          </w:p>
        </w:tc>
        <w:tc>
          <w:tcPr>
            <w:tcW w:w="155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Change in Fair Value from Last Day of Prior Year to Vesting Date of Unvested Equity Awards that Vested During Year for Marc Stapley </w:t>
              <w:br/>
              <w:t>($)</w:t>
            </w:r>
          </w:p>
        </w:tc>
        <w:tc>
          <w:tcPr>
            <w:tcW w:w="134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Fair Value at Last Day of Prior Year of Equity Awards Forfeited During Year for Marc Stapley </w:t>
              <w:br/>
              <w:t>($)</w:t>
            </w:r>
          </w:p>
        </w:tc>
        <w:tc>
          <w:tcPr>
            <w:tcW w:w="130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 Inclusion of Equity Values for Marc Stapley </w:t>
              <w:br/>
              <w:t>($)</w:t>
            </w:r>
          </w:p>
        </w:tc>
        <w:tc>
          <w:tcPr>
            <w:tcW w:w="38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1538"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9,086,140</w:t>
            </w:r>
          </w:p>
        </w:tc>
        <w:tc>
          <w:tcPr>
            <w:tcW w:w="1460"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4,361,025</w:t>
            </w:r>
          </w:p>
        </w:tc>
        <w:tc>
          <w:tcPr>
            <w:tcW w:w="1748"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1559"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(248,667)</w:t>
            </w:r>
          </w:p>
        </w:tc>
        <w:tc>
          <w:tcPr>
            <w:tcW w:w="1349"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1300"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13,198,498</w:t>
            </w:r>
          </w:p>
        </w:tc>
        <w:tc>
          <w:tcPr>
            <w:tcW w:w="383"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74"/>
        <w:gridCol w:w="174"/>
        <w:gridCol w:w="178"/>
        <w:gridCol w:w="517"/>
        <w:gridCol w:w="517"/>
        <w:gridCol w:w="518"/>
        <w:gridCol w:w="492"/>
        <w:gridCol w:w="492"/>
        <w:gridCol w:w="493"/>
        <w:gridCol w:w="589"/>
        <w:gridCol w:w="589"/>
        <w:gridCol w:w="590"/>
        <w:gridCol w:w="523"/>
        <w:gridCol w:w="523"/>
        <w:gridCol w:w="524"/>
        <w:gridCol w:w="457"/>
        <w:gridCol w:w="457"/>
        <w:gridCol w:w="458"/>
        <w:gridCol w:w="406"/>
        <w:gridCol w:w="406"/>
        <w:gridCol w:w="407"/>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center"/>
              <w:rPr>
                <w:rFonts w:ascii="Graphik Semibold;sans-serif" w:hAnsi="Graphik Semibold;sans-serif"/>
                <w:b/>
                <w:color w:val="FFFFFF"/>
                <w:sz w:val="16"/>
              </w:rPr>
            </w:pPr>
            <w:r>
              <w:rPr>
                <w:rFonts w:ascii="Graphik Semibold;sans-serif" w:hAnsi="Graphik Semibold;sans-serif"/>
                <w:b/>
                <w:color w:val="FFFFFF"/>
                <w:sz w:val="16"/>
              </w:rPr>
              <w:t>Year</w:t>
            </w:r>
          </w:p>
        </w:tc>
        <w:tc>
          <w:tcPr>
            <w:tcW w:w="155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Year-End Fair Value of Equity Awards Granted During Year That Remained Unvested as of Last Day of Year for Non-PEO NEOs </w:t>
              <w:br/>
              <w:t>($)</w:t>
            </w:r>
          </w:p>
        </w:tc>
        <w:tc>
          <w:tcPr>
            <w:tcW w:w="1477"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Change in Fair Value from Last Day of Prior Year to Last Day of Year of Unvested Equity Awards for Non-PEO NEOs </w:t>
              <w:br/>
              <w:t>($)</w:t>
            </w:r>
          </w:p>
        </w:tc>
        <w:tc>
          <w:tcPr>
            <w:tcW w:w="1768"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Vesting-Date Fair Value of Equity Awards Granted During Year that Vested During Year for Non-PEO NEOs </w:t>
              <w:br/>
              <w:t>($)</w:t>
            </w:r>
          </w:p>
        </w:tc>
        <w:tc>
          <w:tcPr>
            <w:tcW w:w="1570"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Change in Fair Value from Last Day of Prior Year to Vesting Date of Unvested Equity Awards that Vested During Year for Non-PEO NEOs </w:t>
              <w:br/>
              <w:t>($)</w:t>
            </w:r>
          </w:p>
        </w:tc>
        <w:tc>
          <w:tcPr>
            <w:tcW w:w="1372"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Average Fair Value at Last Day of Prior Year of Equity Awards Forfeited During Year for Non-PEO NEOs </w:t>
              <w:br/>
              <w:t>($)</w:t>
            </w:r>
          </w:p>
        </w:tc>
        <w:tc>
          <w:tcPr>
            <w:tcW w:w="1219" w:type="dxa"/>
            <w:gridSpan w:val="3"/>
            <w:tcBorders/>
            <w:shd w:fill="005CBA" w:val="clear"/>
            <w:tcMar>
              <w:top w:w="0" w:type="dxa"/>
              <w:left w:w="0" w:type="dxa"/>
              <w:bottom w:w="0" w:type="dxa"/>
              <w:right w:w="0" w:type="dxa"/>
            </w:tcMar>
            <w:vAlign w:val="center"/>
          </w:tcPr>
          <w:p>
            <w:pPr>
              <w:pStyle w:val="TableContents"/>
              <w:bidi w:val="0"/>
              <w:spacing w:lineRule="auto" w:line="288" w:before="0" w:after="283"/>
              <w:jc w:val="right"/>
              <w:rPr>
                <w:rFonts w:ascii="Graphik Semibold;sans-serif" w:hAnsi="Graphik Semibold;sans-serif"/>
                <w:b/>
                <w:color w:val="FFFFFF"/>
                <w:sz w:val="16"/>
              </w:rPr>
            </w:pPr>
            <w:r>
              <w:rPr>
                <w:rFonts w:ascii="Graphik Semibold;sans-serif" w:hAnsi="Graphik Semibold;sans-serif"/>
                <w:b/>
                <w:color w:val="FFFFFF"/>
                <w:sz w:val="16"/>
              </w:rPr>
              <w:t xml:space="preserve">Total - Average Inclusion of Equity Values for Non-PEO NEOs </w:t>
              <w:br/>
              <w:t>($)</w:t>
            </w:r>
          </w:p>
        </w:tc>
        <w:tc>
          <w:tcPr>
            <w:tcW w:w="3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005CB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2024</w:t>
            </w:r>
          </w:p>
        </w:tc>
        <w:tc>
          <w:tcPr>
            <w:tcW w:w="1552"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3,950,496</w:t>
            </w:r>
          </w:p>
        </w:tc>
        <w:tc>
          <w:tcPr>
            <w:tcW w:w="1477"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1,682,964</w:t>
            </w:r>
          </w:p>
        </w:tc>
        <w:tc>
          <w:tcPr>
            <w:tcW w:w="1768"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1570"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58,027</w:t>
            </w:r>
          </w:p>
        </w:tc>
        <w:tc>
          <w:tcPr>
            <w:tcW w:w="1372"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color w:val="1D1D1D"/>
              </w:rPr>
            </w:pPr>
            <w:r>
              <w:rPr>
                <w:color w:val="1D1D1D"/>
              </w:rPr>
              <w:t>—</w:t>
            </w:r>
          </w:p>
        </w:tc>
        <w:tc>
          <w:tcPr>
            <w:tcW w:w="1219" w:type="dxa"/>
            <w:gridSpan w:val="3"/>
            <w:tcBorders>
              <w:top w:val="single" w:sz="16"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right"/>
              <w:rPr>
                <w:rFonts w:ascii="Graphik Light;sans-serif" w:hAnsi="Graphik Light;sans-serif"/>
                <w:b w:val="false"/>
                <w:color w:val="1D1D1D"/>
                <w:sz w:val="16"/>
              </w:rPr>
            </w:pPr>
            <w:r>
              <w:rPr>
                <w:rFonts w:ascii="Graphik Light;sans-serif" w:hAnsi="Graphik Light;sans-serif"/>
                <w:b w:val="false"/>
                <w:color w:val="1D1D1D"/>
                <w:sz w:val="16"/>
              </w:rPr>
              <w:t>5,691,487</w:t>
            </w:r>
          </w:p>
        </w:tc>
        <w:tc>
          <w:tcPr>
            <w:tcW w:w="379" w:type="dxa"/>
            <w:gridSpan w:val="3"/>
            <w:tcBorders>
              <w:top w:val="single" w:sz="16" w:space="0" w:color="98CBEA"/>
              <w:bottom w:val="single" w:sz="8" w:space="0" w:color="005CB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120"/>
        <w:ind w:left="0" w:right="0" w:hanging="360"/>
        <w:jc w:val="both"/>
        <w:rPr>
          <w:rFonts w:ascii="Graphik Light;sans-serif" w:hAnsi="Graphik Light;sans-serif"/>
          <w:b w:val="false"/>
          <w:color w:val="1D1D1D"/>
          <w:sz w:val="16"/>
        </w:rPr>
      </w:pPr>
      <w:r>
        <w:rPr>
          <w:rFonts w:ascii="Graphik Light;sans-serif" w:hAnsi="Graphik Light;sans-serif"/>
          <w:b w:val="false"/>
          <w:color w:val="1D1D1D"/>
          <w:sz w:val="16"/>
        </w:rPr>
        <w:t>(4)The Peer Group TSR set forth in this table utilizes the NASDAQ Biotechnology Index, which we also utilize in the stock performance graph required by Item 201(e) of Regulation S-K included in our Annual Report for the year ended December 31, 2024. The comparison assumes $100 was invested for the period starting December 31, 2019, through the end of the listed year in the company and in the NASDAQ Biotechnology Index, respectively. Historical stock performance is not necessarily indicative of future stock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660400"/>
                <wp:effectExtent l="0" t="0" r="0" b="0"/>
                <wp:wrapNone/>
                <wp:docPr id="234" name="Frame7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300" w:before="0" w:after="300"/>
        <w:ind w:left="0" w:right="0" w:hanging="360"/>
        <w:jc w:val="left"/>
        <w:rPr>
          <w:rFonts w:ascii="Graphik Light;sans-serif" w:hAnsi="Graphik Light;sans-serif"/>
          <w:b w:val="false"/>
          <w:color w:val="1D1D1D"/>
          <w:sz w:val="16"/>
        </w:rPr>
      </w:pPr>
      <w:r>
        <w:rPr>
          <w:rFonts w:ascii="Graphik Light;sans-serif" w:hAnsi="Graphik Light;sans-serif"/>
          <w:b w:val="false"/>
          <w:color w:val="1D1D1D"/>
          <w:sz w:val="16"/>
        </w:rPr>
        <w:t>(5)We determined Total Revenue to be the most important financial performance measure used to link company performance to Compensation Actually Paid to our PEOs and Non-PEO NEOs in 2024. This performance measure may not have been the most important financial performance measure in prior years, and we may determine a different financial performance measure to be the most important financial performance measure in future years.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Relationship Between Compensation Actually Paid and Performance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following charts show the relationship between Compensation Actually Paid, Total Stockholder Return, total revenue and net loss for 2020, 2021, 2022, 2023 and 2024. </w:t>
      </w:r>
    </w:p>
    <w:p>
      <w:pPr>
        <w:pStyle w:val="TextBody"/>
        <w:bidi w:val="0"/>
        <w:spacing w:before="0" w:after="240"/>
        <w:jc w:val="center"/>
        <w:rPr/>
      </w:pPr>
      <w:r>
        <w:rPr/>
        <w:drawing>
          <wp:inline distT="0" distB="0" distL="0" distR="0">
            <wp:extent cx="6515100" cy="3238500"/>
            <wp:effectExtent l="0" t="0" r="0" b="0"/>
            <wp:docPr id="23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62" descr=""/>
                    <pic:cNvPicPr>
                      <a:picLocks noChangeAspect="1" noChangeArrowheads="1"/>
                    </pic:cNvPicPr>
                  </pic:nvPicPr>
                  <pic:blipFill>
                    <a:blip r:embed="rId163"/>
                    <a:stretch>
                      <a:fillRect/>
                    </a:stretch>
                  </pic:blipFill>
                  <pic:spPr bwMode="auto">
                    <a:xfrm>
                      <a:off x="0" y="0"/>
                      <a:ext cx="6515100" cy="3238500"/>
                    </a:xfrm>
                    <a:prstGeom prst="rect">
                      <a:avLst/>
                    </a:prstGeom>
                  </pic:spPr>
                </pic:pic>
              </a:graphicData>
            </a:graphic>
          </wp:inline>
        </w:drawing>
      </w:r>
    </w:p>
    <w:p>
      <w:pPr>
        <w:pStyle w:val="TextBody"/>
        <w:bidi w:val="0"/>
        <w:spacing w:before="0" w:after="0"/>
        <w:jc w:val="center"/>
        <w:rPr/>
      </w:pPr>
      <w:r>
        <w:rPr/>
        <w:drawing>
          <wp:inline distT="0" distB="0" distL="0" distR="0">
            <wp:extent cx="6515100" cy="3238500"/>
            <wp:effectExtent l="0" t="0" r="0" b="0"/>
            <wp:docPr id="23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63" descr=""/>
                    <pic:cNvPicPr>
                      <a:picLocks noChangeAspect="1" noChangeArrowheads="1"/>
                    </pic:cNvPicPr>
                  </pic:nvPicPr>
                  <pic:blipFill>
                    <a:blip r:embed="rId164"/>
                    <a:stretch>
                      <a:fillRect/>
                    </a:stretch>
                  </pic:blipFill>
                  <pic:spPr bwMode="auto">
                    <a:xfrm>
                      <a:off x="0" y="0"/>
                      <a:ext cx="6515100" cy="32385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660400"/>
                <wp:effectExtent l="0" t="0" r="0" b="0"/>
                <wp:wrapNone/>
                <wp:docPr id="237" name="Frame7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68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Tabular List of Most Important Financial and Non-Financial Performance Measures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following table presents the financial and non-financial performance measures that the company considers to have been the most important in linking Compensation Actually Paid to our PEO and other NEOs for 2024 to company performance. The measures in this table are not ranked.</w:t>
      </w:r>
    </w:p>
    <w:tbl>
      <w:tblPr>
        <w:tblW w:w="2984" w:type="dxa"/>
        <w:jc w:val="left"/>
        <w:tblInd w:w="0" w:type="dxa"/>
        <w:tblLayout w:type="fixed"/>
        <w:tblCellMar>
          <w:top w:w="28" w:type="dxa"/>
          <w:left w:w="28" w:type="dxa"/>
          <w:bottom w:w="28" w:type="dxa"/>
          <w:right w:w="28" w:type="dxa"/>
        </w:tblCellMar>
      </w:tblPr>
      <w:tblGrid>
        <w:gridCol w:w="954"/>
        <w:gridCol w:w="838"/>
        <w:gridCol w:w="1192"/>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12"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Total Revenue</w:t>
            </w:r>
          </w:p>
        </w:tc>
      </w:tr>
      <w:tr>
        <w:trPr/>
        <w:tc>
          <w:tcPr>
            <w:tcW w:w="2984" w:type="dxa"/>
            <w:gridSpan w:val="3"/>
            <w:tcBorders>
              <w:top w:val="single" w:sz="4" w:space="0" w:color="98CBEA"/>
            </w:tcBorders>
            <w:tcMar>
              <w:top w:w="30" w:type="dxa"/>
              <w:left w:w="0" w:type="dxa"/>
              <w:bottom w:w="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Ending Cash Balance</w:t>
            </w:r>
          </w:p>
        </w:tc>
      </w:tr>
      <w:tr>
        <w:trPr/>
        <w:tc>
          <w:tcPr>
            <w:tcW w:w="2984" w:type="dxa"/>
            <w:gridSpan w:val="3"/>
            <w:tcBorders>
              <w:top w:val="single" w:sz="4" w:space="0" w:color="98CBEA"/>
              <w:bottom w:val="single" w:sz="8" w:space="0" w:color="005CBA"/>
            </w:tcBorders>
            <w:tcMar>
              <w:top w:w="30" w:type="dxa"/>
              <w:left w:w="0" w:type="dxa"/>
              <w:bottom w:w="30" w:type="dxa"/>
              <w:right w:w="0" w:type="dxa"/>
            </w:tcMar>
            <w:vAlign w:val="center"/>
          </w:tcPr>
          <w:p>
            <w:pPr>
              <w:pStyle w:val="TableContents"/>
              <w:bidi w:val="0"/>
              <w:spacing w:lineRule="auto" w:line="288" w:before="0" w:after="283"/>
              <w:jc w:val="center"/>
              <w:rPr>
                <w:rFonts w:ascii="Graphik Light;sans-serif" w:hAnsi="Graphik Light;sans-serif"/>
                <w:b w:val="false"/>
                <w:color w:val="1D1D1D"/>
                <w:sz w:val="16"/>
              </w:rPr>
            </w:pPr>
            <w:r>
              <w:rPr>
                <w:rFonts w:ascii="Graphik Light;sans-serif" w:hAnsi="Graphik Light;sans-serif"/>
                <w:b w:val="false"/>
                <w:color w:val="1D1D1D"/>
                <w:sz w:val="16"/>
              </w:rPr>
              <w:t>Gross Margin on Testing Revenue</w:t>
            </w:r>
          </w:p>
        </w:tc>
      </w:tr>
    </w:tbl>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CEO Pay Ratio</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paragraphs that follow describe our methodology and the resulting CEO Pay Ratio.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Measurement Date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identified the median employee using our employee population on December 31, 2024 (including all employees, whether employed on a full-time, part-time, seasonal or temporary basis). We did not include any contractors or other non-employee workers in our employee population.</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Consistently Applied Compensation Measure (“CACM”)</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Under the relevant rules, we are required to identify the median employee by use of a “consistently applied compensation measure,” or CACM. We chose a CACM that closely approximates the annual target total direct compensation of our employees. Specifically, we identified the median employee by aggregating, for each employee: a) annual base pay for 2024, b) annual target cash incentive opportunity for 2024, and c) the grant date fair value for equity awards granted in 2024. Cash compensation for new hire employees that commenced employment in 2024 was annualized to reflect a full year. This process resulted in the identification of an employee whose compensation was anomalous due to being a new hire in 2024. As a result, we substituted an employee near the median whose compensation was viewed as more representative.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Methodology and Pay Ratio</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On December 31, 2024, the determination date, our principal executive officer was Mr. Marc Stapley, our Chief Executive Officer. For 2024, the total annual compensation for Mr. Stapley was $6,816,368. The total annual compensation of our median employee in 2024 was $154,756. The ratio of these two amounts is approximately 44:1.</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660400"/>
                <wp:effectExtent l="0" t="0" r="0" b="0"/>
                <wp:wrapNone/>
                <wp:docPr id="238" name="Frame7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Executive Compensation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Limitations on Liability and Indemnification Matters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Restated Certificate contains provisions that eliminate the personal liability of our directors to the corporation or our stockholders for monetary damages for breach of fiduciary duty to the fullest extent permitted by the DGCL. Consequently, our directors are not personally liable to us or our stockholders for monetary damages for any breach of fiduciary duties as directors, except liability for:</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any breach of the director’s duty of loyalty to us or our stockholders;</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any act or omission not in good faith or that involves intentional misconduct or a knowing violation of law;</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unlawful payments of dividends or unlawful stock repurchases or redemptions as provided in Section 174 of the DGCL; or</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any transaction from which the director derived an improper personal benefit.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Restated Certificate and our amended and restated bylaws require us to indemnify our directors and officers to the maximum extent not prohibited by the DGCL and allow us to indemnify other employees and agents as authorized by the Board of Directors or by the action of a committee of the Board of Directors or designated officers established by or designated in resolutions approved by the Board of Directors. Subject to certain limitations, our amended and restated bylaws also require us to advance expenses incurred by our directors and officers for the defense of any action for which indemnification is required or permitted.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entered, and intend to continue to enter, into separate indemnification agreements with our directors, officers and certain other employees, in addition to the indemnification provided for in our Restated Certificate and amended and restated bylaws. These agreements, among other things, require us to indemnify our directors, officers and certain other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certain other employees for the defense of any action for which indemnification is required or permitted.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believe that provisions of our Restated Certificate, amended and restated bylaws and indemnification agreements are necessary to attract and retain qualified directors, officers and employees. We also maintain directors’ and officers’ liability insurance.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limitation of liability and indemnification provisions in our Restated Certificate and amended and restated bylaws or in these indemnification agreements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Rule 10b5-1 Sales Plans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660400"/>
                <wp:effectExtent l="0" t="0" r="0" b="0"/>
                <wp:wrapNone/>
                <wp:docPr id="239" name="Frame7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4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64" descr=""/>
                          <pic:cNvPicPr>
                            <a:picLocks noChangeAspect="1" noChangeArrowheads="1"/>
                          </pic:cNvPicPr>
                        </pic:nvPicPr>
                        <pic:blipFill>
                          <a:blip r:embed="rId165"/>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Equity Compensation Plan Information </w:t>
      </w:r>
    </w:p>
    <w:p>
      <w:pPr>
        <w:pStyle w:val="TextBody"/>
        <w:bidi w:val="0"/>
        <w:spacing w:lineRule="auto" w:line="336" w:before="0" w:after="180"/>
        <w:jc w:val="left"/>
        <w:rPr/>
      </w:pPr>
      <w:r>
        <w:rPr>
          <w:rFonts w:ascii="Graphik Light;sans-serif" w:hAnsi="Graphik Light;sans-serif"/>
          <w:b w:val="false"/>
          <w:color w:val="1D1D1D"/>
          <w:sz w:val="18"/>
        </w:rPr>
        <w:t xml:space="preserve">See discussion under the section titled </w:t>
      </w:r>
      <w:r>
        <w:rPr>
          <w:color w:val="1D1D1D"/>
        </w:rPr>
        <w:t>“</w:t>
      </w:r>
      <w:r>
        <w:rPr>
          <w:rFonts w:ascii="Graphik Light;sans-serif" w:hAnsi="Graphik Light;sans-serif"/>
          <w:b w:val="false"/>
          <w:i/>
          <w:color w:val="1D1D1D"/>
          <w:sz w:val="18"/>
        </w:rPr>
        <w:t>Proposal No. 5 Approval of Amendment to Veracyte, Inc. 2023 Equity Incentive Plan—Equity Compensation Plan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660400"/>
                <wp:effectExtent l="0" t="0" r="0" b="0"/>
                <wp:wrapNone/>
                <wp:docPr id="241" name="Frame7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71</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4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65" descr=""/>
                          <pic:cNvPicPr>
                            <a:picLocks noChangeAspect="1" noChangeArrowheads="1"/>
                          </pic:cNvPicPr>
                        </pic:nvPicPr>
                        <pic:blipFill>
                          <a:blip r:embed="rId166"/>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Report of the Audit Committee of the Board of Directors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Audit Committee acts pursuant to a written charter that was adopted by the Board of Directors. Each member of the Audit Committee qualifies as “independent” under the current listing requirements of The Nasdaq Stock Market.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performing its functions, the Audit Committee acts in an oversight capacity and necessarily relies on the work and assurances of Veracyte’s management, which has the primary responsibility for financial statements and reports, and of the independent registered public accounting firm, who, in their report, express an opinion on the conformity of Veracyte’s annual financial statements with accounting principles generally accepted in the United States. It is not the duty of the Audit Committee to plan or conduct audits, to determine that Veracyte’s financial statements are complete and accurate and are in accordance with generally accepted accounting principles, or to assess or determine the effectiveness of Veracyte’s internal control over financial reporting.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Within this framework, the Audit Committee has reviewed and discussed with management our audited financial statements as of and for the year ended December 31, 2024. The Audit Committee has also discussed Auditing Standard No. 1301 adopted by the Public Company Accounting Oversight Board (United States) regarding “Communications with Audit Committees.”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Based upon these reviews and discussions, the Audit Committee recommended to the Board of Directors that the audited financial statements be included in our Annual Report on Form 10-K for the year ended December 31, 2024.</w:t>
      </w:r>
    </w:p>
    <w:p>
      <w:pPr>
        <w:pStyle w:val="TextBody"/>
        <w:bidi w:val="0"/>
        <w:spacing w:lineRule="auto" w:line="336" w:before="360" w:after="180"/>
        <w:jc w:val="left"/>
        <w:rPr>
          <w:rFonts w:ascii="Graphik Semibold;sans-serif" w:hAnsi="Graphik Semibold;sans-serif"/>
          <w:b/>
          <w:i/>
          <w:color w:val="1D1D1D"/>
          <w:sz w:val="18"/>
        </w:rPr>
      </w:pPr>
      <w:r>
        <w:rPr>
          <w:rFonts w:ascii="Graphik Semibold;sans-serif" w:hAnsi="Graphik Semibold;sans-serif"/>
          <w:b/>
          <w:i/>
          <w:color w:val="1D1D1D"/>
          <w:sz w:val="18"/>
        </w:rPr>
        <w:t>Audit Committee</w:t>
      </w:r>
    </w:p>
    <w:p>
      <w:pPr>
        <w:pStyle w:val="TextBody"/>
        <w:bidi w:val="0"/>
        <w:spacing w:lineRule="auto" w:line="336" w:before="0" w:after="60"/>
        <w:jc w:val="left"/>
        <w:rPr>
          <w:rFonts w:ascii="Graphik Semibold;sans-serif" w:hAnsi="Graphik Semibold;sans-serif"/>
          <w:b/>
          <w:color w:val="1D1D1D"/>
          <w:sz w:val="18"/>
        </w:rPr>
      </w:pPr>
      <w:r>
        <w:rPr>
          <w:rFonts w:ascii="Graphik Semibold;sans-serif" w:hAnsi="Graphik Semibold;sans-serif"/>
          <w:b/>
          <w:color w:val="1D1D1D"/>
          <w:sz w:val="18"/>
        </w:rPr>
        <w:t>Karin Eastham</w:t>
      </w:r>
    </w:p>
    <w:p>
      <w:pPr>
        <w:pStyle w:val="TextBody"/>
        <w:bidi w:val="0"/>
        <w:spacing w:lineRule="auto" w:line="336" w:before="0" w:after="60"/>
        <w:jc w:val="left"/>
        <w:rPr/>
      </w:pPr>
      <w:r>
        <w:rPr>
          <w:rFonts w:ascii="Graphik Semibold;sans-serif" w:hAnsi="Graphik Semibold;sans-serif"/>
          <w:b/>
          <w:color w:val="1D1D1D"/>
          <w:sz w:val="18"/>
        </w:rPr>
        <w:t>Jens Holstein</w:t>
      </w:r>
      <w:r>
        <w:rPr>
          <w:color w:val="1D1D1D"/>
        </w:rPr>
        <w:t xml:space="preserve"> </w:t>
      </w:r>
      <w:r>
        <w:rPr>
          <w:rFonts w:ascii="Graphik Light;sans-serif" w:hAnsi="Graphik Light;sans-serif"/>
          <w:b w:val="false"/>
          <w:color w:val="1D1D1D"/>
          <w:sz w:val="18"/>
        </w:rPr>
        <w:t>(Chair)</w:t>
      </w:r>
    </w:p>
    <w:p>
      <w:pPr>
        <w:pStyle w:val="TextBody"/>
        <w:bidi w:val="0"/>
        <w:spacing w:lineRule="auto" w:line="336" w:before="0" w:after="60"/>
        <w:jc w:val="left"/>
        <w:rPr>
          <w:rFonts w:ascii="Graphik Semibold;sans-serif" w:hAnsi="Graphik Semibold;sans-serif"/>
          <w:b/>
          <w:color w:val="1D1D1D"/>
          <w:sz w:val="18"/>
        </w:rPr>
      </w:pPr>
      <w:r>
        <w:rPr>
          <w:rFonts w:ascii="Graphik Semibold;sans-serif" w:hAnsi="Graphik Semibold;sans-serif"/>
          <w:b/>
          <w:color w:val="1D1D1D"/>
          <w:sz w:val="18"/>
        </w:rPr>
        <w:t>Evan Jones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660400"/>
                <wp:effectExtent l="0" t="0" r="0" b="0"/>
                <wp:wrapNone/>
                <wp:docPr id="243" name="Frame7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44"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66" descr=""/>
                          <pic:cNvPicPr>
                            <a:picLocks noChangeAspect="1" noChangeArrowheads="1"/>
                          </pic:cNvPicPr>
                        </pic:nvPicPr>
                        <pic:blipFill>
                          <a:blip r:embed="rId167"/>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Certain Relationships and Related Party Transactions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addition to the compensation arrangements of our directors and NEOs discussed elsewhere in this Proxy Statement, the following is a description of transactions since January 1, 2024,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Indemnification Agreements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Related Party Transaction Approval</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a formal policy that our executive officers, directors, director nominees, holders of more than 5% of any class of our voting securities, and any member of the immediate family of and any entity affiliated with any of the foregoing persons, are not permitted to enter into a transaction in which we are or will be a party and in which the amount involved exceeds $120,000 without the prior consent of our Audit Committee. Any request for us to enter into such a transaction must first be presented to our Audit Committee, or if a member of our Audit Committee is involved in the transaction,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660400"/>
                <wp:effectExtent l="0" t="0" r="0" b="0"/>
                <wp:wrapNone/>
                <wp:docPr id="245" name="Frame79"/>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73</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4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67" descr=""/>
                          <pic:cNvPicPr>
                            <a:picLocks noChangeAspect="1" noChangeArrowheads="1"/>
                          </pic:cNvPicPr>
                        </pic:nvPicPr>
                        <pic:blipFill>
                          <a:blip r:embed="rId168"/>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Stockholder Proposals for the 2026 Annual Meeting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a stockholder wishes to present a proposal to be considered for inclusion in our proxy statement for the 2026 Annual Meeting of Stockholders, the proponent and the proposal must comply with the proxy proposal submission rules of the SEC as set forth in Rule 14a-8. One of the requirements is that the proposal be received by our Secretary no later than February 17, 2026. Proposals we receive after that date will not be included in the proxy statement. We urge stockholders to submit proposals by Certified Mail - Return Receipt Requested.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A stockholder proposal not included in our proxy statement for the 2026 Annual Meeting will not be eligible for presentation at the meeting unless the stockholder gives timely notice of the proposal in writing to our Secretary at our principal executive offices and otherwise complies with the provisions of our Bylaws with respect to the form and content of such proposal. To be timely, our Bylaws provide that we must have received the stockholder’s notice no earlier than 5:00 p.m. Eastern Time on February 17, 2026 and no later than 5:00 p.m. Eastern Time on March 19, 2026, or no earlier than 5:00 p.m. Eastern Time on the 120th day nor later than 5:00 p.m. Eastern Time on the 90th day prior to the first anniversary date of the preceding year’s Annual Meeting of Stockholders; however, if we have not held an Annual Meeting of Stockholders in the previous year or the date of the Annual Meeting of Stockholders is called for a date that is more than 30 days before or more than 60 days after the first anniversary date of the preceding year’s Annual Meeting of Stockholders, we must have received the stockholder’s notice not later than 5:00 p.m. Eastern Time on the later of the 90th day prior to the date of the scheduled Annual Meeting of Stockholders or the 10th day following the earlier of the day on which notice of the Annual Meeting of Stockholders date was mailed or the day of the first public announcement of the Annual Meeting of Stockholders date. An adjournment or postponement of an annual meeting will not commence a new time period or extend any time period for the giving of the stockholder’s notice described above.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stockholder’s notice must set forth as to each matter the stockholder proposes to bring before the 26 Annual Meeting the information required by our Bylaws and must be addressed to: Secretary, Veracyte, Inc., 6000 Shoreline Court, Suite 300, South San Francisco, California 94080. You may obtain a copy of the full text of this provision of the Bylaws by writing to our Secretary at the above address. In addition, stockholders who intend to solicit proxies in support of director nominees other than the company’s nominees must also comply with the additional requirements of Rule 14a-19(b) of the Securities Exchange Act of 1934. The presiding officer of the meeting may refuse to acknowledge any matter not made in compliance with the foregoing procedure.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660400"/>
                <wp:effectExtent l="0" t="0" r="0" b="0"/>
                <wp:wrapNone/>
                <wp:docPr id="247" name="Frame8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Additional Information</w:t>
      </w:r>
    </w:p>
    <w:p>
      <w:pPr>
        <w:pStyle w:val="TextBody"/>
        <w:bidi w:val="0"/>
        <w:spacing w:lineRule="auto" w:line="288" w:before="220" w:after="180"/>
        <w:jc w:val="left"/>
        <w:rPr>
          <w:color w:val="1D1D1D"/>
        </w:rPr>
      </w:pPr>
      <w:r>
        <w:rPr>
          <w:color w:val="1D1D1D"/>
        </w:rPr>
        <w:t>“</w:t>
      </w:r>
      <w:r>
        <w:rPr>
          <w:rFonts w:ascii="Graphik Medium;sans-serif" w:hAnsi="Graphik Medium;sans-serif"/>
          <w:b w:val="false"/>
          <w:color w:val="1D1D1D"/>
          <w:sz w:val="30"/>
        </w:rPr>
        <w:t>Householding” – Stockholders Sharing the Same Last Name and Address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by calling (866) 540-7095 or writing to Broadridge, Householding Department, 51 Mercedes Way, Edgewood, New York, 11717.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660400"/>
                <wp:effectExtent l="0" t="0" r="0" b="0"/>
                <wp:wrapNone/>
                <wp:docPr id="248" name="Frame81"/>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75</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4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68" descr=""/>
                          <pic:cNvPicPr>
                            <a:picLocks noChangeAspect="1" noChangeArrowheads="1"/>
                          </pic:cNvPicPr>
                        </pic:nvPicPr>
                        <pic:blipFill>
                          <a:blip r:embed="rId169"/>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 xml:space="preserve">Other Matters and Available Information </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Available Information</w:t>
      </w:r>
    </w:p>
    <w:p>
      <w:pPr>
        <w:pStyle w:val="TextBody"/>
        <w:bidi w:val="0"/>
        <w:spacing w:lineRule="auto" w:line="336" w:before="0" w:after="180"/>
        <w:jc w:val="left"/>
        <w:rPr/>
      </w:pPr>
      <w:r>
        <w:rPr>
          <w:rFonts w:ascii="Graphik Light;sans-serif" w:hAnsi="Graphik Light;sans-serif"/>
          <w:b w:val="false"/>
          <w:color w:val="1D1D1D"/>
          <w:sz w:val="18"/>
        </w:rPr>
        <w:t xml:space="preserve">Our financial statements for the year ended December 31, 2024 are included in our Annual Report, which we provide to our stockholders at the same time as this Proxy Statement. We will furnish without charge, upon written request of any person who was a stockholder or beneficial owner of our common stock on the close of business on the Record Date, copies of exhibits to our Annual Report, but will charge a reasonable per page fee. Written requests should be sent to: Investor Relations, Veracyte, Inc., 6000 Shoreline Court, Suite 300, South San Francisco, California 94080. The Annual Report is also available under “SEC Filings” in the “Investors” section of our website at </w:t>
      </w:r>
      <w:r>
        <w:rPr>
          <w:rFonts w:ascii="Graphik;sans-serif" w:hAnsi="Graphik;sans-serif"/>
          <w:b w:val="false"/>
          <w:color w:val="4C0980"/>
          <w:sz w:val="18"/>
        </w:rPr>
        <w:t>https://investor.veracyte.com/sec-filings</w:t>
      </w:r>
      <w:r>
        <w:rPr>
          <w:rFonts w:ascii="Graphik Light;sans-serif" w:hAnsi="Graphik Light;sans-serif"/>
          <w:b w:val="false"/>
          <w:color w:val="1D1D1D"/>
          <w:sz w:val="18"/>
        </w:rPr>
        <w:t>.</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Other Matters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660400"/>
                <wp:effectExtent l="0" t="0" r="0" b="0"/>
                <wp:wrapNone/>
                <wp:docPr id="250" name="Frame8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51"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69" descr=""/>
                          <pic:cNvPicPr>
                            <a:picLocks noChangeAspect="1" noChangeArrowheads="1"/>
                          </pic:cNvPicPr>
                        </pic:nvPicPr>
                        <pic:blipFill>
                          <a:blip r:embed="rId170"/>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General Information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Information about Solicitation and Voting</w:t>
      </w:r>
    </w:p>
    <w:p>
      <w:pPr>
        <w:pStyle w:val="TextBody"/>
        <w:bidi w:val="0"/>
        <w:spacing w:lineRule="auto" w:line="336" w:before="0" w:after="180"/>
        <w:jc w:val="left"/>
        <w:rPr/>
      </w:pPr>
      <w:r>
        <w:rPr>
          <w:rFonts w:ascii="Graphik Light;sans-serif" w:hAnsi="Graphik Light;sans-serif"/>
          <w:b w:val="false"/>
          <w:color w:val="1D1D1D"/>
          <w:sz w:val="18"/>
        </w:rPr>
        <w:t xml:space="preserve">This proxy statement (“Proxy Statement”) is furnished in connection with the solicitation by the board of directors (“Board of Directors”) of Veracyte, Inc., a Delaware corporation (“we,” “us,” “our,” "the company" or “Veracyte”), of proxies in the accompanying form to be used at our Annual Meeting of Stockholders on Tuesday, June 17, 2025, at 10:00 a.m., Pacific Daylight Time, and any postponement or adjournment thereof (the “Annual Meeting”). To provide greater access to those who may want to attend, the Annual Meeting will be held virtually via the internet at </w:t>
      </w:r>
      <w:r>
        <w:rPr>
          <w:rFonts w:ascii="Graphik;sans-serif" w:hAnsi="Graphik;sans-serif"/>
          <w:b w:val="false"/>
          <w:color w:val="4C0980"/>
          <w:sz w:val="18"/>
        </w:rPr>
        <w:t>www.virtualshareholdermeeting.com/VCYT2025</w:t>
      </w:r>
      <w:r>
        <w:rPr>
          <w:rFonts w:ascii="Graphik Light;sans-serif" w:hAnsi="Graphik Light;sans-serif"/>
          <w:b w:val="false"/>
          <w:color w:val="1D1D1D"/>
          <w:sz w:val="18"/>
        </w:rPr>
        <w:t>.</w:t>
      </w:r>
    </w:p>
    <w:p>
      <w:pPr>
        <w:pStyle w:val="TextBody"/>
        <w:bidi w:val="0"/>
        <w:spacing w:lineRule="auto" w:line="336" w:before="0" w:after="180"/>
        <w:jc w:val="left"/>
        <w:rPr/>
      </w:pPr>
      <w:r>
        <w:rPr>
          <w:rFonts w:ascii="Graphik Light;sans-serif" w:hAnsi="Graphik Light;sans-serif"/>
          <w:b w:val="false"/>
          <w:color w:val="1D1D1D"/>
          <w:sz w:val="18"/>
        </w:rPr>
        <w:t xml:space="preserve">The Notice of Internet Availability of Proxy Materials and this Proxy Statement for the Annual Meeting and the accompanying form of proxy were first distributed and made available on the internet to stockholders on or about April 29, 2025. Our annual report on Form 10-K for the year ended December 31, 2024 (the “Annual Report”) is available with this Proxy Statement by following the instructions in the Notice of Internet Availability of Proxy Materials. Our Annual Report is also available on the SEC’s website at </w:t>
      </w:r>
      <w:r>
        <w:rPr>
          <w:rFonts w:ascii="Graphik;sans-serif" w:hAnsi="Graphik;sans-serif"/>
          <w:b w:val="false"/>
          <w:color w:val="4C0980"/>
          <w:sz w:val="18"/>
        </w:rPr>
        <w:t>www.sec.gov</w:t>
      </w:r>
      <w:r>
        <w:rPr>
          <w:rFonts w:ascii="Graphik Light;sans-serif" w:hAnsi="Graphik Light;sans-serif"/>
          <w:b w:val="false"/>
          <w:color w:val="1D1D1D"/>
          <w:sz w:val="18"/>
        </w:rPr>
        <w:t xml:space="preserve">. </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Questions and Answers about the Proxy Materials and the Annual Meeting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proposals will be voted on at the Annual Meeting?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Five proposals will be voted on at the Annual Meeting:</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election of seven directors to serve until the 2026 Annual Meeting of Stockholders or until their successors are duly elected and qualified;</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ratification of the appointment of Ernst &amp; Young LLP as our independent registered public accounting firm for the year ending December 31, 2025;</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 xml:space="preserve">The approval, on a non-binding advisory basis, of the compensation paid to our named executive officers in 2024, as disclosed in this Proxy Statement; </w:t>
      </w:r>
    </w:p>
    <w:p>
      <w:pPr>
        <w:pStyle w:val="TextBody"/>
        <w:bidi w:val="0"/>
        <w:spacing w:lineRule="auto" w:line="336" w:before="0" w:after="90"/>
        <w:ind w:left="0" w:right="0" w:hanging="270"/>
        <w:jc w:val="left"/>
        <w:rPr/>
      </w:pPr>
      <w:r>
        <w:rPr>
          <w:color w:val="005CBA"/>
        </w:rPr>
        <w:t>•</w:t>
      </w:r>
      <w:r>
        <w:rPr>
          <w:rFonts w:ascii="Graphik Light;sans-serif" w:hAnsi="Graphik Light;sans-serif"/>
          <w:b w:val="false"/>
          <w:color w:val="1D1D1D"/>
          <w:sz w:val="18"/>
        </w:rPr>
        <w:t>The selection, on a non-binding advisory basis, of the frequency with which we will hold an advisory vote to approve the compensation of our named executive officers; and</w:t>
      </w:r>
    </w:p>
    <w:p>
      <w:pPr>
        <w:pStyle w:val="TextBody"/>
        <w:bidi w:val="0"/>
        <w:spacing w:lineRule="auto" w:line="336" w:before="0" w:after="180"/>
        <w:ind w:left="0" w:right="0" w:hanging="270"/>
        <w:jc w:val="left"/>
        <w:rPr/>
      </w:pPr>
      <w:r>
        <w:rPr>
          <w:color w:val="005CBA"/>
        </w:rPr>
        <w:t>•</w:t>
      </w:r>
      <w:r>
        <w:rPr>
          <w:rFonts w:ascii="Graphik Light;sans-serif" w:hAnsi="Graphik Light;sans-serif"/>
          <w:b w:val="false"/>
          <w:color w:val="1D1D1D"/>
          <w:sz w:val="18"/>
        </w:rPr>
        <w:t>The approval of an amendment to our Veracyte, Inc. 2023 Equity Incentive Plan (the “Plan Amendment”).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are the Board of Directors’ recommendations?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Board of Directors recommends that you vote:</w:t>
      </w:r>
    </w:p>
    <w:p>
      <w:pPr>
        <w:pStyle w:val="TextBody"/>
        <w:bidi w:val="0"/>
        <w:spacing w:lineRule="auto" w:line="336" w:before="0" w:after="90"/>
        <w:ind w:left="0" w:right="0" w:hanging="605"/>
        <w:jc w:val="left"/>
        <w:rPr/>
      </w:pPr>
      <w:r>
        <w:rPr>
          <w:color w:val="8E4FBE"/>
        </w:rPr>
        <w:t>“</w:t>
      </w:r>
      <w:r>
        <w:rPr>
          <w:rFonts w:ascii="Graphik;sans-serif" w:hAnsi="Graphik;sans-serif"/>
          <w:b/>
          <w:color w:val="8E4FBE"/>
          <w:sz w:val="18"/>
        </w:rPr>
        <w:t>FOR”</w:t>
      </w:r>
      <w:r>
        <w:rPr>
          <w:color w:val="1D1D1D"/>
        </w:rPr>
        <w:t xml:space="preserve"> </w:t>
      </w:r>
      <w:r>
        <w:rPr>
          <w:rFonts w:ascii="Graphik Light;sans-serif" w:hAnsi="Graphik Light;sans-serif"/>
          <w:b w:val="false"/>
          <w:color w:val="1D1D1D"/>
          <w:sz w:val="18"/>
        </w:rPr>
        <w:t>election of each of the nominated directors;</w:t>
      </w:r>
    </w:p>
    <w:p>
      <w:pPr>
        <w:pStyle w:val="TextBody"/>
        <w:bidi w:val="0"/>
        <w:spacing w:lineRule="auto" w:line="336" w:before="0" w:after="90"/>
        <w:ind w:left="0" w:right="0" w:hanging="605"/>
        <w:jc w:val="left"/>
        <w:rPr/>
      </w:pPr>
      <w:r>
        <w:rPr>
          <w:color w:val="8E4FBE"/>
        </w:rPr>
        <w:t>“</w:t>
      </w:r>
      <w:r>
        <w:rPr>
          <w:rFonts w:ascii="Graphik;sans-serif" w:hAnsi="Graphik;sans-serif"/>
          <w:b/>
          <w:color w:val="8E4FBE"/>
          <w:sz w:val="18"/>
        </w:rPr>
        <w:t>FOR”</w:t>
      </w:r>
      <w:r>
        <w:rPr>
          <w:color w:val="1D1D1D"/>
        </w:rPr>
        <w:t xml:space="preserve"> </w:t>
      </w:r>
      <w:r>
        <w:rPr>
          <w:rFonts w:ascii="Graphik Light;sans-serif" w:hAnsi="Graphik Light;sans-serif"/>
          <w:b w:val="false"/>
          <w:color w:val="1D1D1D"/>
          <w:sz w:val="18"/>
        </w:rPr>
        <w:t>ratification of the appointment of Ernst &amp; Young LLP as our independent registered public accounting firm for the year ending December 31, 2025;</w:t>
      </w:r>
    </w:p>
    <w:p>
      <w:pPr>
        <w:pStyle w:val="TextBody"/>
        <w:bidi w:val="0"/>
        <w:spacing w:lineRule="auto" w:line="336" w:before="0" w:after="90"/>
        <w:ind w:left="0" w:right="0" w:hanging="605"/>
        <w:jc w:val="left"/>
        <w:rPr/>
      </w:pPr>
      <w:r>
        <w:rPr>
          <w:color w:val="8E4FBE"/>
        </w:rPr>
        <w:t>“</w:t>
      </w:r>
      <w:r>
        <w:rPr>
          <w:rFonts w:ascii="Graphik;sans-serif" w:hAnsi="Graphik;sans-serif"/>
          <w:b/>
          <w:color w:val="8E4FBE"/>
          <w:sz w:val="18"/>
        </w:rPr>
        <w:t>FOR”</w:t>
      </w:r>
      <w:r>
        <w:rPr>
          <w:color w:val="1D1D1D"/>
        </w:rPr>
        <w:t xml:space="preserve"> </w:t>
      </w:r>
      <w:r>
        <w:rPr>
          <w:rFonts w:ascii="Graphik Light;sans-serif" w:hAnsi="Graphik Light;sans-serif"/>
          <w:b w:val="false"/>
          <w:color w:val="1D1D1D"/>
          <w:sz w:val="18"/>
        </w:rPr>
        <w:t xml:space="preserve">the approval, on a non-binding advisory basis, of the compensation of our named executive officers, as disclosed in this Proxy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660400"/>
                <wp:effectExtent l="0" t="0" r="0" b="0"/>
                <wp:wrapNone/>
                <wp:docPr id="252" name="Frame83"/>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336" w:before="0" w:after="90"/>
        <w:jc w:val="left"/>
        <w:rPr/>
      </w:pPr>
      <w:r>
        <w:rPr>
          <w:rFonts w:ascii="Graphik Light;sans-serif" w:hAnsi="Graphik Light;sans-serif"/>
          <w:b w:val="false"/>
          <w:color w:val="1D1D1D"/>
          <w:sz w:val="18"/>
        </w:rPr>
        <w:t xml:space="preserve">The selection, on a non-binding advisory basis, of </w:t>
      </w:r>
      <w:r>
        <w:rPr>
          <w:color w:val="8E4FBE"/>
        </w:rPr>
        <w:t>“</w:t>
      </w:r>
      <w:r>
        <w:rPr>
          <w:rFonts w:ascii="Graphik;sans-serif" w:hAnsi="Graphik;sans-serif"/>
          <w:b/>
          <w:color w:val="8E4FBE"/>
          <w:sz w:val="18"/>
        </w:rPr>
        <w:t>ONE YEAR”</w:t>
      </w:r>
      <w:r>
        <w:rPr>
          <w:color w:val="1D1D1D"/>
        </w:rPr>
        <w:t xml:space="preserve"> </w:t>
      </w:r>
      <w:r>
        <w:rPr>
          <w:rFonts w:ascii="Graphik Light;sans-serif" w:hAnsi="Graphik Light;sans-serif"/>
          <w:b w:val="false"/>
          <w:color w:val="1D1D1D"/>
          <w:sz w:val="18"/>
        </w:rPr>
        <w:t>as the frequency with which we will hold an advisory vote to approve the compensation of our named executive officers; and</w:t>
      </w:r>
    </w:p>
    <w:p>
      <w:pPr>
        <w:pStyle w:val="TextBody"/>
        <w:bidi w:val="0"/>
        <w:spacing w:lineRule="auto" w:line="336" w:before="0" w:after="180"/>
        <w:ind w:left="0" w:right="0" w:hanging="605"/>
        <w:jc w:val="left"/>
        <w:rPr/>
      </w:pPr>
      <w:r>
        <w:rPr>
          <w:color w:val="8E4FBE"/>
        </w:rPr>
        <w:t>“</w:t>
      </w:r>
      <w:r>
        <w:rPr>
          <w:rFonts w:ascii="Graphik;sans-serif" w:hAnsi="Graphik;sans-serif"/>
          <w:b/>
          <w:color w:val="8E4FBE"/>
          <w:sz w:val="18"/>
        </w:rPr>
        <w:t>FOR”</w:t>
      </w:r>
      <w:r>
        <w:rPr>
          <w:color w:val="1D1D1D"/>
        </w:rPr>
        <w:t xml:space="preserve"> </w:t>
      </w:r>
      <w:r>
        <w:rPr>
          <w:rFonts w:ascii="Graphik Light;sans-serif" w:hAnsi="Graphik Light;sans-serif"/>
          <w:b w:val="false"/>
          <w:color w:val="1D1D1D"/>
          <w:sz w:val="18"/>
        </w:rPr>
        <w:t>the approval of the Plan Amendment.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Will there be any other items of business on the agenda?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Why did I receive a one-page notice in the mail regarding the internet availability of proxy materials instead of a full set of proxy materials?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In accordance with rules and regulations adopted by the SEC, instead of mailing a printed copy of our proxy materials to all stockholders entitled to vote at the Annual Meeting, we are furnishing the proxy materials to our stockholders over the internet. Accordingly, on or about April 29, 2025, the company will mail the Notice of Internet Availability (the “Notice”) to the company’s stockholders, other than those who previously requested electronic or paper delivery. If you received the Notice by mail, you will not receive a printed copy of the proxy materials. Instead, the Notice will instruct you as to how you may access and review the proxy materials and submit your vote on the internet or by telephone. If you received the Notice by mail and would like to receive a printed copy of the proxy materials, please follow the instructions for requesting such materials included in the Notice. On the date of mailing of the Notice, all stockholders will have the ability to access all of our proxy materials on a website referred to in the Notice. These proxy materials will be available free of charge. We encourage stockholders to take advantage of the availability of the proxy materials on the internet to help reduce the cost of the physical printing and mailing of materials.</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Who is entitled to vote?</w:t>
      </w:r>
    </w:p>
    <w:p>
      <w:pPr>
        <w:pStyle w:val="TextBody"/>
        <w:bidi w:val="0"/>
        <w:spacing w:lineRule="auto" w:line="336" w:before="0" w:after="180"/>
        <w:jc w:val="left"/>
        <w:rPr/>
      </w:pPr>
      <w:r>
        <w:rPr>
          <w:rFonts w:ascii="Graphik Light;sans-serif" w:hAnsi="Graphik Light;sans-serif"/>
          <w:b w:val="false"/>
          <w:color w:val="1D1D1D"/>
          <w:sz w:val="18"/>
        </w:rPr>
        <w:t xml:space="preserve">This year’s Annual Meeting will take place virtually through the internet. We have designed the format of this year’s Annual Meeting to ensure that our stockholders who attend the Annual Meeting will be afforded the same rights and opportunities to participate as they would at an in-person meeting. You are entitled to attend and participate in the Annual Meeting only if you were a stockholder of record as of the close of business on April 21, 2025 (the “Record Date”), or if you hold a valid proxy for the meeting, as described below. Each stockholder is entitled to one vote for each share of our common stock held as of the Record Date. To be admitted to the Annual Meeting at </w:t>
      </w:r>
      <w:r>
        <w:rPr>
          <w:rFonts w:ascii="Graphik;sans-serif" w:hAnsi="Graphik;sans-serif"/>
          <w:b w:val="false"/>
          <w:color w:val="4C0980"/>
          <w:sz w:val="18"/>
        </w:rPr>
        <w:t>www.virtualshareholdermeeting.com/VCYT2025</w:t>
      </w:r>
      <w:r>
        <w:rPr>
          <w:rFonts w:ascii="Graphik Light;sans-serif" w:hAnsi="Graphik Light;sans-serif"/>
          <w:b w:val="false"/>
          <w:color w:val="1D1D1D"/>
          <w:sz w:val="18"/>
        </w:rPr>
        <w:t>, you must enter the 16-digit control number found on your proxy card or Notice. If you do not have a control number, please contact the brokerage firm, bank, dealer or other similar organization that holds your account as soon as possible so that you can be provided with a control number.</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is the difference between holding shares as a stockholder of record and as a beneficial owner?</w:t>
      </w:r>
    </w:p>
    <w:p>
      <w:pPr>
        <w:pStyle w:val="TextBody"/>
        <w:bidi w:val="0"/>
        <w:spacing w:lineRule="auto" w:line="336" w:before="0" w:after="180"/>
        <w:jc w:val="left"/>
        <w:rPr/>
      </w:pPr>
      <w:r>
        <w:rPr>
          <w:rFonts w:ascii="Graphik Semibold;sans-serif" w:hAnsi="Graphik Semibold;sans-serif"/>
          <w:b/>
          <w:color w:val="1D1D1D"/>
          <w:sz w:val="18"/>
        </w:rPr>
        <w:t>Stockholder of Record.</w:t>
      </w:r>
      <w:r>
        <w:rPr>
          <w:color w:val="1D1D1D"/>
        </w:rPr>
        <w:t xml:space="preserve"> </w:t>
      </w:r>
      <w:r>
        <w:rPr>
          <w:rFonts w:ascii="Graphik Light;sans-serif" w:hAnsi="Graphik Light;sans-serif"/>
          <w:b w:val="false"/>
          <w:color w:val="1D1D1D"/>
          <w:sz w:val="18"/>
        </w:rPr>
        <w:t>If your shares are registered directly in your name with our transfer agent, Broadridge Corporate Issuer Solutions, Inc., you are considered, with respect to those shares, the “stockholder of record.” As a stockholder of record, you may vote at the Annual Meeting or vote by telephone, by internet or by filling out and returning the proxy card.</w:t>
      </w:r>
    </w:p>
    <w:p>
      <w:pPr>
        <w:pStyle w:val="TextBody"/>
        <w:bidi w:val="0"/>
        <w:spacing w:lineRule="auto" w:line="336" w:before="0" w:after="180"/>
        <w:jc w:val="left"/>
        <w:rPr/>
      </w:pPr>
      <w:r>
        <w:rPr>
          <w:rFonts w:ascii="Graphik Semibold;sans-serif" w:hAnsi="Graphik Semibold;sans-serif"/>
          <w:b/>
          <w:color w:val="1D1D1D"/>
          <w:sz w:val="18"/>
        </w:rPr>
        <w:t>Beneficial Owner.</w:t>
      </w:r>
      <w:r>
        <w:rPr>
          <w:color w:val="1D1D1D"/>
        </w:rPr>
        <w:t xml:space="preserve"> </w:t>
      </w:r>
      <w:r>
        <w:rPr>
          <w:rFonts w:ascii="Graphik Light;sans-serif" w:hAnsi="Graphik Light;sans-serif"/>
          <w:b w:val="false"/>
          <w:color w:val="1D1D1D"/>
          <w:sz w:val="18"/>
        </w:rPr>
        <w:t>If your shares are held in a brokerage account or by a bank or other nominee, you are considered the “beneficial owner” of shares held in street name. As the beneficial owner, you have the right to direct your broker, bank or nominee how to vote your shares by using the voting instruction form included in the mailing.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How many votes do I have? </w:t>
      </w:r>
    </w:p>
    <w:p>
      <w:pPr>
        <w:pStyle w:val="TextBody"/>
        <w:bidi w:val="0"/>
        <w:spacing w:lineRule="auto" w:line="288" w:before="0" w:after="0"/>
        <w:jc w:val="left"/>
        <w:rPr>
          <w:rFonts w:ascii="Graphik Light;sans-serif" w:hAnsi="Graphik Light;sans-serif"/>
          <w:b w:val="false"/>
          <w:color w:val="1D1D1D"/>
          <w:sz w:val="18"/>
        </w:rPr>
      </w:pPr>
      <w:r>
        <w:rPr>
          <w:rFonts w:ascii="Graphik Light;sans-serif" w:hAnsi="Graphik Light;sans-serif"/>
          <w:b w:val="false"/>
          <w:color w:val="1D1D1D"/>
          <w:sz w:val="18"/>
        </w:rPr>
        <w:t xml:space="preserve">Each share of our common stock that you own as of the close of business on April 21, 2025 entitles you to one vote.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660400"/>
                <wp:effectExtent l="0" t="0" r="0" b="0"/>
                <wp:wrapNone/>
                <wp:docPr id="253" name="Frame8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78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288" w:before="180" w:after="100"/>
        <w:jc w:val="left"/>
        <w:rPr>
          <w:rFonts w:ascii="Graphik Semibold;sans-serif" w:hAnsi="Graphik Semibold;sans-serif"/>
          <w:b/>
          <w:color w:val="005CBA"/>
          <w:sz w:val="24"/>
        </w:rPr>
      </w:pPr>
      <w:bookmarkStart w:id="0" w:name="id3e940d9db0e4856a3e4300635f3a5e8_16885"/>
      <w:bookmarkEnd w:id="0"/>
      <w:r>
        <w:rPr>
          <w:rFonts w:ascii="Graphik Semibold;sans-serif" w:hAnsi="Graphik Semibold;sans-serif"/>
          <w:b/>
          <w:color w:val="005CBA"/>
          <w:sz w:val="24"/>
        </w:rPr>
        <w:t>How do I vote?</w:t>
      </w:r>
    </w:p>
    <w:p>
      <w:pPr>
        <w:pStyle w:val="TextBody"/>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You may vote using any of the following methods:</w:t>
      </w:r>
    </w:p>
    <w:p>
      <w:pPr>
        <w:pStyle w:val="TextBody"/>
        <w:bidi w:val="0"/>
        <w:spacing w:lineRule="auto" w:line="336" w:before="0" w:after="180"/>
        <w:ind w:left="0" w:right="0" w:hanging="270"/>
        <w:jc w:val="left"/>
        <w:rPr/>
      </w:pPr>
      <w:r>
        <w:rPr>
          <w:color w:val="005CBA"/>
        </w:rPr>
        <w:t>•</w:t>
      </w:r>
      <w:r>
        <w:rPr>
          <w:rFonts w:ascii="Graphik Semibold;sans-serif" w:hAnsi="Graphik Semibold;sans-serif"/>
          <w:b/>
          <w:color w:val="1D1D1D"/>
          <w:sz w:val="18"/>
        </w:rPr>
        <w:t>By Mail </w:t>
      </w:r>
      <w:r>
        <w:rPr>
          <w:rFonts w:ascii="Graphik Light;sans-serif" w:hAnsi="Graphik Light;sans-serif"/>
          <w:b w:val="false"/>
          <w:color w:val="1D1D1D"/>
          <w:sz w:val="18"/>
        </w:rPr>
        <w:t>- If you requested printed copies of the proxy materials by mail, stockholders of record may submit proxies by completing, signing and dating each proxy card received and returning it in the prepaid envelope. Sign your name exactly as it appears on the proxy. If you return your signed proxy but do not indicate your voting preferences, your shares will be voted on your behalf “FOR” the election of the nominees for director, “FOR” the ratification of the appointment of the independent registered public accounting firm for the year ending December 31, 2025, “FOR” the approval on a non-binding advisory basis of the compensation of our named executive officers; for "ONE YEAR" as the selection on a non-binding advisory basis of the frequency of advisory votes on the compensation of our named executive officers; and “FOR” the approval of the Plan Amendment. Stockholders who hold shares beneficially in street name may provide voting instructions by mail by completing, signing and dating the voting instruction forms provided by their brokers, banks or other nominees. Voting by mail will close based on mail received the day before the meeting date.</w:t>
      </w:r>
    </w:p>
    <w:p>
      <w:pPr>
        <w:pStyle w:val="TextBody"/>
        <w:bidi w:val="0"/>
        <w:spacing w:lineRule="auto" w:line="336" w:before="0" w:after="180"/>
        <w:ind w:left="0" w:right="0" w:hanging="270"/>
        <w:jc w:val="left"/>
        <w:rPr/>
      </w:pPr>
      <w:r>
        <w:rPr>
          <w:color w:val="005CBA"/>
        </w:rPr>
        <w:t>•</w:t>
      </w:r>
      <w:r>
        <w:rPr>
          <w:rFonts w:ascii="Graphik Semibold;sans-serif" w:hAnsi="Graphik Semibold;sans-serif"/>
          <w:b/>
          <w:color w:val="1D1D1D"/>
          <w:sz w:val="18"/>
        </w:rPr>
        <w:t>By Telephone</w:t>
      </w:r>
      <w:r>
        <w:rPr>
          <w:color w:val="1D1D1D"/>
        </w:rPr>
        <w:t> </w:t>
      </w:r>
      <w:r>
        <w:rPr>
          <w:rFonts w:ascii="Graphik Light;sans-serif" w:hAnsi="Graphik Light;sans-serif"/>
          <w:b w:val="false"/>
          <w:color w:val="1D1D1D"/>
          <w:sz w:val="18"/>
        </w:rPr>
        <w:t>- Stockholders of record may submit proxies by following the telephone voting instructions on their proxy cards or Notice. Most stockholders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Time, the day before the meeting date.</w:t>
      </w:r>
    </w:p>
    <w:p>
      <w:pPr>
        <w:pStyle w:val="TextBody"/>
        <w:bidi w:val="0"/>
        <w:spacing w:lineRule="auto" w:line="336" w:before="0" w:after="90"/>
        <w:ind w:left="0" w:right="0" w:hanging="270"/>
        <w:jc w:val="left"/>
        <w:rPr/>
      </w:pPr>
      <w:r>
        <w:rPr>
          <w:color w:val="005CBA"/>
        </w:rPr>
        <w:t>•</w:t>
      </w:r>
      <w:r>
        <w:rPr>
          <w:rFonts w:ascii="Graphik Semibold;sans-serif" w:hAnsi="Graphik Semibold;sans-serif"/>
          <w:b/>
          <w:color w:val="1D1D1D"/>
          <w:sz w:val="18"/>
        </w:rPr>
        <w:t>By Internet</w:t>
      </w:r>
      <w:r>
        <w:rPr>
          <w:color w:val="1D1D1D"/>
        </w:rPr>
        <w:t> </w:t>
      </w:r>
      <w:r>
        <w:rPr>
          <w:rFonts w:ascii="Graphik Light;sans-serif" w:hAnsi="Graphik Light;sans-serif"/>
          <w:b w:val="false"/>
          <w:color w:val="1D1D1D"/>
          <w:sz w:val="18"/>
        </w:rPr>
        <w:t xml:space="preserve">- </w:t>
      </w:r>
    </w:p>
    <w:p>
      <w:pPr>
        <w:pStyle w:val="TextBody"/>
        <w:bidi w:val="0"/>
        <w:spacing w:lineRule="auto" w:line="336" w:before="0" w:after="180"/>
        <w:jc w:val="left"/>
        <w:rPr/>
      </w:pPr>
      <w:r>
        <w:rPr>
          <w:rFonts w:ascii="Graphik Light;sans-serif" w:hAnsi="Graphik Light;sans-serif"/>
          <w:b/>
          <w:i/>
          <w:color w:val="1D1D1D"/>
          <w:sz w:val="18"/>
        </w:rPr>
        <w:t xml:space="preserve">Before the Annual Meeting </w:t>
      </w:r>
      <w:r>
        <w:rPr>
          <w:rFonts w:ascii="Graphik Light;sans-serif" w:hAnsi="Graphik Light;sans-serif"/>
          <w:b w:val="false"/>
          <w:color w:val="1D1D1D"/>
          <w:sz w:val="18"/>
        </w:rPr>
        <w:t>- Stockholders of record may submit proxies by following the internet voting instructions on their proxy cards or Notice. Most stockholders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Time, the day before the meeting date.</w:t>
      </w:r>
    </w:p>
    <w:p>
      <w:pPr>
        <w:pStyle w:val="TextBody"/>
        <w:bidi w:val="0"/>
        <w:spacing w:lineRule="auto" w:line="336" w:before="0" w:after="180"/>
        <w:jc w:val="left"/>
        <w:rPr/>
      </w:pPr>
      <w:r>
        <w:rPr>
          <w:rFonts w:ascii="Graphik Light;sans-serif" w:hAnsi="Graphik Light;sans-serif"/>
          <w:b w:val="false"/>
          <w:i/>
          <w:color w:val="1D1D1D"/>
          <w:sz w:val="18"/>
        </w:rPr>
        <w:t>During the Annual Meeting</w:t>
      </w:r>
      <w:r>
        <w:rPr>
          <w:color w:val="1D1D1D"/>
        </w:rPr>
        <w:t xml:space="preserve"> </w:t>
      </w:r>
      <w:r>
        <w:rPr>
          <w:rFonts w:ascii="Graphik Light;sans-serif" w:hAnsi="Graphik Light;sans-serif"/>
          <w:b w:val="false"/>
          <w:color w:val="1D1D1D"/>
          <w:sz w:val="18"/>
        </w:rPr>
        <w:t>- Stockholders of record may attend the Annual Meeting by visiting w</w:t>
      </w:r>
      <w:r>
        <w:rPr>
          <w:rFonts w:ascii="Graphik;sans-serif" w:hAnsi="Graphik;sans-serif"/>
          <w:b w:val="false"/>
          <w:color w:val="4C0980"/>
          <w:sz w:val="18"/>
        </w:rPr>
        <w:t>ww.virtualshareholdermeeting.com/VCYT2025</w:t>
      </w:r>
      <w:r>
        <w:rPr>
          <w:color w:val="1D1D1D"/>
        </w:rPr>
        <w:t xml:space="preserve"> </w:t>
      </w:r>
      <w:r>
        <w:rPr>
          <w:rFonts w:ascii="Graphik Light;sans-serif" w:hAnsi="Graphik Light;sans-serif"/>
          <w:b w:val="false"/>
          <w:color w:val="1D1D1D"/>
          <w:sz w:val="18"/>
        </w:rPr>
        <w:t xml:space="preserve">where stockholders may vote and submit questions during the Annual Meeting. The Annual Meeting starts at 10:00 a.m. Pacific Daylight Time. Please have your 16-digit control number found on your proxy card or Notice. Instructions on how to attend and participate via the internet are posted at </w:t>
      </w:r>
      <w:r>
        <w:rPr>
          <w:rFonts w:ascii="Graphik;sans-serif" w:hAnsi="Graphik;sans-serif"/>
          <w:b w:val="false"/>
          <w:color w:val="4C0980"/>
          <w:sz w:val="18"/>
        </w:rPr>
        <w:t>www.virtualshareholdermeeting.com/VCYT2025</w:t>
      </w:r>
      <w:r>
        <w:rPr>
          <w:rFonts w:ascii="Graphik Light;sans-serif" w:hAnsi="Graphik Light;sans-serif"/>
          <w:b w:val="false"/>
          <w:color w:val="1D1D1D"/>
          <w:sz w:val="18"/>
        </w:rPr>
        <w:t xml:space="preserve">. If you are not the stockholder of record, please refer to the voting instructions provided by your nominee to direct your nominee on how to vote your shares. </w:t>
      </w:r>
      <w:r>
        <w:rPr>
          <w:rFonts w:ascii="Graphik Semibold;sans-serif" w:hAnsi="Graphik Semibold;sans-serif"/>
          <w:b/>
          <w:i/>
          <w:color w:val="1D1D1D"/>
          <w:sz w:val="18"/>
        </w:rPr>
        <w:t>Even if you plan to attend the Annual Meeting, we recommend that you also submit your proxy or voting instructions or vote by telephone or the internet so that your vote will be counted if you later decide not to attend the meeting.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if I need technical assistance during the Annual Meeting?</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We encourage you to access the Annual Meeting before it begins. Online check-in will start shortly before the meeting on June 17, 2025. If you encounter any difficulties accessing the virtual meeting during the check-in or meeting time, please call the technical support number that will be posted on the virtual Annual Meeting log-in page.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Can I change my vote or revoke my proxy?</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You may change your vote or revoke your proxy at any time prior to the vote at the Annual Meeting. If you are a stockholder of record and submitted your proxy by mail, you must file with our Secretary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660400"/>
                <wp:effectExtent l="0" t="0" r="0" b="0"/>
                <wp:wrapNone/>
                <wp:docPr id="254" name="Frame85"/>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you are a beneficial owner of shares held in street name and you wish to change or revoke your vote, please consult the voting instructions provided with this Proxy Statement or contact your broker, bank or nominee.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How are votes counted?</w:t>
      </w:r>
    </w:p>
    <w:p>
      <w:pPr>
        <w:pStyle w:val="TextBody"/>
        <w:bidi w:val="0"/>
        <w:spacing w:lineRule="auto" w:line="336" w:before="0" w:after="180"/>
        <w:jc w:val="left"/>
        <w:rPr/>
      </w:pPr>
      <w:r>
        <w:rPr>
          <w:rFonts w:ascii="Graphik Semibold;sans-serif" w:hAnsi="Graphik Semibold;sans-serif"/>
          <w:b/>
          <w:color w:val="1D1D1D"/>
          <w:sz w:val="18"/>
        </w:rPr>
        <w:t>For Proposal No. 1</w:t>
      </w:r>
      <w:r>
        <w:rPr>
          <w:rFonts w:ascii="Graphik Light;sans-serif" w:hAnsi="Graphik Light;sans-serif"/>
          <w:b w:val="false"/>
          <w:color w:val="1D1D1D"/>
          <w:sz w:val="18"/>
        </w:rPr>
        <w:t xml:space="preserve">, you may vote “FOR” or “AGAINST” each of the director nominees. You may also “ABSTAIN” from voting with respect to a director nominee. You are not required to vote the same way with respect to each director nominee. Abstentions and broker non-votes will have no impact on this proposal as they are not considered votes cast for the foregoing purpose and will not be counted as a “FOR” or “AGAINST” vote for this proposal. </w:t>
      </w:r>
    </w:p>
    <w:p>
      <w:pPr>
        <w:pStyle w:val="TextBody"/>
        <w:bidi w:val="0"/>
        <w:spacing w:lineRule="auto" w:line="336" w:before="0" w:after="180"/>
        <w:jc w:val="left"/>
        <w:rPr/>
      </w:pPr>
      <w:r>
        <w:rPr>
          <w:rFonts w:ascii="Graphik Semibold;sans-serif" w:hAnsi="Graphik Semibold;sans-serif"/>
          <w:b/>
          <w:color w:val="1D1D1D"/>
          <w:sz w:val="18"/>
        </w:rPr>
        <w:t>For Proposal No. 2</w:t>
      </w:r>
      <w:r>
        <w:rPr>
          <w:rFonts w:ascii="Graphik Light;sans-serif" w:hAnsi="Graphik Light;sans-serif"/>
          <w:b w:val="false"/>
          <w:color w:val="1D1D1D"/>
          <w:sz w:val="18"/>
        </w:rPr>
        <w:t xml:space="preserve">, the ratification of the appointment of Ernst &amp; Young LLP as our independent registered public accounting firm for the year ending December 31, 2025, you may vote “FOR,” vote “AGAINST” or “ABSTAIN.” Abstentions have the same effect as votes “AGAINST” this proposal. Ratification will require the vote of a majority of the shares present at the Annual Meeting or voting by proxy and entitled to vote at the Annual Meeting. Abstentions will have the same effect as votes “AGAINST” this proposal. Broker non-votes will have no effect on this proposal as they are not considered entitled to vote for the foregoing purpose. </w:t>
      </w:r>
    </w:p>
    <w:p>
      <w:pPr>
        <w:pStyle w:val="TextBody"/>
        <w:bidi w:val="0"/>
        <w:spacing w:lineRule="auto" w:line="336" w:before="0" w:after="180"/>
        <w:jc w:val="left"/>
        <w:rPr/>
      </w:pPr>
      <w:r>
        <w:rPr>
          <w:rFonts w:ascii="Graphik Semibold;sans-serif" w:hAnsi="Graphik Semibold;sans-serif"/>
          <w:b/>
          <w:color w:val="1D1D1D"/>
          <w:sz w:val="18"/>
        </w:rPr>
        <w:t>For Proposal No. 3</w:t>
      </w:r>
      <w:r>
        <w:rPr>
          <w:rFonts w:ascii="Graphik Light;sans-serif" w:hAnsi="Graphik Light;sans-serif"/>
          <w:b w:val="false"/>
          <w:color w:val="1D1D1D"/>
          <w:sz w:val="18"/>
        </w:rPr>
        <w:t xml:space="preserve">, the approval, on a non-binding advisory basis, of the compensation paid to our named executive officers, you may vote “FOR,” vote “AGAINST” or “ABSTAIN.” Abstentions have the same effect as votes “AGAINST” this proposal. Broker non-votes will have no effect on this proposal as they are not considered entitled to vote for the foregoing purpose. </w:t>
      </w:r>
    </w:p>
    <w:p>
      <w:pPr>
        <w:pStyle w:val="TextBody"/>
        <w:bidi w:val="0"/>
        <w:spacing w:lineRule="auto" w:line="336" w:before="0" w:after="180"/>
        <w:jc w:val="left"/>
        <w:rPr/>
      </w:pPr>
      <w:r>
        <w:rPr>
          <w:rFonts w:ascii="Graphik Semibold;sans-serif" w:hAnsi="Graphik Semibold;sans-serif"/>
          <w:b/>
          <w:color w:val="1D1D1D"/>
          <w:sz w:val="18"/>
        </w:rPr>
        <w:t>For Proposal No. 4</w:t>
      </w:r>
      <w:r>
        <w:rPr>
          <w:rFonts w:ascii="Graphik Light;sans-serif" w:hAnsi="Graphik Light;sans-serif"/>
          <w:b w:val="false"/>
          <w:color w:val="1D1D1D"/>
          <w:sz w:val="18"/>
        </w:rPr>
        <w:t>, the frequency with which we will hold an advisory vote to approve the compensation of our named executive officers, you may vote “ONE YEAR,” vote “TWO YEARS,” vote “THREE YEARS,” or “ABSTAIN.” Abstentions and broker non-votes will have no effect on the determination of which voting frequency (“ONE YEAR,” “TWO YEARS,” or “THREE YEARS”) receives the highest number of affirmative votes cast as they are not considered votes cast for the foregoing purpose.</w:t>
      </w:r>
    </w:p>
    <w:p>
      <w:pPr>
        <w:pStyle w:val="TextBody"/>
        <w:bidi w:val="0"/>
        <w:spacing w:lineRule="auto" w:line="336" w:before="0" w:after="180"/>
        <w:jc w:val="left"/>
        <w:rPr/>
      </w:pPr>
      <w:r>
        <w:rPr>
          <w:rFonts w:ascii="Graphik Semibold;sans-serif" w:hAnsi="Graphik Semibold;sans-serif"/>
          <w:b/>
          <w:color w:val="1D1D1D"/>
          <w:sz w:val="18"/>
        </w:rPr>
        <w:t>For Proposal No. 5</w:t>
      </w:r>
      <w:r>
        <w:rPr>
          <w:rFonts w:ascii="Graphik Light;sans-serif" w:hAnsi="Graphik Light;sans-serif"/>
          <w:b w:val="false"/>
          <w:color w:val="1D1D1D"/>
          <w:sz w:val="18"/>
        </w:rPr>
        <w:t xml:space="preserve">, the approval of the Plan Amendment, you may vote “FOR,” vote “AGAINST” or “ABSTAIN.” Abstentions have the same effect as votes “AGAINST” this proposal. Broker non-votes will have no effect on this proposal as they are not considered entitled to vote for the foregoing purpose.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you provide specific instructions, your shares will be voted as you instruct. If you sign your proxy card or voting instruction form with no further instructions, your shares will be voted in accordance with the recommendations of the Board of Directors (“FOR” each of the nominees to the Board of Directors, “FOR” the ratification of the appointment of Ernst &amp; Young LLP as our independent registered public accounting firm for 2025, “FOR” approving, on a non-binding advisory basis, the compensation paid to our named executive officers in 2024, selecting “ONE YEAR” as the frequency with which we will hold advisory vote to approve the compensation of our named executive officers, and “FOR” the approval of the Plan Amendment; and in the discretion of the proxy holders on any other matters that may properly come before the meeting).</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What vote is required to approve each item?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We have a majority voting standard for uncontested elections of directors (Proposal No. 1), which means that to be elected, a director nominee must receive a majority of the votes cast, i.e. the number of shares voted “FOR” a director nominee must exceed the votes cast “AGAINST” that nominee.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vote of a majority of the shares of our common stock that are present in person or represented by proxy at the Annual Meeting and entitled to vote at the Annual Meeting is required to ratify the appointment of Ernst &amp; Young LLP as our independent registered public accounting firm for the year ending December 31, 2025 (Proposal No. 2), to approve, on a non-binding advisory basis, the resolution on named executive officer compensation (Proposal No. 3), and to approve the Plan Amendment (Proposal No. 5). The say-on-pay frequency receiving the greatest number of votes cast at the Annual Meeting will be deemed to be the preferred frequency of our stockholders (Proposal No.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660400"/>
                <wp:effectExtent l="0" t="0" r="0" b="0"/>
                <wp:wrapNone/>
                <wp:docPr id="255" name="Frame8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Abstentions are deemed to be shares present or represented by proxy at the Annual Meeting and entitled to vote at the Annual Meeting. Abstentions will have no effect on Proposal No. 1 and No. 4 because they are not considered votes cast for such purposes. Abstentions will have the same effect as a vote “AGAINST” Proposals No. 2, 3 and 5. Broker non-votes, as discussed below, will have no effect on Proposals No. 1, 2, 3, 4 or 5.</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are broker non-votes and how are they counted?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you hold shares beneficially in street name and do not provide your broker or nominee with voting instructions, your shares may constitute “broker non-votes.” Broker non-votes occur when shares held by a broker for a beneficial owner are not voted because the broker did not receive voting instructions from the beneficial owner and lacked discretionary authority to vote the shares.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Whether a proposal is considered routine or non-routine is subject to stock exchange rules and final determination by the stock exchange. Even with respect to routine matters, some brokers are choosing not to exercise discretionary voting authority. If a stockholder does not return voting instructions to their broker on how to vote their shares of common stock with respect to a particular proposal, such broker may be prevented from voting, or may otherwise choose not to vote, such shares held by such broker with respect to such proposal, resulting in broker non-votes with respect to such shares. Accordingly, we encourage you to provide voting instructions to your broker, whether or not you plan to attend the Annual Meeting. Proposals 1, 3, 4 and 5 are considered to be “non-routine” such that your broker, bank or other agent may not vote your shares on those proposals in the absence of your voting instructions. Conversely, Proposal 2 is considered to be “routine” and thus if you do not return voting instructions to your broker, your shares may be voted by your broker in its discretion on Proposal 2. Broker non-votes will be counted as present for purposes of determining the presence of a quorum.</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Is cumulative voting permitted for the election of directors?</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Stockholders may not cumulate votes in the election of directors, which means that each stockholder may vote no more than the number of shares he or she owns for a single director candidate.</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What constitutes a quorum?</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The presence at the Annual Meeting of the holders of a majority of the shares of common stock outstanding on the Record Date will constitute a quorum. Your shares are counted as present at the Annual Meeting if you are present and vote at the Annual Meeting or if you have properly submitted a proxy. As of the close of business on the Record Date, there were 78,314,119 shares of our common stock outstanding. Both abstentions and broker non-votes are counted for the purpose of determining the presence of a quorum. </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How are proxies solicited?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pStyle w:val="TextBody"/>
        <w:bidi w:val="0"/>
        <w:spacing w:lineRule="auto" w:line="288" w:before="180" w:after="100"/>
        <w:jc w:val="left"/>
        <w:rPr>
          <w:rFonts w:ascii="Graphik Semibold;sans-serif" w:hAnsi="Graphik Semibold;sans-serif"/>
          <w:b/>
          <w:color w:val="005CBA"/>
          <w:sz w:val="24"/>
        </w:rPr>
      </w:pPr>
      <w:r>
        <w:rPr>
          <w:rFonts w:ascii="Graphik Semibold;sans-serif" w:hAnsi="Graphik Semibold;sans-serif"/>
          <w:b/>
          <w:color w:val="005CBA"/>
          <w:sz w:val="24"/>
        </w:rPr>
        <w:t xml:space="preserve">How can I find out the results of the voting at the annual meeting?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Preliminary voting results will be announced at the Annual Meeting. Final voting results will be published in our current report on Form 8-K to be filed with the SEC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660400"/>
                <wp:effectExtent l="0" t="0" r="0" b="0"/>
                <wp:wrapNone/>
                <wp:docPr id="256" name="Frame87"/>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2"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General Information</w:t>
      </w:r>
    </w:p>
    <w:p>
      <w:pPr>
        <w:pStyle w:val="TextBody"/>
        <w:bidi w:val="0"/>
        <w:spacing w:lineRule="auto" w:line="288" w:before="220" w:after="180"/>
        <w:jc w:val="left"/>
        <w:rPr>
          <w:rFonts w:ascii="Graphik Medium;sans-serif" w:hAnsi="Graphik Medium;sans-serif"/>
          <w:b w:val="false"/>
          <w:color w:val="1D1D1D"/>
          <w:sz w:val="30"/>
        </w:rPr>
      </w:pPr>
      <w:r>
        <w:rPr>
          <w:rFonts w:ascii="Graphik Medium;sans-serif" w:hAnsi="Graphik Medium;sans-serif"/>
          <w:b w:val="false"/>
          <w:color w:val="1D1D1D"/>
          <w:sz w:val="30"/>
        </w:rPr>
        <w:t>Participating in the Annual Meeting</w:t>
      </w:r>
    </w:p>
    <w:p>
      <w:pPr>
        <w:pStyle w:val="TextBody"/>
        <w:bidi w:val="0"/>
        <w:spacing w:lineRule="auto" w:line="336" w:before="0" w:after="180"/>
        <w:jc w:val="left"/>
        <w:rPr/>
      </w:pPr>
      <w:r>
        <w:rPr>
          <w:rFonts w:ascii="Graphik Light;sans-serif" w:hAnsi="Graphik Light;sans-serif"/>
          <w:b w:val="false"/>
          <w:color w:val="1D1D1D"/>
          <w:sz w:val="18"/>
        </w:rPr>
        <w:t xml:space="preserve">To participate in the virtual meeting, visit </w:t>
      </w:r>
      <w:r>
        <w:rPr>
          <w:rFonts w:ascii="Graphik;sans-serif" w:hAnsi="Graphik;sans-serif"/>
          <w:b w:val="false"/>
          <w:color w:val="4C0980"/>
          <w:sz w:val="18"/>
        </w:rPr>
        <w:t>www.virtualshareholdermeeting.com/VCYT2025</w:t>
      </w:r>
      <w:r>
        <w:rPr>
          <w:color w:val="1D1D1D"/>
        </w:rPr>
        <w:t xml:space="preserve"> </w:t>
      </w:r>
      <w:r>
        <w:rPr>
          <w:rFonts w:ascii="Graphik Light;sans-serif" w:hAnsi="Graphik Light;sans-serif"/>
          <w:b w:val="false"/>
          <w:color w:val="1D1D1D"/>
          <w:sz w:val="18"/>
        </w:rPr>
        <w:t>and enter the 16-digit control number included on your proxy card or on the instructions that accompanied your proxy materials.</w:t>
      </w:r>
    </w:p>
    <w:p>
      <w:pPr>
        <w:pStyle w:val="TextBody"/>
        <w:bidi w:val="0"/>
        <w:spacing w:lineRule="auto" w:line="336" w:before="0" w:after="180"/>
        <w:jc w:val="left"/>
        <w:rPr/>
      </w:pPr>
      <w:r>
        <w:rPr>
          <w:rFonts w:ascii="Graphik Light;sans-serif" w:hAnsi="Graphik Light;sans-serif"/>
          <w:b w:val="false"/>
          <w:color w:val="1D1D1D"/>
          <w:sz w:val="18"/>
        </w:rPr>
        <w:t>If you wish to submit a question during the Annual Meeting, log in to the virtual meeting platform at w</w:t>
      </w:r>
      <w:r>
        <w:rPr>
          <w:rFonts w:ascii="Graphik;sans-serif" w:hAnsi="Graphik;sans-serif"/>
          <w:b w:val="false"/>
          <w:color w:val="4C0980"/>
          <w:sz w:val="18"/>
        </w:rPr>
        <w:t>ww.virtualshareholdermeeting.com/VCYT2025</w:t>
      </w:r>
      <w:r>
        <w:rPr>
          <w:rFonts w:ascii="Graphik Light;sans-serif" w:hAnsi="Graphik Light;sans-serif"/>
          <w:b w:val="false"/>
          <w:color w:val="1D1D1D"/>
          <w:sz w:val="18"/>
        </w:rPr>
        <w:t xml:space="preserve">, type your question into the “Ask a Question” field, and click “Submit.” If your question is properly submitted during the relevant portion of the meeting agenda, we will seek to respond to your question during the live webcast. We reserve the right to exclude questions that are irrelevant to meeting matters, irrelevant to our business, or derogatory or in bad taste; that relate to pending or threatened litigation; that are personal grievances; or that are otherwise inappropriate (as determined by the chair of the Annual Meeting). A webcast replay of the Annual Meeting, including the Q&amp;A session, will also be archived on the “Investor Relations” section of our website, which is located at </w:t>
      </w:r>
      <w:r>
        <w:rPr>
          <w:rFonts w:ascii="Graphik;sans-serif" w:hAnsi="Graphik;sans-serif"/>
          <w:b w:val="false"/>
          <w:color w:val="4C0980"/>
          <w:sz w:val="18"/>
        </w:rPr>
        <w:t>https://investor.veracyte.com/investor-relations</w:t>
      </w:r>
      <w:r>
        <w:rPr>
          <w:rFonts w:ascii="Graphik Light;sans-serif" w:hAnsi="Graphik Light;sans-serif"/>
          <w:b w:val="false"/>
          <w:color w:val="1D1D1D"/>
          <w:sz w:val="18"/>
        </w:rPr>
        <w:t>.</w:t>
      </w:r>
    </w:p>
    <w:p>
      <w:pPr>
        <w:pStyle w:val="TextBody"/>
        <w:bidi w:val="0"/>
        <w:spacing w:lineRule="auto" w:line="336" w:before="0" w:after="180"/>
        <w:jc w:val="left"/>
        <w:rPr/>
      </w:pPr>
      <w:r>
        <w:rPr>
          <w:rFonts w:ascii="Graphik Light;sans-serif" w:hAnsi="Graphik Light;sans-serif"/>
          <w:b w:val="false"/>
          <w:color w:val="1D1D1D"/>
          <w:sz w:val="18"/>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t>
      </w:r>
      <w:r>
        <w:rPr>
          <w:rFonts w:ascii="Graphik;sans-serif" w:hAnsi="Graphik;sans-serif"/>
          <w:b w:val="false"/>
          <w:color w:val="4C0980"/>
          <w:sz w:val="18"/>
        </w:rPr>
        <w:t>www.virtualshareholdermeeting.com/VCYT2025</w:t>
      </w:r>
      <w:r>
        <w:rPr>
          <w:rFonts w:ascii="Graphik Light;sans-serif" w:hAnsi="Graphik Light;sans-serif"/>
          <w:b w:val="false"/>
          <w:color w:val="1D1D1D"/>
          <w:sz w:val="18"/>
        </w:rPr>
        <w:t>. If you encounter technical difficulties accessing our meeting or asking questions during the meeting, a support line will be available on the login page of the virtual meeting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660400"/>
                <wp:effectExtent l="0" t="0" r="0" b="0"/>
                <wp:wrapNone/>
                <wp:docPr id="257" name="Frame8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583" w:type="dxa"/>
                        <w:jc w:val="center"/>
                        <w:tblInd w:w="0" w:type="dxa"/>
                        <w:tblLayout w:type="fixed"/>
                        <w:tblCellMar>
                          <w:top w:w="28" w:type="dxa"/>
                          <w:left w:w="28" w:type="dxa"/>
                          <w:bottom w:w="28" w:type="dxa"/>
                          <w:right w:w="28" w:type="dxa"/>
                        </w:tblCellMar>
                      </w:tblPr>
                      <w:tblGrid>
                        <w:gridCol w:w="130"/>
                        <w:gridCol w:w="115"/>
                        <w:gridCol w:w="116"/>
                        <w:gridCol w:w="109"/>
                        <w:gridCol w:w="109"/>
                        <w:gridCol w:w="109"/>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82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tbl>
      <w:tblPr>
        <w:tblW w:w="13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71475" cy="304800"/>
                  <wp:effectExtent l="0" t="0" r="0" b="0"/>
                  <wp:docPr id="25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70" descr=""/>
                          <pic:cNvPicPr>
                            <a:picLocks noChangeAspect="1" noChangeArrowheads="1"/>
                          </pic:cNvPicPr>
                        </pic:nvPicPr>
                        <pic:blipFill>
                          <a:blip r:embed="rId171"/>
                          <a:stretch>
                            <a:fillRect/>
                          </a:stretch>
                        </pic:blipFill>
                        <pic:spPr bwMode="auto">
                          <a:xfrm>
                            <a:off x="0" y="0"/>
                            <a:ext cx="371475" cy="3048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5CB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20"/>
        <w:jc w:val="left"/>
        <w:rPr>
          <w:rFonts w:ascii="Graphik Medium;sans-serif" w:hAnsi="Graphik Medium;sans-serif"/>
          <w:b w:val="false"/>
          <w:color w:val="1D1D1D"/>
          <w:sz w:val="64"/>
        </w:rPr>
      </w:pPr>
      <w:r>
        <w:rPr>
          <w:rFonts w:ascii="Graphik Medium;sans-serif" w:hAnsi="Graphik Medium;sans-serif"/>
          <w:b w:val="false"/>
          <w:color w:val="1D1D1D"/>
          <w:sz w:val="64"/>
        </w:rPr>
        <w:t>Appendix A</w:t>
      </w:r>
    </w:p>
    <w:p>
      <w:pPr>
        <w:pStyle w:val="TextBody"/>
        <w:bidi w:val="0"/>
        <w:spacing w:lineRule="auto" w:line="336" w:before="0" w:after="60"/>
        <w:ind w:left="0" w:right="0" w:hanging="270"/>
        <w:jc w:val="center"/>
        <w:rPr>
          <w:rFonts w:ascii="Graphik Light;sans-serif" w:hAnsi="Graphik Light;sans-serif"/>
          <w:b w:val="false"/>
          <w:color w:val="1D1D1D"/>
          <w:sz w:val="18"/>
        </w:rPr>
      </w:pPr>
      <w:r>
        <w:rPr>
          <w:rFonts w:ascii="Graphik Light;sans-serif" w:hAnsi="Graphik Light;sans-serif"/>
          <w:b w:val="false"/>
          <w:color w:val="1D1D1D"/>
          <w:sz w:val="18"/>
        </w:rPr>
        <w:t>VERACYTE, INC.</w:t>
      </w:r>
    </w:p>
    <w:p>
      <w:pPr>
        <w:pStyle w:val="TextBody"/>
        <w:bidi w:val="0"/>
        <w:spacing w:lineRule="auto" w:line="336" w:before="0" w:after="60"/>
        <w:ind w:left="0" w:right="0" w:hanging="270"/>
        <w:jc w:val="center"/>
        <w:rPr>
          <w:rFonts w:ascii="Graphik Light;sans-serif" w:hAnsi="Graphik Light;sans-serif"/>
          <w:b w:val="false"/>
          <w:color w:val="1D1D1D"/>
          <w:sz w:val="18"/>
        </w:rPr>
      </w:pPr>
      <w:r>
        <w:rPr>
          <w:rFonts w:ascii="Graphik Light;sans-serif" w:hAnsi="Graphik Light;sans-serif"/>
          <w:b w:val="false"/>
          <w:color w:val="1D1D1D"/>
          <w:sz w:val="18"/>
        </w:rPr>
        <w:t>2023 EQUITY INCENTIVE PLAN, AS AMENDED</w:t>
      </w:r>
    </w:p>
    <w:p>
      <w:pPr>
        <w:pStyle w:val="TextBody"/>
        <w:bidi w:val="0"/>
        <w:spacing w:lineRule="auto" w:line="336" w:before="0" w:after="240"/>
        <w:ind w:left="0" w:right="0" w:hanging="270"/>
        <w:jc w:val="center"/>
        <w:rPr>
          <w:rFonts w:ascii="Graphik Light;sans-serif" w:hAnsi="Graphik Light;sans-serif"/>
          <w:b w:val="false"/>
          <w:color w:val="1D1D1D"/>
          <w:sz w:val="18"/>
        </w:rPr>
      </w:pPr>
      <w:r>
        <w:rPr>
          <w:rFonts w:ascii="Graphik Light;sans-serif" w:hAnsi="Graphik Light;sans-serif"/>
          <w:b w:val="false"/>
          <w:color w:val="1D1D1D"/>
          <w:sz w:val="18"/>
        </w:rPr>
        <w:t xml:space="preserve">(ADOPTED BY THE BOARD OF DIRECTORS ON APRIL 12, 2023, AS AMENDED JUNE 12, 2024 AND [______], 2025)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w:t>
      </w:r>
      <w:r>
        <w:rPr>
          <w:rFonts w:ascii="Graphik Semibold;sans-serif" w:hAnsi="Graphik Semibold;sans-serif"/>
          <w:b/>
          <w:color w:val="1D1D1D"/>
          <w:sz w:val="18"/>
        </w:rPr>
        <w:t>PURPOSE</w:t>
      </w:r>
      <w:r>
        <w:rPr>
          <w:rFonts w:ascii="Graphik Light;sans-serif" w:hAnsi="Graphik Light;sans-serif"/>
          <w:b w:val="false"/>
          <w:color w:val="1D1D1D"/>
          <w:sz w:val="18"/>
        </w:rPr>
        <w:t xml:space="preserve">. 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w:t>
      </w:r>
      <w:r>
        <w:rPr>
          <w:rFonts w:ascii="Graphik Semibold;sans-serif" w:hAnsi="Graphik Semibold;sans-serif"/>
          <w:b/>
          <w:color w:val="1D1D1D"/>
          <w:sz w:val="18"/>
        </w:rPr>
        <w:t>SHARES SUBJECT TO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w:t>
      </w:r>
      <w:r>
        <w:rPr>
          <w:rFonts w:ascii="Graphik Semibold;sans-serif" w:hAnsi="Graphik Semibold;sans-serif"/>
          <w:b/>
          <w:i/>
          <w:color w:val="1D1D1D"/>
          <w:sz w:val="18"/>
        </w:rPr>
        <w:t>Number of Shares Available.</w:t>
      </w:r>
      <w:r>
        <w:rPr>
          <w:color w:val="1D1D1D"/>
        </w:rPr>
        <w:t xml:space="preserve"> </w:t>
      </w:r>
      <w:r>
        <w:rPr>
          <w:rFonts w:ascii="Graphik Light;sans-serif" w:hAnsi="Graphik Light;sans-serif"/>
          <w:b w:val="false"/>
          <w:color w:val="1D1D1D"/>
          <w:sz w:val="18"/>
        </w:rPr>
        <w:t>Subject to Sections 2.5 and 21 and any other applicable provisions hereof, the total number of Shares reserved and available for grant and issuance pursuant to this Plan is 12,806,156 plus (a) Shares that are subject to awards granted under the Prior Plan that cease to be subject to such awards by forfeiture or otherwise after the Effective Date, (b) Shares issued under the Prior Plan, including Shares issued pursuant to the exercise of 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under the Prior Plan that are used to pay the Exercise Price of an award or withheld to satisfy the tax withholding obligations related to an award after the Effective Date. As of the Effective Date, no further awards can be granted under the Prior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2.2.</w:t>
      </w:r>
      <w:r>
        <w:rPr>
          <w:rFonts w:ascii="Graphik Semibold;sans-serif" w:hAnsi="Graphik Semibold;sans-serif"/>
          <w:b/>
          <w:i/>
          <w:color w:val="1D1D1D"/>
          <w:sz w:val="18"/>
        </w:rPr>
        <w:t>Lapsed, Returned Awards.</w:t>
      </w:r>
      <w:r>
        <w:rPr>
          <w:color w:val="1D1D1D"/>
        </w:rPr>
        <w:t xml:space="preserve"> </w:t>
      </w:r>
      <w:r>
        <w:rPr>
          <w:rFonts w:ascii="Graphik Light;sans-serif" w:hAnsi="Graphik Light;sans-serif"/>
          <w:b w:val="false"/>
          <w:color w:val="1D1D1D"/>
          <w:sz w:val="18"/>
        </w:rPr>
        <w:t xml:space="preserve">Shares subject to Awards, and Shares issued under this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(d) are surrendered pursuant to an Exchange Program, (e) are subject to Awards granted under this Plan that are settled in cash and (f) are subject to Awards granted under this Plan and are used to pay the Exercise Price of an Award or withheld to satisfy the tax withholding obligations related to an Award. For the avoidance of doubt, Shares that otherwise become available for grant and issuance because of the provisions of this Section 2.2 will not include Shares subject to Awards that initially became available because of the substitution clause in Section 21.2 hereof.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2.3.</w:t>
      </w:r>
      <w:r>
        <w:rPr>
          <w:rFonts w:ascii="Graphik Semibold;sans-serif" w:hAnsi="Graphik Semibold;sans-serif"/>
          <w:b/>
          <w:i/>
          <w:color w:val="1D1D1D"/>
          <w:sz w:val="18"/>
        </w:rPr>
        <w:t>Minimum Share Reserve.</w:t>
      </w:r>
      <w:r>
        <w:rPr>
          <w:color w:val="1D1D1D"/>
        </w:rPr>
        <w:t xml:space="preserve"> </w:t>
      </w:r>
      <w:r>
        <w:rPr>
          <w:rFonts w:ascii="Graphik Light;sans-serif" w:hAnsi="Graphik Light;sans-serif"/>
          <w:b w:val="false"/>
          <w:color w:val="1D1D1D"/>
          <w:sz w:val="18"/>
        </w:rPr>
        <w:t>At all times the Company will reserve and keep available a sufficient number of Shares as will be required to satisfy the requirements of all outstanding Awards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2.4.</w:t>
      </w:r>
      <w:r>
        <w:rPr>
          <w:rFonts w:ascii="Graphik Semibold;sans-serif" w:hAnsi="Graphik Semibold;sans-serif"/>
          <w:b/>
          <w:i/>
          <w:color w:val="1D1D1D"/>
          <w:sz w:val="18"/>
        </w:rPr>
        <w:t>ISO Limitation.</w:t>
      </w:r>
      <w:r>
        <w:rPr>
          <w:color w:val="1D1D1D"/>
        </w:rPr>
        <w:t xml:space="preserve"> </w:t>
      </w:r>
      <w:r>
        <w:rPr>
          <w:rFonts w:ascii="Graphik Light;sans-serif" w:hAnsi="Graphik Light;sans-serif"/>
          <w:b w:val="false"/>
          <w:color w:val="1D1D1D"/>
          <w:sz w:val="18"/>
        </w:rPr>
        <w:t>No more than 15,000,000 Shares will be issued pursuant to the exercise of ISOs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2.5.</w:t>
      </w:r>
      <w:r>
        <w:rPr>
          <w:rFonts w:ascii="Graphik Semibold;sans-serif" w:hAnsi="Graphik Semibold;sans-serif"/>
          <w:b/>
          <w:i/>
          <w:color w:val="1D1D1D"/>
          <w:sz w:val="18"/>
        </w:rPr>
        <w:t>Adjustment of Shares</w:t>
      </w:r>
      <w:r>
        <w:rPr>
          <w:rFonts w:ascii="Graphik Light;sans-serif" w:hAnsi="Graphik Light;sans-serif"/>
          <w:b w:val="false"/>
          <w:color w:val="1D1D1D"/>
          <w:sz w:val="18"/>
        </w:rPr>
        <w:t xml:space="preserve">. If the number or class of outstanding Shares is changed by a stock dividend, extraordinary dividend or distribution (whether in cash, shares, or other property, other than a regular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835660"/>
                <wp:effectExtent l="0" t="0" r="0" b="0"/>
                <wp:wrapNone/>
                <wp:docPr id="259" name="Frame89"/>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this Plan set forth in Section 2.1, (b) the Exercise Prices of and number and class of Shares subject to outstanding Options and SARs, (c) the number and class of Shares subject to other outstanding Awards, and (d) the maximum number and class of Shares that may be issued as ISOs set forth in Section 2.4, will be proportionately adjusted, subject to any required action by the Board or the stockholders of the Company and in compliance with applicable securities laws, provided that fractions of a Share will not be issued.</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by reason of an adjustment pursuant to this Section 2.5,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pStyle w:val="TextBody"/>
        <w:bidi w:val="0"/>
        <w:spacing w:lineRule="auto" w:line="336" w:before="0" w:after="180"/>
        <w:ind w:left="0" w:right="0" w:hanging="360"/>
        <w:jc w:val="left"/>
        <w:rPr/>
      </w:pPr>
      <w:r>
        <w:rPr>
          <w:rFonts w:ascii="Graphik Light;sans-serif" w:hAnsi="Graphik Light;sans-serif"/>
          <w:b w:val="false"/>
          <w:color w:val="1D1D1D"/>
          <w:sz w:val="18"/>
        </w:rPr>
        <w:t>3.</w:t>
      </w:r>
      <w:r>
        <w:rPr>
          <w:rFonts w:ascii="Graphik Semibold;sans-serif" w:hAnsi="Graphik Semibold;sans-serif"/>
          <w:b/>
          <w:color w:val="1D1D1D"/>
          <w:sz w:val="18"/>
        </w:rPr>
        <w:t>ELIGIBILITY.</w:t>
      </w:r>
      <w:r>
        <w:rPr>
          <w:color w:val="1D1D1D"/>
        </w:rPr>
        <w:t xml:space="preserve"> </w:t>
      </w:r>
      <w:r>
        <w:rPr>
          <w:rFonts w:ascii="Graphik Light;sans-serif" w:hAnsi="Graphik Light;sans-serif"/>
          <w:b w:val="false"/>
          <w:color w:val="1D1D1D"/>
          <w:sz w:val="18"/>
        </w:rPr>
        <w:t xml:space="preserve">ISOs may be granted only to Employees. All other Awards may be granted to Employees, Consultants, Directors, and Non-Employee Directors, provided that such Consultants, Directors, and Non-Employee Directors render bona fide services not in connection with the offer and sale of securities in a capital-raising transaction.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4.</w:t>
      </w:r>
      <w:r>
        <w:rPr>
          <w:rFonts w:ascii="Graphik Semibold;sans-serif" w:hAnsi="Graphik Semibold;sans-serif"/>
          <w:b/>
          <w:color w:val="1D1D1D"/>
          <w:sz w:val="18"/>
        </w:rPr>
        <w:t>ADMINISTRATION.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4.1.</w:t>
      </w:r>
      <w:r>
        <w:rPr>
          <w:rFonts w:ascii="Graphik Semibold;sans-serif" w:hAnsi="Graphik Semibold;sans-serif"/>
          <w:b/>
          <w:i/>
          <w:color w:val="1D1D1D"/>
          <w:sz w:val="18"/>
        </w:rPr>
        <w:t>Committee Composition; Authority.</w:t>
      </w:r>
      <w:r>
        <w:rPr>
          <w:color w:val="1D1D1D"/>
        </w:rPr>
        <w:t xml:space="preserve"> </w:t>
      </w:r>
      <w:r>
        <w:rPr>
          <w:rFonts w:ascii="Graphik Light;sans-serif" w:hAnsi="Graphik Light;sans-serif"/>
          <w:b w:val="false"/>
          <w:color w:val="1D1D1D"/>
          <w:sz w:val="18"/>
        </w:rPr>
        <w:t>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(a)construe and interpret this Plan, any Award Agreement, and any other agreement or document executed pursuant to this Plan;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(b)prescribe, amend, and rescind rules and regulations relating to this Plan or any Award;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(c)select persons to receive Awards;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(d)determine the form and terms and conditions, not inconsistent with the terms of this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(e)determine the number of Shares or other consideration subject to Awards;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(f)determine the Fair Market Value in good faith and interpret the applicable provisions of this Plan and the definition of Fair Market Value in connection with circumstances that impact the Fair Market Value, if necessary;</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(g)determine whether Awards will be granted singly, in combination with, in tandem with, in replacement of, or as alternatives to, other Awards under this Plan or any other incentive or compensation plan of the Company or any Parent, Subsidiary, or Affiliate;</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(h)grant waivers of Plan or Award conditions;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(i)determine the vesting, exercisability, and payment of Awards;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(j)correct any defect, supply any omission or reconcile any inconsistency in this Plan, any Award or any Award Agreement;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(k)determine whether an Award has been vested and/or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660400"/>
                <wp:effectExtent l="0" t="0" r="0" b="0"/>
                <wp:wrapNone/>
                <wp:docPr id="260" name="Frame9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(l)determine the terms and conditions of any, and to institute any Exchange Program;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(m)reduce or modify any criteria with respect to Performance Factors;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(n)adjust Performance Factors to take into account changes in law and accounting or tax rules as the Committee deems necessary or appropriate to reflect the impact of extraordinary or unusual items, events, or circumstances to avoid windfalls or inequitable results;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(o)adopt terms and conditions, rules, and/or procedures (including the adoption of any subplan under this Plan) relating to the operation and administration of this Plan to accommodate requirements of local law and procedures outside of the United States or to qualify Awards for special tax treatment under laws of jurisdictions other than the United States;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(p)exercise discretion with respect to Performance Awards;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(q)make all other determinations necessary or advisable for the administration of this Plan; and</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(r)delegate any of the foregoing to a subcommittee or to one or more executive officers pursuant to a specific delegation as permitted by applicable law, including but not limited to Section 157(c) of the Delaware General Corporation Law.</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4.2.</w:t>
      </w:r>
      <w:r>
        <w:rPr>
          <w:rFonts w:ascii="Graphik Semibold;sans-serif" w:hAnsi="Graphik Semibold;sans-serif"/>
          <w:b/>
          <w:i/>
          <w:color w:val="1D1D1D"/>
          <w:sz w:val="18"/>
        </w:rPr>
        <w:t>Committee Interpretation and Discretion.</w:t>
      </w:r>
      <w:r>
        <w:rPr>
          <w:color w:val="1D1D1D"/>
        </w:rPr>
        <w:t xml:space="preserve"> </w:t>
      </w:r>
      <w:r>
        <w:rPr>
          <w:rFonts w:ascii="Graphik Light;sans-serif" w:hAnsi="Graphik Light;sans-serif"/>
          <w:b w:val="false"/>
          <w:color w:val="1D1D1D"/>
          <w:sz w:val="18"/>
        </w:rPr>
        <w:t>Any determination made by the Committee with respect to any Award will be made in its sole discretion at the time of grant of the Award or, unless in contravention of any express term of this Plan or Award, at any later time, and such determination will be final and binding on the Company and all persons having an interest in any Award under this Plan. Any dispute regarding the interpretation of this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4.3.</w:t>
      </w:r>
      <w:r>
        <w:rPr>
          <w:rFonts w:ascii="Graphik Semibold;sans-serif" w:hAnsi="Graphik Semibold;sans-serif"/>
          <w:b/>
          <w:i/>
          <w:color w:val="1D1D1D"/>
          <w:sz w:val="18"/>
        </w:rPr>
        <w:t>Section 16 of the Exchange Act.</w:t>
      </w:r>
      <w:r>
        <w:rPr>
          <w:color w:val="1D1D1D"/>
        </w:rPr>
        <w:t xml:space="preserve"> </w:t>
      </w:r>
      <w:r>
        <w:rPr>
          <w:rFonts w:ascii="Graphik Light;sans-serif" w:hAnsi="Graphik Light;sans-serif"/>
          <w:b w:val="false"/>
          <w:color w:val="1D1D1D"/>
          <w:sz w:val="18"/>
        </w:rPr>
        <w:t>Awards granted to Participants who are subject to Section 16 of the Exchange Act must be approved by two or more “non-employee directors” (as defined in the regulations promulgated under Section 16 of the Exchange Act).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4.4.</w:t>
      </w:r>
      <w:r>
        <w:rPr>
          <w:rFonts w:ascii="Graphik Semibold;sans-serif" w:hAnsi="Graphik Semibold;sans-serif"/>
          <w:b/>
          <w:i/>
          <w:color w:val="1D1D1D"/>
          <w:sz w:val="18"/>
        </w:rPr>
        <w:t>Documentation.</w:t>
      </w:r>
      <w:r>
        <w:rPr>
          <w:color w:val="1D1D1D"/>
        </w:rPr>
        <w:t xml:space="preserve"> </w:t>
      </w:r>
      <w:r>
        <w:rPr>
          <w:rFonts w:ascii="Graphik Light;sans-serif" w:hAnsi="Graphik Light;sans-serif"/>
          <w:b w:val="false"/>
          <w:color w:val="1D1D1D"/>
          <w:sz w:val="18"/>
        </w:rPr>
        <w:t>The Award Agreement for a given Award, this Plan, and any other documents may be delivered to, and accepted by, a Participant or any other person in any manner (including electronic distribution or posting) that meets applicable legal requirements.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4.5.</w:t>
      </w:r>
      <w:r>
        <w:rPr>
          <w:rFonts w:ascii="Graphik Semibold;sans-serif" w:hAnsi="Graphik Semibold;sans-serif"/>
          <w:b/>
          <w:i/>
          <w:color w:val="1D1D1D"/>
          <w:sz w:val="18"/>
        </w:rPr>
        <w:t>Foreign Award Recipients.</w:t>
      </w:r>
      <w:r>
        <w:rPr>
          <w:color w:val="1D1D1D"/>
        </w:rPr>
        <w:t xml:space="preserve"> </w:t>
      </w:r>
      <w:r>
        <w:rPr>
          <w:rFonts w:ascii="Graphik Light;sans-serif" w:hAnsi="Graphik Light;sans-serif"/>
          <w:b w:val="false"/>
          <w:color w:val="1D1D1D"/>
          <w:sz w:val="18"/>
        </w:rPr>
        <w:t>Notwithstanding any provision of this Plan to the contrary, in order to comply with the laws and practices in other countries in which the Company, its Subsidiaries, and Affiliates operate or have Employees or other individuals eligible for Awards, the Committee, in its sole discretion, will have the power and authority to: (a) determine which Subsidiaries and Affiliates will be covered by this Plan; (b) determine which individuals outside the United States are eligible to participate in this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835660"/>
                <wp:effectExtent l="0" t="0" r="0" b="0"/>
                <wp:wrapNone/>
                <wp:docPr id="261" name="Frame91"/>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360"/>
        <w:jc w:val="left"/>
        <w:rPr/>
      </w:pPr>
      <w:r>
        <w:rPr>
          <w:rFonts w:ascii="Graphik Light;sans-serif" w:hAnsi="Graphik Light;sans-serif"/>
          <w:b w:val="false"/>
          <w:color w:val="1D1D1D"/>
          <w:sz w:val="18"/>
        </w:rPr>
        <w:t>5.</w:t>
      </w:r>
      <w:r>
        <w:rPr>
          <w:rFonts w:ascii="Graphik Semibold;sans-serif" w:hAnsi="Graphik Semibold;sans-serif"/>
          <w:b/>
          <w:color w:val="1D1D1D"/>
          <w:sz w:val="18"/>
        </w:rPr>
        <w:t>OPTIONS.</w:t>
      </w:r>
      <w:r>
        <w:rPr>
          <w:color w:val="1D1D1D"/>
        </w:rPr>
        <w:t xml:space="preserve"> </w:t>
      </w:r>
      <w:r>
        <w:rPr>
          <w:rFonts w:ascii="Graphik Light;sans-serif" w:hAnsi="Graphik Light;sans-serif"/>
          <w:b w:val="false"/>
          <w:color w:val="1D1D1D"/>
          <w:sz w:val="18"/>
        </w:rPr>
        <w:t>An Option is the right but not the obligation to purchase a Share, subject to certain conditions, if applicable. The Committee may grant Options to eligible Employees, Consultants, and Directors and will determine whether such Options will be “incentive stock options” within the meaning of the Code (“ISOs”) or Nonqualified Stock Options (“NQSOs”), the number of Shares subject to the Option, the Exercise Price of the Option, the period during which the Option may vest and be exercised, and all other terms and conditions of the Option, subject to the following terms of this section.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5.1.</w:t>
      </w:r>
      <w:r>
        <w:rPr>
          <w:rFonts w:ascii="Graphik Semibold;sans-serif" w:hAnsi="Graphik Semibold;sans-serif"/>
          <w:b/>
          <w:i/>
          <w:color w:val="1D1D1D"/>
          <w:sz w:val="18"/>
        </w:rPr>
        <w:t>Option Grant.</w:t>
      </w:r>
      <w:r>
        <w:rPr>
          <w:color w:val="1D1D1D"/>
        </w:rPr>
        <w:t xml:space="preserve"> </w:t>
      </w:r>
      <w:r>
        <w:rPr>
          <w:rFonts w:ascii="Graphik Light;sans-serif" w:hAnsi="Graphik Light;sans-serif"/>
          <w:b w:val="false"/>
          <w:color w:val="1D1D1D"/>
          <w:sz w:val="18"/>
        </w:rPr>
        <w:t>Each Option granted under this Plan will identify the Option as an ISO or an NQSO.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5.2.</w:t>
      </w:r>
      <w:r>
        <w:rPr>
          <w:rFonts w:ascii="Graphik Semibold;sans-serif" w:hAnsi="Graphik Semibold;sans-serif"/>
          <w:b/>
          <w:i/>
          <w:color w:val="1D1D1D"/>
          <w:sz w:val="18"/>
        </w:rPr>
        <w:t>Date of Grant.</w:t>
      </w:r>
      <w:r>
        <w:rPr>
          <w:color w:val="1D1D1D"/>
        </w:rPr>
        <w:t xml:space="preserve"> </w:t>
      </w:r>
      <w:r>
        <w:rPr>
          <w:rFonts w:ascii="Graphik Light;sans-serif" w:hAnsi="Graphik Light;sans-serif"/>
          <w:b w:val="false"/>
          <w:color w:val="1D1D1D"/>
          <w:sz w:val="18"/>
        </w:rPr>
        <w:t>The date of grant of an Option will be the date on which the Committee makes the determination to grant such Option, or a specified future date. The Award Agreement will be delivered to the Participant within a reasonable time after the granting of the Option.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5.3.</w:t>
      </w:r>
      <w:r>
        <w:rPr>
          <w:rFonts w:ascii="Graphik Semibold;sans-serif" w:hAnsi="Graphik Semibold;sans-serif"/>
          <w:b/>
          <w:i/>
          <w:color w:val="1D1D1D"/>
          <w:sz w:val="18"/>
        </w:rPr>
        <w:t>Exercise Period.</w:t>
      </w:r>
      <w:r>
        <w:rPr>
          <w:color w:val="1D1D1D"/>
        </w:rPr>
        <w:t xml:space="preserve"> </w:t>
      </w:r>
      <w:r>
        <w:rPr>
          <w:rFonts w:ascii="Graphik Light;sans-serif" w:hAnsi="Graphik Light;sans-serif"/>
          <w:b w:val="false"/>
          <w:color w:val="1D1D1D"/>
          <w:sz w:val="18"/>
        </w:rPr>
        <w:t>Options may be vested and exercisable within the times or upon the conditions as set forth in the Award Agreement governing such Option, provided, however, that no Option will be exercisable after the expiration of ten (10) years from the date the Option is granted and provided further that no ISO granted to a person who, at the time the ISO is granted, directly or by attribution owns more than ten percent (10%) of the total combined voting power of all classes of stock of the Company or of any Parent or Subsidiary (“Ten Percent Stockholder”)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5.4.</w:t>
      </w:r>
      <w:r>
        <w:rPr>
          <w:rFonts w:ascii="Graphik Semibold;sans-serif" w:hAnsi="Graphik Semibold;sans-serif"/>
          <w:b/>
          <w:i/>
          <w:color w:val="1D1D1D"/>
          <w:sz w:val="18"/>
        </w:rPr>
        <w:t>Exercise Price.</w:t>
      </w:r>
      <w:r>
        <w:rPr>
          <w:color w:val="1D1D1D"/>
        </w:rPr>
        <w:t xml:space="preserve"> </w:t>
      </w:r>
      <w:r>
        <w:rPr>
          <w:rFonts w:ascii="Graphik Light;sans-serif" w:hAnsi="Graphik Light;sans-serif"/>
          <w:b w:val="false"/>
          <w:color w:val="1D1D1D"/>
          <w:sz w:val="18"/>
        </w:rPr>
        <w:t>The Exercise Price of an Option will be determined by the Committee when the Option is granted, provided that: (a) the 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5.5.</w:t>
      </w:r>
      <w:r>
        <w:rPr>
          <w:rFonts w:ascii="Graphik Semibold;sans-serif" w:hAnsi="Graphik Semibold;sans-serif"/>
          <w:b/>
          <w:i/>
          <w:color w:val="1D1D1D"/>
          <w:sz w:val="18"/>
        </w:rPr>
        <w:t>Method of Exercise.</w:t>
      </w:r>
      <w:r>
        <w:rPr>
          <w:color w:val="1D1D1D"/>
        </w:rPr>
        <w:t xml:space="preserve"> </w:t>
      </w:r>
      <w:r>
        <w:rPr>
          <w:rFonts w:ascii="Graphik Light;sans-serif" w:hAnsi="Graphik Light;sans-serif"/>
          <w:b w:val="false"/>
          <w:color w:val="1D1D1D"/>
          <w:sz w:val="18"/>
        </w:rPr>
        <w:t xml:space="preserve">Any Option granted hereunder will be vested and exercisable according to the terms of this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this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2.5 of this Plan.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5.6.</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 xml:space="preserve">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660400"/>
                <wp:effectExtent l="0" t="0" r="0" b="0"/>
                <wp:wrapNone/>
                <wp:docPr id="262" name="Frame9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no later than three (3) months after the date Participant’s Service terminates (or such shorter or longer time period as may be determined by the Committee, with any exercise beyond three (3) months after the date Participant’s employment terminates deemed to be the exercise of an NQSO), but in any event no later than the expiration date of the Options.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(a)</w:t>
      </w:r>
      <w:r>
        <w:rPr>
          <w:rFonts w:ascii="Graphik Light;sans-serif" w:hAnsi="Graphik Light;sans-serif"/>
          <w:b w:val="false"/>
          <w:color w:val="1D1D1D"/>
          <w:sz w:val="18"/>
          <w:u w:val="single"/>
        </w:rPr>
        <w:t>Death.</w:t>
      </w:r>
      <w:r>
        <w:rPr>
          <w:color w:val="1D1D1D"/>
        </w:rPr>
        <w:t xml:space="preserve"> </w:t>
      </w:r>
      <w:r>
        <w:rPr>
          <w:rFonts w:ascii="Graphik Light;sans-serif" w:hAnsi="Graphik Light;sans-serif"/>
          <w:b w:val="false"/>
          <w:color w:val="1D1D1D"/>
          <w:sz w:val="18"/>
        </w:rPr>
        <w:t>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(b)</w:t>
      </w:r>
      <w:r>
        <w:rPr>
          <w:rFonts w:ascii="Graphik Light;sans-serif" w:hAnsi="Graphik Light;sans-serif"/>
          <w:b w:val="false"/>
          <w:color w:val="1D1D1D"/>
          <w:sz w:val="18"/>
          <w:u w:val="single"/>
        </w:rPr>
        <w:t>Disability.</w:t>
      </w:r>
      <w:r>
        <w:rPr>
          <w:color w:val="1D1D1D"/>
        </w:rPr>
        <w:t xml:space="preserve"> </w:t>
      </w:r>
      <w:r>
        <w:rPr>
          <w:rFonts w:ascii="Graphik Light;sans-serif" w:hAnsi="Graphik Light;sans-serif"/>
          <w:b w:val="false"/>
          <w:color w:val="1D1D1D"/>
          <w:sz w:val="18"/>
        </w:rPr>
        <w:t>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NQSO), but in any event no later than the expiration date of the Options.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(c)</w:t>
      </w:r>
      <w:r>
        <w:rPr>
          <w:rFonts w:ascii="Graphik Light;sans-serif" w:hAnsi="Graphik Light;sans-serif"/>
          <w:b w:val="false"/>
          <w:color w:val="1D1D1D"/>
          <w:sz w:val="18"/>
          <w:u w:val="single"/>
        </w:rPr>
        <w:t>Cause.</w:t>
      </w:r>
      <w:r>
        <w:rPr>
          <w:color w:val="1D1D1D"/>
        </w:rPr>
        <w:t xml:space="preserve"> </w:t>
      </w:r>
      <w:r>
        <w:rPr>
          <w:rFonts w:ascii="Graphik Light;sans-serif" w:hAnsi="Graphik Light;sans-serif"/>
          <w:b w:val="false"/>
          <w:color w:val="1D1D1D"/>
          <w:sz w:val="18"/>
        </w:rPr>
        <w:t>Unless otherwise determined by the Committee, if the Participant’s Service terminates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then Participant’s Options (whether or not vested) will expire on the date of termination of Participant’s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(d)</w:t>
      </w:r>
      <w:r>
        <w:rPr>
          <w:rFonts w:ascii="Graphik Light;sans-serif" w:hAnsi="Graphik Light;sans-serif"/>
          <w:b w:val="false"/>
          <w:color w:val="1D1D1D"/>
          <w:sz w:val="18"/>
          <w:u w:val="single"/>
        </w:rPr>
        <w:t>Unvested Options.</w:t>
      </w:r>
      <w:r>
        <w:rPr>
          <w:color w:val="1D1D1D"/>
        </w:rPr>
        <w:t xml:space="preserve"> </w:t>
      </w:r>
      <w:r>
        <w:rPr>
          <w:rFonts w:ascii="Graphik Light;sans-serif" w:hAnsi="Graphik Light;sans-serif"/>
          <w:b w:val="false"/>
          <w:color w:val="1D1D1D"/>
          <w:sz w:val="18"/>
        </w:rPr>
        <w:t>Participant’s unvested Options shall expire on the date of Participant’s termination of Service for any reason (unless Participant’s unvested Options are accelerated upon such termination of Service or are required to remain outstanding for some period post-termination in order to remain eligible for acceleration pursuant to an agreement between Participant and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5.7.</w:t>
      </w:r>
      <w:r>
        <w:rPr>
          <w:rFonts w:ascii="Graphik Semibold;sans-serif" w:hAnsi="Graphik Semibold;sans-serif"/>
          <w:b/>
          <w:i/>
          <w:color w:val="1D1D1D"/>
          <w:sz w:val="18"/>
        </w:rPr>
        <w:t>Limitations on Exercise.</w:t>
      </w:r>
      <w:r>
        <w:rPr>
          <w:color w:val="1D1D1D"/>
        </w:rPr>
        <w:t xml:space="preserve"> </w:t>
      </w:r>
      <w:r>
        <w:rPr>
          <w:rFonts w:ascii="Graphik Light;sans-serif" w:hAnsi="Graphik Light;sans-serif"/>
          <w:b w:val="false"/>
          <w:color w:val="1D1D1D"/>
          <w:sz w:val="18"/>
        </w:rPr>
        <w:t>The Committee may specify a minimum number of Shares that may be purchased on any exercise of an Option, provided that such minimum number will not prevent any Participant from exercising the Option for the full number of Shares for which it is then exercisable.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5.8.</w:t>
      </w:r>
      <w:r>
        <w:rPr>
          <w:rFonts w:ascii="Graphik Semibold;sans-serif" w:hAnsi="Graphik Semibold;sans-serif"/>
          <w:b/>
          <w:i/>
          <w:color w:val="1D1D1D"/>
          <w:sz w:val="18"/>
        </w:rPr>
        <w:t>Limitations on ISOs.</w:t>
      </w:r>
      <w:r>
        <w:rPr>
          <w:color w:val="1D1D1D"/>
        </w:rPr>
        <w:t xml:space="preserve"> </w:t>
      </w:r>
      <w:r>
        <w:rPr>
          <w:rFonts w:ascii="Graphik Light;sans-serif" w:hAnsi="Graphik Light;sans-serif"/>
          <w:b w:val="false"/>
          <w:color w:val="1D1D1D"/>
          <w:sz w:val="18"/>
        </w:rPr>
        <w:t xml:space="preserve">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NQSOs.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835660"/>
                <wp:effectExtent l="0" t="0" r="0" b="0"/>
                <wp:wrapNone/>
                <wp:docPr id="263" name="Frame93"/>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Fair Market Value of Shares permitted to be subject to ISOs, such different limit will be automatically incorporated herein and will apply to any Options granted after the effective date of such amendment.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5.9.</w:t>
      </w:r>
      <w:r>
        <w:rPr>
          <w:rFonts w:ascii="Graphik Semibold;sans-serif" w:hAnsi="Graphik Semibold;sans-serif"/>
          <w:b/>
          <w:i/>
          <w:color w:val="1D1D1D"/>
          <w:sz w:val="18"/>
        </w:rPr>
        <w:t>Modification, Extension or Renewal.</w:t>
      </w:r>
      <w:r>
        <w:rPr>
          <w:color w:val="1D1D1D"/>
        </w:rPr>
        <w:t xml:space="preserve"> </w:t>
      </w:r>
      <w:r>
        <w:rPr>
          <w:rFonts w:ascii="Graphik Light;sans-serif" w:hAnsi="Graphik Light;sans-serif"/>
          <w:b w:val="false"/>
          <w:color w:val="1D1D1D"/>
          <w:sz w:val="18"/>
        </w:rPr>
        <w:t>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prior stockholder approval as is required by Section 18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5.10.</w:t>
      </w:r>
      <w:r>
        <w:rPr>
          <w:rFonts w:ascii="Graphik Semibold;sans-serif" w:hAnsi="Graphik Semibold;sans-serif"/>
          <w:b/>
          <w:i/>
          <w:color w:val="1D1D1D"/>
          <w:sz w:val="18"/>
        </w:rPr>
        <w:t xml:space="preserve">No Disqualification. </w:t>
      </w:r>
      <w:r>
        <w:rPr>
          <w:rFonts w:ascii="Graphik Light;sans-serif" w:hAnsi="Graphik Light;sans-serif"/>
          <w:b w:val="false"/>
          <w:color w:val="1D1D1D"/>
          <w:sz w:val="18"/>
        </w:rPr>
        <w:t>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6.</w:t>
      </w:r>
      <w:r>
        <w:rPr>
          <w:rFonts w:ascii="Graphik Semibold;sans-serif" w:hAnsi="Graphik Semibold;sans-serif"/>
          <w:b/>
          <w:color w:val="1D1D1D"/>
          <w:sz w:val="18"/>
        </w:rPr>
        <w:t>RESTRICTED STOCK AWARDS.</w:t>
      </w:r>
      <w:r>
        <w:rPr>
          <w:color w:val="1D1D1D"/>
        </w:rPr>
        <w:t xml:space="preserve"> </w:t>
      </w:r>
      <w:r>
        <w:rPr>
          <w:rFonts w:ascii="Graphik Light;sans-serif" w:hAnsi="Graphik Light;sans-serif"/>
          <w:b w:val="false"/>
          <w:color w:val="1D1D1D"/>
          <w:sz w:val="18"/>
        </w:rPr>
        <w:t>A Restricted Stock Award is an offer by the Company to sell to an eligible Employee, Consultant, or Director Shares that are subject to restrictions (“Restricted Stock”). The Committee will determine to whom an offer will be made, the number of Shares the Participant may purchase, the Purchase Price, the restrictions under which the Shares will be subject, and all other terms and conditions of the Restricted Stock Award, subject to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6.1.</w:t>
      </w:r>
      <w:r>
        <w:rPr>
          <w:rFonts w:ascii="Graphik Semibold;sans-serif" w:hAnsi="Graphik Semibold;sans-serif"/>
          <w:b/>
          <w:i/>
          <w:color w:val="1D1D1D"/>
          <w:sz w:val="18"/>
        </w:rPr>
        <w:t>Restricted Stock Purchase Agreement.</w:t>
      </w:r>
      <w:r>
        <w:rPr>
          <w:color w:val="1D1D1D"/>
        </w:rPr>
        <w:t xml:space="preserve"> </w:t>
      </w:r>
      <w:r>
        <w:rPr>
          <w:rFonts w:ascii="Graphik Light;sans-serif" w:hAnsi="Graphik Light;sans-serif"/>
          <w:b w:val="false"/>
          <w:color w:val="1D1D1D"/>
          <w:sz w:val="18"/>
        </w:rPr>
        <w:t>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6.2.</w:t>
      </w:r>
      <w:r>
        <w:rPr>
          <w:rFonts w:ascii="Graphik Semibold;sans-serif" w:hAnsi="Graphik Semibold;sans-serif"/>
          <w:b/>
          <w:i/>
          <w:color w:val="1D1D1D"/>
          <w:sz w:val="18"/>
        </w:rPr>
        <w:t>Purchase Price.</w:t>
      </w:r>
      <w:r>
        <w:rPr>
          <w:color w:val="1D1D1D"/>
        </w:rPr>
        <w:t xml:space="preserve"> </w:t>
      </w:r>
      <w:r>
        <w:rPr>
          <w:rFonts w:ascii="Graphik Light;sans-serif" w:hAnsi="Graphik Light;sans-serif"/>
          <w:b w:val="false"/>
          <w:color w:val="1D1D1D"/>
          <w:sz w:val="18"/>
        </w:rPr>
        <w:t>The Purchase Price for a Restricted Stock Award will be determined by the Committee and may be less than Fair Market Value on the date the Restricted Stock Award is granted. Payment of the Purchase Price must be made in accordance with Section 11 of this Plan, and the Award Agreement and in accordance with any procedures established by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6.3.</w:t>
      </w:r>
      <w:r>
        <w:rPr>
          <w:rFonts w:ascii="Graphik Semibold;sans-serif" w:hAnsi="Graphik Semibold;sans-serif"/>
          <w:b/>
          <w:i/>
          <w:color w:val="1D1D1D"/>
          <w:sz w:val="18"/>
        </w:rPr>
        <w:t>Terms of Restricted Stock Awards.</w:t>
      </w:r>
      <w:r>
        <w:rPr>
          <w:color w:val="1D1D1D"/>
        </w:rPr>
        <w:t xml:space="preserve"> </w:t>
      </w:r>
      <w:r>
        <w:rPr>
          <w:rFonts w:ascii="Graphik Light;sans-serif" w:hAnsi="Graphik Light;sans-serif"/>
          <w:b w:val="false"/>
          <w:color w:val="1D1D1D"/>
          <w:sz w:val="18"/>
        </w:rPr>
        <w:t>Restricted Stock Awards will be subject to such restrictions as the Committee may impose or are 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6.4.</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such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7.</w:t>
      </w:r>
      <w:r>
        <w:rPr>
          <w:rFonts w:ascii="Graphik Semibold;sans-serif" w:hAnsi="Graphik Semibold;sans-serif"/>
          <w:b/>
          <w:color w:val="1D1D1D"/>
          <w:sz w:val="18"/>
        </w:rPr>
        <w:t>STOCK BONUS AWARDS.</w:t>
      </w:r>
      <w:r>
        <w:rPr>
          <w:color w:val="1D1D1D"/>
        </w:rPr>
        <w:t xml:space="preserve"> </w:t>
      </w:r>
      <w:r>
        <w:rPr>
          <w:rFonts w:ascii="Graphik Light;sans-serif" w:hAnsi="Graphik Light;sans-serif"/>
          <w:b w:val="false"/>
          <w:color w:val="1D1D1D"/>
          <w:sz w:val="18"/>
        </w:rPr>
        <w:t>A Stock Bonus Award is an award to an eligible Employee, Consultant, or Director of Shares for Services to be rendered or for past Services already rendered to the Company or any Parent, Subsidiary, or Affiliate. All Stock Bonus Awards will be made pursuant to an Award Agreement. No payment from the Participant will be required for Shares awarded pursuant to a Stock Bonus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660400"/>
                <wp:effectExtent l="0" t="0" r="0" b="0"/>
                <wp:wrapNone/>
                <wp:docPr id="264" name="Frame9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7.1.</w:t>
      </w:r>
      <w:r>
        <w:rPr>
          <w:rFonts w:ascii="Graphik Semibold;sans-serif" w:hAnsi="Graphik Semibold;sans-serif"/>
          <w:b/>
          <w:i/>
          <w:color w:val="1D1D1D"/>
          <w:sz w:val="18"/>
        </w:rPr>
        <w:t>Terms of Stock Bonus Awards.</w:t>
      </w:r>
      <w:r>
        <w:rPr>
          <w:color w:val="1D1D1D"/>
        </w:rPr>
        <w:t xml:space="preserve"> </w:t>
      </w:r>
      <w:r>
        <w:rPr>
          <w:rFonts w:ascii="Graphik Light;sans-serif" w:hAnsi="Graphik Light;sans-serif"/>
          <w:b w:val="false"/>
          <w:color w:val="1D1D1D"/>
          <w:sz w:val="18"/>
        </w:rPr>
        <w:t>The Committee will determine the number of Shares to be awarded to the Participant under a Stock Bonus 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7.2.</w:t>
      </w:r>
      <w:r>
        <w:rPr>
          <w:rFonts w:ascii="Graphik Semibold;sans-serif" w:hAnsi="Graphik Semibold;sans-serif"/>
          <w:b/>
          <w:i/>
          <w:color w:val="1D1D1D"/>
          <w:sz w:val="18"/>
        </w:rPr>
        <w:t>Form of Payment to Participant.</w:t>
      </w:r>
      <w:r>
        <w:rPr>
          <w:color w:val="1D1D1D"/>
        </w:rPr>
        <w:t xml:space="preserve"> </w:t>
      </w:r>
      <w:r>
        <w:rPr>
          <w:rFonts w:ascii="Graphik Light;sans-serif" w:hAnsi="Graphik Light;sans-serif"/>
          <w:b w:val="false"/>
          <w:color w:val="1D1D1D"/>
          <w:sz w:val="18"/>
        </w:rPr>
        <w:t>Payment may be made in the form of cash, whole Shares, or a combination thereof, based on the Fair Market Value of the Shares earned under a Stock Bonus Award on the date of payment, as determined in the sole discretion of the Committee.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7.3.</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such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8.</w:t>
      </w:r>
      <w:r>
        <w:rPr>
          <w:rFonts w:ascii="Graphik Semibold;sans-serif" w:hAnsi="Graphik Semibold;sans-serif"/>
          <w:b/>
          <w:color w:val="1D1D1D"/>
          <w:sz w:val="18"/>
        </w:rPr>
        <w:t>STOCK APPRECIATION RIGHTS.</w:t>
      </w:r>
      <w:r>
        <w:rPr>
          <w:color w:val="1D1D1D"/>
        </w:rPr>
        <w:t xml:space="preserve"> </w:t>
      </w:r>
      <w:r>
        <w:rPr>
          <w:rFonts w:ascii="Graphik Light;sans-serif" w:hAnsi="Graphik Light;sans-serif"/>
          <w:b w:val="false"/>
          <w:color w:val="1D1D1D"/>
          <w:sz w:val="18"/>
        </w:rPr>
        <w:t>A Stock Appreciation Right (“SAR”) is an award to an eligible Employee, Consultant,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8.1.</w:t>
      </w:r>
      <w:r>
        <w:rPr>
          <w:rFonts w:ascii="Graphik Semibold;sans-serif" w:hAnsi="Graphik Semibold;sans-serif"/>
          <w:b/>
          <w:i/>
          <w:color w:val="1D1D1D"/>
          <w:sz w:val="18"/>
        </w:rPr>
        <w:t>Terms of SARs.</w:t>
      </w:r>
      <w:r>
        <w:rPr>
          <w:color w:val="1D1D1D"/>
        </w:rPr>
        <w:t xml:space="preserve"> </w:t>
      </w:r>
      <w:r>
        <w:rPr>
          <w:rFonts w:ascii="Graphik Light;sans-serif" w:hAnsi="Graphik Light;sans-serif"/>
          <w:b w:val="false"/>
          <w:color w:val="1D1D1D"/>
          <w:sz w:val="18"/>
        </w:rPr>
        <w:t>The Committee will determine the terms of each SAR including, without limitation: (a) the number of 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8.2.</w:t>
      </w:r>
      <w:r>
        <w:rPr>
          <w:rFonts w:ascii="Graphik Semibold;sans-serif" w:hAnsi="Graphik Semibold;sans-serif"/>
          <w:b/>
          <w:i/>
          <w:color w:val="1D1D1D"/>
          <w:sz w:val="18"/>
        </w:rPr>
        <w:t>Exercise Period and Expiration Date.</w:t>
      </w:r>
      <w:r>
        <w:rPr>
          <w:color w:val="1D1D1D"/>
        </w:rPr>
        <w:t xml:space="preserve"> </w:t>
      </w:r>
      <w:r>
        <w:rPr>
          <w:rFonts w:ascii="Graphik Light;sans-serif" w:hAnsi="Graphik Light;sans-serif"/>
          <w:b w:val="false"/>
          <w:color w:val="1D1D1D"/>
          <w:sz w:val="18"/>
        </w:rPr>
        <w:t>A SAR will be exercisable within the times or upon the occurrence of events determined by the 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Notwithstanding the foregoing, the rules of Section 5.6 also will apply to SARs.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8.3.</w:t>
      </w:r>
      <w:r>
        <w:rPr>
          <w:rFonts w:ascii="Graphik Semibold;sans-serif" w:hAnsi="Graphik Semibold;sans-serif"/>
          <w:b/>
          <w:i/>
          <w:color w:val="1D1D1D"/>
          <w:sz w:val="18"/>
        </w:rPr>
        <w:t>Form of Settlement.</w:t>
      </w:r>
      <w:r>
        <w:rPr>
          <w:color w:val="1D1D1D"/>
        </w:rPr>
        <w:t xml:space="preserve"> </w:t>
      </w:r>
      <w:r>
        <w:rPr>
          <w:rFonts w:ascii="Graphik Light;sans-serif" w:hAnsi="Graphik Light;sans-serif"/>
          <w:b w:val="false"/>
          <w:color w:val="1D1D1D"/>
          <w:sz w:val="18"/>
        </w:rPr>
        <w:t>Upon exercise of a SAR, a Participant will be entitled to receive payment from the Company in an amount determined 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835660"/>
                <wp:effectExtent l="0" t="0" r="0" b="0"/>
                <wp:wrapNone/>
                <wp:docPr id="265" name="Frame95"/>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8.4.</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the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9.</w:t>
      </w:r>
      <w:r>
        <w:rPr>
          <w:rFonts w:ascii="Graphik Semibold;sans-serif" w:hAnsi="Graphik Semibold;sans-serif"/>
          <w:b/>
          <w:color w:val="1D1D1D"/>
          <w:sz w:val="18"/>
        </w:rPr>
        <w:t>RESTRICTED STOCK UNITS.</w:t>
      </w:r>
      <w:r>
        <w:rPr>
          <w:color w:val="1D1D1D"/>
        </w:rPr>
        <w:t xml:space="preserve"> </w:t>
      </w:r>
      <w:r>
        <w:rPr>
          <w:rFonts w:ascii="Graphik Light;sans-serif" w:hAnsi="Graphik Light;sans-serif"/>
          <w:b w:val="false"/>
          <w:color w:val="1D1D1D"/>
          <w:sz w:val="18"/>
        </w:rPr>
        <w:t>A Restricted Stock Unit (“RSU”) is an award to an eligible Employee, Consultant, or Director covering a number of Shares that may be settled by issuance of those Shares (which may consist of Restricted Stock) or in cash. All RSUs will be made pursuant to an Award Agreement.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9.1.</w:t>
      </w:r>
      <w:r>
        <w:rPr>
          <w:rFonts w:ascii="Graphik Semibold;sans-serif" w:hAnsi="Graphik Semibold;sans-serif"/>
          <w:b/>
          <w:i/>
          <w:color w:val="1D1D1D"/>
          <w:sz w:val="18"/>
        </w:rPr>
        <w:t>Terms of RSUs.</w:t>
      </w:r>
      <w:r>
        <w:rPr>
          <w:color w:val="1D1D1D"/>
        </w:rPr>
        <w:t xml:space="preserve"> </w:t>
      </w:r>
      <w:r>
        <w:rPr>
          <w:rFonts w:ascii="Graphik Light;sans-serif" w:hAnsi="Graphik Light;sans-serif"/>
          <w:b w:val="false"/>
          <w:color w:val="1D1D1D"/>
          <w:sz w:val="18"/>
        </w:rPr>
        <w:t>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9.2.</w:t>
      </w:r>
      <w:r>
        <w:rPr>
          <w:rFonts w:ascii="Graphik Semibold;sans-serif" w:hAnsi="Graphik Semibold;sans-serif"/>
          <w:b/>
          <w:i/>
          <w:color w:val="1D1D1D"/>
          <w:sz w:val="18"/>
        </w:rPr>
        <w:t>Form and Timing of Settlement.</w:t>
      </w:r>
      <w:r>
        <w:rPr>
          <w:color w:val="1D1D1D"/>
        </w:rPr>
        <w:t xml:space="preserve"> </w:t>
      </w:r>
      <w:r>
        <w:rPr>
          <w:rFonts w:ascii="Graphik Light;sans-serif" w:hAnsi="Graphik Light;sans-serif"/>
          <w:b w:val="false"/>
          <w:color w:val="1D1D1D"/>
          <w:sz w:val="18"/>
        </w:rPr>
        <w:t>Payment of earned RSUs will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9.3.</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such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10.</w:t>
      </w:r>
      <w:r>
        <w:rPr>
          <w:rFonts w:ascii="Graphik Semibold;sans-serif" w:hAnsi="Graphik Semibold;sans-serif"/>
          <w:b/>
          <w:color w:val="1D1D1D"/>
          <w:sz w:val="18"/>
        </w:rPr>
        <w:t xml:space="preserve">PERFORMANCE AWARDS. </w:t>
      </w:r>
      <w:r>
        <w:rPr>
          <w:rFonts w:ascii="Graphik Light;sans-serif" w:hAnsi="Graphik Light;sans-serif"/>
          <w:b w:val="false"/>
          <w:color w:val="1D1D1D"/>
          <w:sz w:val="18"/>
        </w:rPr>
        <w:t>A Performance Award is an award to an eligible Employee, Consultant, or Director that is based upon the attainment of performance goals, as established by the Committee, and other terms and conditions specified by the Committee, and may be settled in cash, Shares (which may consist of, without limitation, Restricted Stock), other property, or any combination thereof, and may be cash-based. Grants of Performance Awards will be made pursuant to an Award Agreement.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10.1.</w:t>
      </w:r>
      <w:r>
        <w:rPr>
          <w:rFonts w:ascii="Graphik Semibold;sans-serif" w:hAnsi="Graphik Semibold;sans-serif"/>
          <w:b/>
          <w:i/>
          <w:color w:val="1D1D1D"/>
          <w:sz w:val="18"/>
        </w:rPr>
        <w:t xml:space="preserve">Types of Performance Awards. </w:t>
      </w:r>
      <w:r>
        <w:rPr>
          <w:rFonts w:ascii="Graphik Light;sans-serif" w:hAnsi="Graphik Light;sans-serif"/>
          <w:b w:val="false"/>
          <w:color w:val="1D1D1D"/>
          <w:sz w:val="18"/>
        </w:rPr>
        <w:t xml:space="preserve">Performance Awards shall include Performance Shares, Performance Units and cash-settled Performance Awards as set forth in Sections 10.1(a), 10.1(b) and 10.1(c) below. </w:t>
      </w:r>
    </w:p>
    <w:p>
      <w:pPr>
        <w:pStyle w:val="TextBody"/>
        <w:bidi w:val="0"/>
        <w:spacing w:lineRule="auto" w:line="336" w:before="0" w:after="90"/>
        <w:ind w:left="0" w:right="0" w:hanging="540"/>
        <w:jc w:val="left"/>
        <w:rPr/>
      </w:pPr>
      <w:r>
        <w:rPr>
          <w:rFonts w:ascii="Graphik Light;sans-serif" w:hAnsi="Graphik Light;sans-serif"/>
          <w:b w:val="false"/>
          <w:color w:val="1D1D1D"/>
          <w:sz w:val="18"/>
        </w:rPr>
        <w:t>(a)</w:t>
      </w:r>
      <w:r>
        <w:rPr>
          <w:rFonts w:ascii="Graphik Light;sans-serif" w:hAnsi="Graphik Light;sans-serif"/>
          <w:b w:val="false"/>
          <w:color w:val="1D1D1D"/>
          <w:sz w:val="18"/>
          <w:u w:val="single"/>
        </w:rPr>
        <w:t>Performance Shares.</w:t>
      </w:r>
      <w:r>
        <w:rPr>
          <w:color w:val="1D1D1D"/>
        </w:rPr>
        <w:t xml:space="preserve"> </w:t>
      </w:r>
      <w:r>
        <w:rPr>
          <w:rFonts w:ascii="Graphik Light;sans-serif" w:hAnsi="Graphik Light;sans-serif"/>
          <w:b w:val="false"/>
          <w:color w:val="1D1D1D"/>
          <w:sz w:val="18"/>
        </w:rPr>
        <w:t xml:space="preserve">The Committee may grant Awards of Performance Shares, designate the Participants to whom Performance Shares are to be awarded and determine the number of Performance Shares and the terms and conditions of each such Award. </w:t>
      </w:r>
    </w:p>
    <w:p>
      <w:pPr>
        <w:pStyle w:val="TextBody"/>
        <w:bidi w:val="0"/>
        <w:spacing w:lineRule="auto" w:line="336" w:before="0" w:after="90"/>
        <w:ind w:left="0" w:right="0" w:hanging="540"/>
        <w:jc w:val="left"/>
        <w:rPr/>
      </w:pPr>
      <w:r>
        <w:rPr>
          <w:rFonts w:ascii="Graphik Light;sans-serif" w:hAnsi="Graphik Light;sans-serif"/>
          <w:b w:val="false"/>
          <w:color w:val="1D1D1D"/>
          <w:sz w:val="18"/>
        </w:rPr>
        <w:t>(b)</w:t>
      </w:r>
      <w:r>
        <w:rPr>
          <w:rFonts w:ascii="Graphik Light;sans-serif" w:hAnsi="Graphik Light;sans-serif"/>
          <w:b w:val="false"/>
          <w:color w:val="1D1D1D"/>
          <w:sz w:val="18"/>
          <w:u w:val="single"/>
        </w:rPr>
        <w:t>Performance Units.</w:t>
      </w:r>
      <w:r>
        <w:rPr>
          <w:color w:val="1D1D1D"/>
        </w:rPr>
        <w:t xml:space="preserve"> </w:t>
      </w:r>
      <w:r>
        <w:rPr>
          <w:rFonts w:ascii="Graphik Light;sans-serif" w:hAnsi="Graphik Light;sans-serif"/>
          <w:b w:val="false"/>
          <w:color w:val="1D1D1D"/>
          <w:sz w:val="18"/>
        </w:rPr>
        <w:t xml:space="preserve">The Committee may grant Awards of Performance Units, designate the Participants to whom Performance Units are to be awarded and determine the number of Performance Units and the terms and conditions of each such Award.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(c)</w:t>
      </w:r>
      <w:r>
        <w:rPr>
          <w:rFonts w:ascii="Graphik Light;sans-serif" w:hAnsi="Graphik Light;sans-serif"/>
          <w:b w:val="false"/>
          <w:color w:val="1D1D1D"/>
          <w:sz w:val="18"/>
          <w:u w:val="single"/>
        </w:rPr>
        <w:t>Cash-Settled Performance Awards.</w:t>
      </w:r>
      <w:r>
        <w:rPr>
          <w:color w:val="1D1D1D"/>
        </w:rPr>
        <w:t xml:space="preserve"> </w:t>
      </w:r>
      <w:r>
        <w:rPr>
          <w:rFonts w:ascii="Graphik Light;sans-serif" w:hAnsi="Graphik Light;sans-serif"/>
          <w:b w:val="false"/>
          <w:color w:val="1D1D1D"/>
          <w:sz w:val="18"/>
        </w:rPr>
        <w:t xml:space="preserve">The Committee may also grant cash-settled Performance Awards, designate the Participants to whom cash-settled Performance Awards are to be awarded and determine the terms and conditions of each such Award.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amount to be paid under any Performance Award may be adjusted on the basis of such further consideration as the Committee shall determine in its sole discretion.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10.2.</w:t>
      </w:r>
      <w:r>
        <w:rPr>
          <w:rFonts w:ascii="Graphik Semibold;sans-serif" w:hAnsi="Graphik Semibold;sans-serif"/>
          <w:b/>
          <w:i/>
          <w:color w:val="1D1D1D"/>
          <w:sz w:val="18"/>
        </w:rPr>
        <w:t>Terms of Performance Awards.</w:t>
      </w:r>
      <w:r>
        <w:rPr>
          <w:color w:val="1D1D1D"/>
        </w:rPr>
        <w:t xml:space="preserve"> </w:t>
      </w:r>
      <w:r>
        <w:rPr>
          <w:rFonts w:ascii="Graphik Light;sans-serif" w:hAnsi="Graphik Light;sans-serif"/>
          <w:b w:val="false"/>
          <w:color w:val="1D1D1D"/>
          <w:sz w:val="18"/>
        </w:rPr>
        <w:t xml:space="preserve">Performance Awards will be based on the attainment of performance goals using the Performance Factors within this Plan that are established by the Committee for the relevant Performance Period. The Committee will determine, and each Award Agreement will set forth, the terms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660400"/>
                <wp:effectExtent l="0" t="0" r="0" b="0"/>
                <wp:wrapNone/>
                <wp:docPr id="266" name="Frame9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671" w:type="dxa"/>
                        <w:jc w:val="center"/>
                        <w:tblInd w:w="0" w:type="dxa"/>
                        <w:tblLayout w:type="fixed"/>
                        <w:tblCellMar>
                          <w:top w:w="28" w:type="dxa"/>
                          <w:left w:w="28" w:type="dxa"/>
                          <w:bottom w:w="28" w:type="dxa"/>
                          <w:right w:w="28" w:type="dxa"/>
                        </w:tblCellMar>
                      </w:tblPr>
                      <w:tblGrid>
                        <w:gridCol w:w="163"/>
                        <w:gridCol w:w="143"/>
                        <w:gridCol w:w="143"/>
                        <w:gridCol w:w="109"/>
                        <w:gridCol w:w="109"/>
                        <w:gridCol w:w="109"/>
                        <w:gridCol w:w="848"/>
                        <w:gridCol w:w="848"/>
                        <w:gridCol w:w="1199"/>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each Performance Award including, without limitation: (a) the amount of any cash bonus, (b) the number of Shares deemed subject to a Performance Award, (c) the Performance Factors and Performance Period that will determine the time and extent to which each Performance Award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10.3.</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the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11.</w:t>
      </w:r>
      <w:r>
        <w:rPr>
          <w:rFonts w:ascii="Graphik Semibold;sans-serif" w:hAnsi="Graphik Semibold;sans-serif"/>
          <w:b/>
          <w:color w:val="1D1D1D"/>
          <w:sz w:val="18"/>
        </w:rPr>
        <w:t>PAYMENT FOR SHARE PURCHASES.</w:t>
      </w:r>
      <w:r>
        <w:rPr>
          <w:color w:val="1D1D1D"/>
        </w:rPr>
        <w:t xml:space="preserve"> </w:t>
      </w:r>
      <w:r>
        <w:rPr>
          <w:rFonts w:ascii="Graphik Light;sans-serif" w:hAnsi="Graphik Light;sans-serif"/>
          <w:b w:val="false"/>
          <w:color w:val="1D1D1D"/>
          <w:sz w:val="18"/>
        </w:rPr>
        <w:t>Payment from a Participant for Shares purchased pursuant to this Plan may be made in cash or by cash equivalents or, where expressly approved for the Participant by the Committee and where permitted by law (and to the extent not otherwise set forth in the applicable Award Agreement):</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(a)by cancellation of indebtedness of the Company owed to the Participant;</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(b)by surrender of shares of the Company held by the Participant that have a Fair Market Value on the date of surrender equal to the aggregate Exercise Price of the Shares as to which said Award will be exercised or settled;</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(c)by waiver of compensation due or accrued to the Participant for services rendered or to be rendered to the Company or a Parent, Subsidiary or Affiliate;</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(d)by consideration received by the Company pursuant to a broker-assisted or other form of cashless exercise program implemented by the Company in connection with this Plan;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(e)by any combination of the foregoing; or</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(f)by any other method of payment as is permitted by applicable law.</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Committee may limit the availability of any method of payment, to the extent the Committee determines, in its discretion, such limitation is necessary or advisable to comply with applicable law or facilitate the administration of this Plan. Unless determined otherwise by the Committee, all payments under any of the methods indicated above shall be made in United States dollars.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12.</w:t>
      </w:r>
      <w:r>
        <w:rPr>
          <w:rFonts w:ascii="Graphik Semibold;sans-serif" w:hAnsi="Graphik Semibold;sans-serif"/>
          <w:b/>
          <w:color w:val="1D1D1D"/>
          <w:sz w:val="18"/>
        </w:rPr>
        <w:t xml:space="preserve">GRANTS TO NON-EMPLOYEE DIRECTORS.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12.1.</w:t>
      </w:r>
      <w:r>
        <w:rPr>
          <w:rFonts w:ascii="Graphik Semibold;sans-serif" w:hAnsi="Graphik Semibold;sans-serif"/>
          <w:b/>
          <w:i/>
          <w:color w:val="1D1D1D"/>
          <w:sz w:val="18"/>
        </w:rPr>
        <w:t>Grants and Eligibility.</w:t>
      </w:r>
      <w:r>
        <w:rPr>
          <w:color w:val="1D1D1D"/>
        </w:rPr>
        <w:t xml:space="preserve"> </w:t>
      </w:r>
      <w:r>
        <w:rPr>
          <w:rFonts w:ascii="Graphik Light;sans-serif" w:hAnsi="Graphik Light;sans-serif"/>
          <w:b w:val="false"/>
          <w:color w:val="1D1D1D"/>
          <w:sz w:val="18"/>
        </w:rPr>
        <w:t xml:space="preserve">Awards pursuant to this Section 12 shall be granted only to Non-Employee Directors who are eligible to receive any type of Award offered under this Plan except ISOs. Awards pursuant to this Section 12 may be automatically made pursuant to a policy adopted by the Board, or made from time to time as determined in the discretion of the Board.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12.2.</w:t>
      </w:r>
      <w:r>
        <w:rPr>
          <w:rFonts w:ascii="Graphik Semibold;sans-serif" w:hAnsi="Graphik Semibold;sans-serif"/>
          <w:b/>
          <w:i/>
          <w:color w:val="1D1D1D"/>
          <w:sz w:val="18"/>
        </w:rPr>
        <w:t>Calendar Year Limitation.</w:t>
      </w:r>
      <w:r>
        <w:rPr>
          <w:color w:val="1D1D1D"/>
        </w:rPr>
        <w:t xml:space="preserve"> </w:t>
      </w:r>
      <w:r>
        <w:rPr>
          <w:rFonts w:ascii="Graphik Light;sans-serif" w:hAnsi="Graphik Light;sans-serif"/>
          <w:b w:val="false"/>
          <w:color w:val="1D1D1D"/>
          <w:sz w:val="18"/>
        </w:rPr>
        <w:t xml:space="preserve">A Non-Employee Director may not receive Awards under this Plan that, when combined with cash compensation received for service as a Non-Employee Director, exceed (x) $750,000 in value (as described below) in any calendar year, for continuing Non-Employee Directors, or (y) $1,500,000 in value (as described below) in the initial calendar year, for a new Non-Employee Director. The value of Awards for purposes of complying with this maximum will be determined as follows: (a) for Options and SARs, grant date fair value will be calculated using the Black-Scholes valuation methodology or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835660"/>
                <wp:effectExtent l="0" t="0" r="0" b="0"/>
                <wp:wrapNone/>
                <wp:docPr id="267" name="Frame97"/>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670"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40"/>
                        <w:gridCol w:w="140"/>
                        <w:gridCol w:w="19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Award, or (ii) calculating the product using an average of the Fair Market Value over a number of trading days and the aggregate number of Shares subject to the Award as determined by the Committee. Awards granted to an individual while they were serving in the capacity as an Employee or while they were a Consultant but not a Non-Employee Director will not count for purposes of the limitations set forth in this Section 12.2.</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12.3.</w:t>
      </w:r>
      <w:r>
        <w:rPr>
          <w:rFonts w:ascii="Graphik Semibold;sans-serif" w:hAnsi="Graphik Semibold;sans-serif"/>
          <w:b/>
          <w:i/>
          <w:color w:val="1D1D1D"/>
          <w:sz w:val="18"/>
        </w:rPr>
        <w:t>Vesting, Exercisability and Settlement.</w:t>
      </w:r>
      <w:r>
        <w:rPr>
          <w:color w:val="1D1D1D"/>
        </w:rPr>
        <w:t xml:space="preserve"> </w:t>
      </w:r>
      <w:r>
        <w:rPr>
          <w:rFonts w:ascii="Graphik Light;sans-serif" w:hAnsi="Graphik Light;sans-serif"/>
          <w:b w:val="false"/>
          <w:color w:val="1D1D1D"/>
          <w:sz w:val="18"/>
        </w:rPr>
        <w:t>Except as set forth in Section 21, Awards will vest, become exercisable, and be settled as determined by the Board. The Exercise Price of Options and SARs granted to Non-Employee Directors will not be less than the Fair Market Value of the Shares at the time that such Option or SAR is granted.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12.4.</w:t>
      </w:r>
      <w:r>
        <w:rPr>
          <w:rFonts w:ascii="Graphik Semibold;sans-serif" w:hAnsi="Graphik Semibold;sans-serif"/>
          <w:b/>
          <w:i/>
          <w:color w:val="1D1D1D"/>
          <w:sz w:val="18"/>
        </w:rPr>
        <w:t>Election to Receive Awards in Lieu of Cash.</w:t>
      </w:r>
      <w:r>
        <w:rPr>
          <w:color w:val="1D1D1D"/>
        </w:rPr>
        <w:t xml:space="preserve"> </w:t>
      </w:r>
      <w:r>
        <w:rPr>
          <w:rFonts w:ascii="Graphik Light;sans-serif" w:hAnsi="Graphik Light;sans-serif"/>
          <w:b w:val="false"/>
          <w:color w:val="1D1D1D"/>
          <w:sz w:val="18"/>
        </w:rPr>
        <w:t>If permitted by the Committee, a Non-Employee Director may elect to receive his or her annual retainer payments and/or meeting fees from the Company in the form of cash or Awards or a combination thereof, as determined by the Committee. Such Awards will be issued under this Plan. An election under this Section 12.4 will be filed with the Company on the form prescribed by the Company.</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13.</w:t>
      </w:r>
      <w:r>
        <w:rPr>
          <w:rFonts w:ascii="Graphik Semibold;sans-serif" w:hAnsi="Graphik Semibold;sans-serif"/>
          <w:b/>
          <w:color w:val="1D1D1D"/>
          <w:sz w:val="18"/>
        </w:rPr>
        <w:t>WITHHOLDING TAXES.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13.1.</w:t>
      </w:r>
      <w:r>
        <w:rPr>
          <w:rFonts w:ascii="Graphik Semibold;sans-serif" w:hAnsi="Graphik Semibold;sans-serif"/>
          <w:b/>
          <w:i/>
          <w:color w:val="1D1D1D"/>
          <w:sz w:val="18"/>
        </w:rPr>
        <w:t>Withholding Generally.</w:t>
      </w:r>
      <w:r>
        <w:rPr>
          <w:color w:val="1D1D1D"/>
        </w:rPr>
        <w:t xml:space="preserve"> </w:t>
      </w:r>
      <w:r>
        <w:rPr>
          <w:rFonts w:ascii="Graphik Light;sans-serif" w:hAnsi="Graphik Light;sans-serif"/>
          <w:b w:val="false"/>
          <w:color w:val="1D1D1D"/>
          <w:sz w:val="18"/>
        </w:rPr>
        <w:t>Whenever Shares are to be issued in satisfaction of Awards granted under this Plan or a tax event occurs, the Company may require the Participant to remit to the Company, or to the Parent, Subsidiary, or Affiliate, as applicable, employing the Participant an amount sufficient to satisfy applicable U.S. federal, state, local, and international income tax, social insurance, payroll tax, fringe benefits tax, payment on account or other tax-related items (the “Tax-Related Items”) legally due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13.2.</w:t>
      </w:r>
      <w:r>
        <w:rPr>
          <w:rFonts w:ascii="Graphik Semibold;sans-serif" w:hAnsi="Graphik Semibold;sans-serif"/>
          <w:b/>
          <w:i/>
          <w:color w:val="1D1D1D"/>
          <w:sz w:val="18"/>
        </w:rPr>
        <w:t>Stock Withholding.</w:t>
      </w:r>
      <w:r>
        <w:rPr>
          <w:color w:val="1D1D1D"/>
        </w:rPr>
        <w:t xml:space="preserve"> </w:t>
      </w:r>
      <w:r>
        <w:rPr>
          <w:rFonts w:ascii="Graphik Light;sans-serif" w:hAnsi="Graphik Light;sans-serif"/>
          <w:b w:val="false"/>
          <w:color w:val="1D1D1D"/>
          <w:sz w:val="18"/>
        </w:rPr>
        <w:t>The Committee, or its delegate(s), as permitted by applicable law, in its sole discretion and pursuant to such procedures as it may specify from time to time and subject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14.</w:t>
      </w:r>
      <w:r>
        <w:rPr>
          <w:rFonts w:ascii="Graphik Semibold;sans-serif" w:hAnsi="Graphik Semibold;sans-serif"/>
          <w:b/>
          <w:color w:val="1D1D1D"/>
          <w:sz w:val="18"/>
        </w:rPr>
        <w:t>TRANSFERABILITY.</w:t>
      </w:r>
      <w:r>
        <w:rPr>
          <w:color w:val="1D1D1D"/>
        </w:rPr>
        <w:t xml:space="preserve"> </w:t>
      </w:r>
      <w:r>
        <w:rPr>
          <w:rFonts w:ascii="Graphik Light;sans-serif" w:hAnsi="Graphik Light;sans-serif"/>
          <w:b w:val="false"/>
          <w:color w:val="1D1D1D"/>
          <w:sz w:val="18"/>
        </w:rPr>
        <w:t>Unless determined otherwise by the Committee,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15.</w:t>
      </w:r>
      <w:r>
        <w:rPr>
          <w:rFonts w:ascii="Graphik Semibold;sans-serif" w:hAnsi="Graphik Semibold;sans-serif"/>
          <w:b/>
          <w:color w:val="1D1D1D"/>
          <w:sz w:val="18"/>
        </w:rPr>
        <w:t>PRIVILEGES OF STOCK OWNERSHIP; RESTRICTIONS ON SHARES.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15.1.</w:t>
      </w:r>
      <w:r>
        <w:rPr>
          <w:rFonts w:ascii="Graphik Semibold;sans-serif" w:hAnsi="Graphik Semibold;sans-serif"/>
          <w:b/>
          <w:i/>
          <w:color w:val="1D1D1D"/>
          <w:sz w:val="18"/>
        </w:rPr>
        <w:t>Voting and Dividends.</w:t>
      </w:r>
      <w:r>
        <w:rPr>
          <w:color w:val="1D1D1D"/>
        </w:rPr>
        <w:t xml:space="preserve"> </w:t>
      </w:r>
      <w:r>
        <w:rPr>
          <w:rFonts w:ascii="Graphik Light;sans-serif" w:hAnsi="Graphik Light;sans-serif"/>
          <w:b w:val="false"/>
          <w:color w:val="1D1D1D"/>
          <w:sz w:val="18"/>
        </w:rPr>
        <w:t xml:space="preserve">No Participant will have any of the rights of a stockholder with respect to any Shares until the Shares are issued to the Participant, except for any Dividend Equivalent Rights permitted by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660400"/>
                <wp:effectExtent l="0" t="0" r="0" b="0"/>
                <wp:wrapNone/>
                <wp:docPr id="268" name="Frame98"/>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A-10</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or cash dividends, the Participant may become entitled to receive with respect to such Shares by virtue of a stock dividend, cash dividend, stock split or any other change in the corporate or capital structure of the Company will be subject to the same restrictions as the Restricted Stock; provided, further, that the Participant will have no right to such stock dividends, cash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15.2.</w:t>
      </w:r>
      <w:r>
        <w:rPr>
          <w:rFonts w:ascii="Graphik Semibold;sans-serif" w:hAnsi="Graphik Semibold;sans-serif"/>
          <w:b/>
          <w:i/>
          <w:color w:val="1D1D1D"/>
          <w:sz w:val="18"/>
        </w:rPr>
        <w:t>Restrictions on Shares.</w:t>
      </w:r>
      <w:r>
        <w:rPr>
          <w:color w:val="1D1D1D"/>
        </w:rPr>
        <w:t xml:space="preserve"> </w:t>
      </w:r>
      <w:r>
        <w:rPr>
          <w:rFonts w:ascii="Graphik Light;sans-serif" w:hAnsi="Graphik Light;sans-serif"/>
          <w:b w:val="false"/>
          <w:color w:val="1D1D1D"/>
          <w:sz w:val="18"/>
        </w:rPr>
        <w:t>At the discretion of the Committee, the Company may reserve to itself and/or its assignee(s) a right to repurchase (a “Right of Repurchase”)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16.</w:t>
      </w:r>
      <w:r>
        <w:rPr>
          <w:rFonts w:ascii="Graphik Semibold;sans-serif" w:hAnsi="Graphik Semibold;sans-serif"/>
          <w:b/>
          <w:color w:val="1D1D1D"/>
          <w:sz w:val="18"/>
        </w:rPr>
        <w:t>CERTIFICATES.</w:t>
      </w:r>
      <w:r>
        <w:rPr>
          <w:color w:val="1D1D1D"/>
        </w:rPr>
        <w:t xml:space="preserve"> </w:t>
      </w:r>
      <w:r>
        <w:rPr>
          <w:rFonts w:ascii="Graphik Light;sans-serif" w:hAnsi="Graphik Light;sans-serif"/>
          <w:b w:val="false"/>
          <w:color w:val="1D1D1D"/>
          <w:sz w:val="18"/>
        </w:rPr>
        <w:t>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17.</w:t>
      </w:r>
      <w:r>
        <w:rPr>
          <w:rFonts w:ascii="Graphik Semibold;sans-serif" w:hAnsi="Graphik Semibold;sans-serif"/>
          <w:b/>
          <w:color w:val="1D1D1D"/>
          <w:sz w:val="18"/>
        </w:rPr>
        <w:t>ESCROW; PLEDGE OF SHARES.</w:t>
      </w:r>
      <w:r>
        <w:rPr>
          <w:color w:val="1D1D1D"/>
        </w:rPr>
        <w:t xml:space="preserve"> </w:t>
      </w:r>
      <w:r>
        <w:rPr>
          <w:rFonts w:ascii="Graphik Light;sans-serif" w:hAnsi="Graphik Light;sans-serif"/>
          <w:b w:val="false"/>
          <w:color w:val="1D1D1D"/>
          <w:sz w:val="18"/>
        </w:rPr>
        <w:t>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18.</w:t>
      </w:r>
      <w:r>
        <w:rPr>
          <w:rFonts w:ascii="Graphik Semibold;sans-serif" w:hAnsi="Graphik Semibold;sans-serif"/>
          <w:b/>
          <w:color w:val="1D1D1D"/>
          <w:sz w:val="18"/>
        </w:rPr>
        <w:t>REPRICING; EXCHANGE AND BUYOUT OF AWARDS.</w:t>
      </w:r>
      <w:r>
        <w:rPr>
          <w:color w:val="1D1D1D"/>
        </w:rPr>
        <w:t xml:space="preserve"> </w:t>
      </w:r>
      <w:r>
        <w:rPr>
          <w:rFonts w:ascii="Graphik Light;sans-serif" w:hAnsi="Graphik Light;sans-serif"/>
          <w:b w:val="false"/>
          <w:color w:val="1D1D1D"/>
          <w:sz w:val="18"/>
        </w:rPr>
        <w:t xml:space="preserve">The repricing of Options or SARs, including pursuant to an Exchange Program, is not permitted without prior stockholder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835660"/>
                <wp:effectExtent l="0" t="0" r="0" b="0"/>
                <wp:wrapNone/>
                <wp:docPr id="269" name="Frame99"/>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19.</w:t>
      </w:r>
      <w:r>
        <w:rPr>
          <w:rFonts w:ascii="Graphik Semibold;sans-serif" w:hAnsi="Graphik Semibold;sans-serif"/>
          <w:b/>
          <w:color w:val="1D1D1D"/>
          <w:sz w:val="18"/>
        </w:rPr>
        <w:t>SECURITIES LAW AND OTHER REGULATORY COMPLIANCE.</w:t>
      </w:r>
      <w:r>
        <w:rPr>
          <w:color w:val="1D1D1D"/>
        </w:rPr>
        <w:t xml:space="preserve"> </w:t>
      </w:r>
      <w:r>
        <w:rPr>
          <w:rFonts w:ascii="Graphik Light;sans-serif" w:hAnsi="Graphik Light;sans-serif"/>
          <w:b w:val="false"/>
          <w:color w:val="1D1D1D"/>
          <w:sz w:val="18"/>
        </w:rPr>
        <w:t>An Award will not be effective unless such Award is in 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20.</w:t>
      </w:r>
      <w:r>
        <w:rPr>
          <w:rFonts w:ascii="Graphik Semibold;sans-serif" w:hAnsi="Graphik Semibold;sans-serif"/>
          <w:b/>
          <w:color w:val="1D1D1D"/>
          <w:sz w:val="18"/>
        </w:rPr>
        <w:t>NO OBLIGATION TO EMPLOY.</w:t>
      </w:r>
      <w:r>
        <w:rPr>
          <w:color w:val="1D1D1D"/>
        </w:rPr>
        <w:t xml:space="preserve"> </w:t>
      </w:r>
      <w:r>
        <w:rPr>
          <w:rFonts w:ascii="Graphik Light;sans-serif" w:hAnsi="Graphik Light;sans-serif"/>
          <w:b w:val="false"/>
          <w:color w:val="1D1D1D"/>
          <w:sz w:val="18"/>
        </w:rPr>
        <w:t>Nothing in this Plan or any Award granted under this Plan will confer or be deemed to confer 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21.</w:t>
      </w:r>
      <w:r>
        <w:rPr>
          <w:rFonts w:ascii="Graphik Semibold;sans-serif" w:hAnsi="Graphik Semibold;sans-serif"/>
          <w:b/>
          <w:color w:val="1D1D1D"/>
          <w:sz w:val="18"/>
        </w:rPr>
        <w:t>CORPORATE TRANSACTIONS.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21.1.</w:t>
      </w:r>
      <w:r>
        <w:rPr>
          <w:rFonts w:ascii="Graphik Semibold;sans-serif" w:hAnsi="Graphik Semibold;sans-serif"/>
          <w:b/>
          <w:i/>
          <w:color w:val="1D1D1D"/>
          <w:sz w:val="18"/>
        </w:rPr>
        <w:t>Treatment of Awards in the event of Corporate Transaction.</w:t>
      </w:r>
      <w:r>
        <w:rPr>
          <w:color w:val="1D1D1D"/>
        </w:rPr>
        <w:t xml:space="preserve"> </w:t>
      </w:r>
      <w:r>
        <w:rPr>
          <w:rFonts w:ascii="Graphik Light;sans-serif" w:hAnsi="Graphik Light;sans-serif"/>
          <w:b w:val="false"/>
          <w:color w:val="1D1D1D"/>
          <w:sz w:val="18"/>
        </w:rPr>
        <w:t>In the event of a Corporate Transaction any or all outstanding Awards shall be subject to the definitive agreement related thereto, and may be (a) continued, assumed or replaced by the successor corporation, which assumption or replacement shall be binding on all Participants,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(b) substituted by the successor corporation for equivalent awards or substantially similar consideration as was provided to stockholders (after taking into account the existing provisions of the Awards),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(c) replaced with substantially similar shares or other property subject to repurchase restrictions no less favorable to the Participant, (d) immediately vested (and exercisable, as applicable) and settled (as applicable), followed by the cancellation of such Awards upon or immediately prior to the effectiveness of such transaction or (e) 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the Committee determines in good faith that no amount would have been attained upon the exercise of such Award or realization of the Participant’s rights, then such Award may be terminated by the Company without payment, in each case without the Participant’s consent.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the event such successor or acquiring corporation (if any) refuses to continue, assume, convert, replace or substitute Awards or such Awards are not settled for their intrinsic value, as provided above, pursuant to a Corporate Transaction, then notwithstanding any other provision in this Plan to the contrary, such Awards shall have their vesting accelerate as to all Shares subject to such Award (and any applicable right of repurchase fully lapse) immediately prior to the Corporate Transaction and then such Awards will terminate. For purposes of determining the foregoing acceleration, Performance Awards shall be deemed earned and vested at the greater of (a) 100% of target level performance and (b) actual performance through the date of the Corporate Transaction.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If an Award vests in lieu of continuation, assumption, conversion, replacement or substitution in connection with a Corporate Transaction, as provided above, the Committee will notify the Participant in writing or electronically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660400"/>
                <wp:effectExtent l="0" t="0" r="0" b="0"/>
                <wp:wrapNone/>
                <wp:docPr id="270" name="Frame100"/>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A-12</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that such Award will be exercisable for a period of time determined by the Committee in its sole discretion, and such Award will terminate upon the expiration of such period without consideration.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shall have full power and authority to assign the Company’s right to repurchase, right to re-acquire and/or forfeiture rights to such successor or acquiring corporation. Awards need not be treated similarly in a Corporate Transaction and treatment may vary from Award to Award and/or from Participant to Participant.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21.2.</w:t>
      </w:r>
      <w:r>
        <w:rPr>
          <w:rFonts w:ascii="Graphik Semibold;sans-serif" w:hAnsi="Graphik Semibold;sans-serif"/>
          <w:b/>
          <w:i/>
          <w:color w:val="1D1D1D"/>
          <w:sz w:val="18"/>
        </w:rPr>
        <w:t>Assumption of Awards by the Company.</w:t>
      </w:r>
      <w:r>
        <w:rPr>
          <w:color w:val="1D1D1D"/>
        </w:rPr>
        <w:t xml:space="preserve"> </w:t>
      </w:r>
      <w:r>
        <w:rPr>
          <w:rFonts w:ascii="Graphik Light;sans-serif" w:hAnsi="Graphik Light;sans-serif"/>
          <w:b w:val="false"/>
          <w:color w:val="1D1D1D"/>
          <w:sz w:val="18"/>
        </w:rPr>
        <w:t>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this Plan or authorized for grant to a Participant in a calendar year.</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21.3.</w:t>
      </w:r>
      <w:r>
        <w:rPr>
          <w:rFonts w:ascii="Graphik Semibold;sans-serif" w:hAnsi="Graphik Semibold;sans-serif"/>
          <w:b/>
          <w:i/>
          <w:color w:val="1D1D1D"/>
          <w:sz w:val="18"/>
        </w:rPr>
        <w:t>Non-Employee Directors’ Awards.</w:t>
      </w:r>
      <w:r>
        <w:rPr>
          <w:color w:val="1D1D1D"/>
        </w:rPr>
        <w:t xml:space="preserve"> </w:t>
      </w:r>
      <w:r>
        <w:rPr>
          <w:rFonts w:ascii="Graphik Light;sans-serif" w:hAnsi="Graphik Light;sans-serif"/>
          <w:b w:val="false"/>
          <w:color w:val="1D1D1D"/>
          <w:sz w:val="18"/>
        </w:rPr>
        <w:t>Notwithstanding any provision to the contrary herein, in the event of a Corporate Transaction, the vesting of all Awards granted to Non-Employee Directors will accelerate and such Awards will become exercisable (as applicable) in full prior to the consummation of such event at such times and on such conditions as the Committee determines.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22.</w:t>
      </w:r>
      <w:r>
        <w:rPr>
          <w:rFonts w:ascii="Graphik Semibold;sans-serif" w:hAnsi="Graphik Semibold;sans-serif"/>
          <w:b/>
          <w:color w:val="1D1D1D"/>
          <w:sz w:val="18"/>
        </w:rPr>
        <w:t>ADOPTION AND STOCKHOLDER APPROVAL.</w:t>
      </w:r>
      <w:r>
        <w:rPr>
          <w:color w:val="1D1D1D"/>
        </w:rPr>
        <w:t xml:space="preserve"> </w:t>
      </w:r>
      <w:r>
        <w:rPr>
          <w:rFonts w:ascii="Graphik Light;sans-serif" w:hAnsi="Graphik Light;sans-serif"/>
          <w:b w:val="false"/>
          <w:color w:val="1D1D1D"/>
          <w:sz w:val="18"/>
        </w:rPr>
        <w:t>This Plan will be submitted for the approval of the Company’s stockholders, consistent with applicable laws, within twelve (12) months before or after the date this Plan is adopted by the Board.</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23.</w:t>
      </w:r>
      <w:r>
        <w:rPr>
          <w:rFonts w:ascii="Graphik Semibold;sans-serif" w:hAnsi="Graphik Semibold;sans-serif"/>
          <w:b/>
          <w:color w:val="1D1D1D"/>
          <w:sz w:val="18"/>
        </w:rPr>
        <w:t>TERM OF PLAN/GOVERNING LAW.</w:t>
      </w:r>
      <w:r>
        <w:rPr>
          <w:color w:val="1D1D1D"/>
        </w:rPr>
        <w:t xml:space="preserve"> </w:t>
      </w:r>
      <w:r>
        <w:rPr>
          <w:rFonts w:ascii="Graphik Light;sans-serif" w:hAnsi="Graphik Light;sans-serif"/>
          <w:b w:val="false"/>
          <w:color w:val="1D1D1D"/>
          <w:sz w:val="18"/>
        </w:rPr>
        <w:t>Unless earlier terminated as provided herein, this Plan will become effective on the Effective Date and will terminate ten (10) years from the date this Plan is adopted by the Board. After this Plan is terminated or expires, no Awards may be granted but Awards previously granted shall remain outstanding in accordance with their applicable terms and conditions and this Plan’s terms and conditions. This Plan and all Awards granted hereunder will be governed by and construed in accordance with the laws of the State of Delaware (excluding its conflict of laws rules).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24.</w:t>
      </w:r>
      <w:r>
        <w:rPr>
          <w:rFonts w:ascii="Graphik Semibold;sans-serif" w:hAnsi="Graphik Semibold;sans-serif"/>
          <w:b/>
          <w:color w:val="1D1D1D"/>
          <w:sz w:val="18"/>
        </w:rPr>
        <w:t>AMENDMENT OR TERMINATION OF PLAN.</w:t>
      </w:r>
      <w:r>
        <w:rPr>
          <w:color w:val="1D1D1D"/>
        </w:rPr>
        <w:t xml:space="preserve"> </w:t>
      </w:r>
      <w:r>
        <w:rPr>
          <w:rFonts w:ascii="Graphik Light;sans-serif" w:hAnsi="Graphik Light;sans-serif"/>
          <w:b w:val="false"/>
          <w:color w:val="1D1D1D"/>
          <w:sz w:val="18"/>
        </w:rPr>
        <w:t>The Board may at any time terminate or amend this Plan in any respect, including, without 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this Plan will affect any then-outstanding Award unless expressly provided by the Committee. In any event, no termination or amendment of this Plan or any outstanding Award may adversely affect any then outstanding Award without the consent of the Participant, unless such termination or amendment is necessary to comply with applicable law, regulation, or rule.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25.</w:t>
      </w:r>
      <w:r>
        <w:rPr>
          <w:rFonts w:ascii="Graphik Semibold;sans-serif" w:hAnsi="Graphik Semibold;sans-serif"/>
          <w:b/>
          <w:color w:val="1D1D1D"/>
          <w:sz w:val="18"/>
        </w:rPr>
        <w:t>NONEXCLUSIVITY OF THIS PLAN.</w:t>
      </w:r>
      <w:r>
        <w:rPr>
          <w:color w:val="1D1D1D"/>
        </w:rPr>
        <w:t xml:space="preserve"> </w:t>
      </w:r>
      <w:r>
        <w:rPr>
          <w:rFonts w:ascii="Graphik Light;sans-serif" w:hAnsi="Graphik Light;sans-serif"/>
          <w:b w:val="false"/>
          <w:color w:val="1D1D1D"/>
          <w:sz w:val="18"/>
        </w:rPr>
        <w:t xml:space="preserve">Neither the adoption of this Plan by the Board, the submission of this Plan to the stockholders of the Company for approval, nor any provision of this Plan will be construed as creating any limitations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835660"/>
                <wp:effectExtent l="0" t="0" r="0" b="0"/>
                <wp:wrapNone/>
                <wp:docPr id="271" name="Frame101"/>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26.</w:t>
      </w:r>
      <w:r>
        <w:rPr>
          <w:rFonts w:ascii="Graphik Semibold;sans-serif" w:hAnsi="Graphik Semibold;sans-serif"/>
          <w:b/>
          <w:color w:val="1D1D1D"/>
          <w:sz w:val="18"/>
        </w:rPr>
        <w:t>INSIDER TRADING POLICY.</w:t>
      </w:r>
      <w:r>
        <w:rPr>
          <w:color w:val="1D1D1D"/>
        </w:rPr>
        <w:t xml:space="preserve"> </w:t>
      </w:r>
      <w:r>
        <w:rPr>
          <w:rFonts w:ascii="Graphik Light;sans-serif" w:hAnsi="Graphik Light;sans-serif"/>
          <w:b w:val="false"/>
          <w:color w:val="1D1D1D"/>
          <w:sz w:val="18"/>
        </w:rPr>
        <w:t>Each Participant who receives an Award will comply with any policy adopted by the Company from time to time covering transactions in the Company’s securities by Employees, officers, and/or Directors of the Company, as well as with any applicable insider trading or market abuse laws to which the Participant may be subject.</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27.</w:t>
      </w:r>
      <w:r>
        <w:rPr>
          <w:rFonts w:ascii="Graphik Semibold;sans-serif" w:hAnsi="Graphik Semibold;sans-serif"/>
          <w:b/>
          <w:color w:val="1D1D1D"/>
          <w:sz w:val="18"/>
        </w:rPr>
        <w:t>ALL AWARDS SUBJECT TO COMPANY CLAWBACK OR RECOUPMENT POLICY.</w:t>
      </w:r>
      <w:r>
        <w:rPr>
          <w:color w:val="1D1D1D"/>
        </w:rPr>
        <w:t xml:space="preserve"> </w:t>
      </w:r>
      <w:r>
        <w:rPr>
          <w:rFonts w:ascii="Graphik Light;sans-serif" w:hAnsi="Graphik Light;sans-serif"/>
          <w:b w:val="false"/>
          <w:color w:val="1D1D1D"/>
          <w:sz w:val="18"/>
        </w:rPr>
        <w:t>All Awards, subject to applicable law, will be 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28.</w:t>
      </w:r>
      <w:r>
        <w:rPr>
          <w:rFonts w:ascii="Graphik Semibold;sans-serif" w:hAnsi="Graphik Semibold;sans-serif"/>
          <w:b/>
          <w:color w:val="1D1D1D"/>
          <w:sz w:val="18"/>
        </w:rPr>
        <w:t>DEFINITIONS.</w:t>
      </w:r>
      <w:r>
        <w:rPr>
          <w:color w:val="1D1D1D"/>
        </w:rPr>
        <w:t xml:space="preserve"> </w:t>
      </w:r>
      <w:r>
        <w:rPr>
          <w:rFonts w:ascii="Graphik Light;sans-serif" w:hAnsi="Graphik Light;sans-serif"/>
          <w:b w:val="false"/>
          <w:color w:val="1D1D1D"/>
          <w:sz w:val="18"/>
        </w:rPr>
        <w:t>As used in this Plan, and except as elsewhere defined herein, the following terms will have the following meanings: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w:t>
      </w:r>
      <w:r>
        <w:rPr>
          <w:color w:val="1D1D1D"/>
        </w:rPr>
        <w:t>“</w:t>
      </w:r>
      <w:r>
        <w:rPr>
          <w:rFonts w:ascii="Graphik Light;sans-serif" w:hAnsi="Graphik Light;sans-serif"/>
          <w:b w:val="false"/>
          <w:color w:val="1D1D1D"/>
          <w:sz w:val="18"/>
        </w:rPr>
        <w:t>Affiliate” 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w:t>
      </w:r>
      <w:r>
        <w:rPr>
          <w:color w:val="1D1D1D"/>
        </w:rPr>
        <w:t>“</w:t>
      </w:r>
      <w:r>
        <w:rPr>
          <w:rFonts w:ascii="Graphik Light;sans-serif" w:hAnsi="Graphik Light;sans-serif"/>
          <w:b w:val="false"/>
          <w:color w:val="1D1D1D"/>
          <w:sz w:val="18"/>
        </w:rPr>
        <w:t>Award” means any award under this Plan, including any Option, Restricted Stock Award, Stock Bonus, Stock Appreciation Right, Restricted Stock Unit or Performance Award.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w:t>
      </w:r>
      <w:r>
        <w:rPr>
          <w:color w:val="1D1D1D"/>
        </w:rPr>
        <w:t>“</w:t>
      </w:r>
      <w:r>
        <w:rPr>
          <w:rFonts w:ascii="Graphik Light;sans-serif" w:hAnsi="Graphik Light;sans-serif"/>
          <w:b w:val="false"/>
          <w:color w:val="1D1D1D"/>
          <w:sz w:val="18"/>
        </w:rPr>
        <w:t>Award Agreement” means, with respect to each Award, the written or electronic agreement between the Company and the 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w:t>
      </w:r>
      <w:r>
        <w:rPr>
          <w:color w:val="1D1D1D"/>
        </w:rPr>
        <w:t>“</w:t>
      </w:r>
      <w:r>
        <w:rPr>
          <w:rFonts w:ascii="Graphik Light;sans-serif" w:hAnsi="Graphik Light;sans-serif"/>
          <w:b w:val="false"/>
          <w:color w:val="1D1D1D"/>
          <w:sz w:val="18"/>
        </w:rPr>
        <w:t>Board” means the Board of Directors of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28.5.</w:t>
      </w:r>
      <w:r>
        <w:rPr>
          <w:color w:val="1D1D1D"/>
        </w:rPr>
        <w:t>“</w:t>
      </w:r>
      <w:r>
        <w:rPr>
          <w:rFonts w:ascii="Graphik Light;sans-serif" w:hAnsi="Graphik Light;sans-serif"/>
          <w:b w:val="false"/>
          <w:color w:val="1D1D1D"/>
          <w:sz w:val="18"/>
        </w:rPr>
        <w:t xml:space="preserve">Cause” means a determination by the Company (and in the case of Participant who is subject to Section 16 of the Exchange Act, the Committee) that the Participant has committed an act or acts constituting any of the following: (a) willful failure substantially to perform his or her duties and responsibilities to the Company or deliberate violation of a Company policy (including the Company’s code of conduct); (b) commission of any act of fraud, embezzlement, dishonesty or any other willful misconduct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while providing service to the Company, the provision of material aid to a competitor of the Company; (f) willful breach of any of his or her obligations under any written agreement or covenant with the Company; or (g) failure to cooperate with an internal investigation or an investigation by regulatory or law enforcement authorities after being instructed by the Company to cooperate. The determination as to whether Cause for a Participant’s termination exists will be made in good faith by the Company and will be final and binding on the Participant. This definition does not in any way limit the Company’s or any Parent’s or Subsidiary’s or Affiliate’s ability to terminate a Participant’s Service at any time. Notwithstanding the foregoing, the foregoing definition of “Cause” may, in part or in whole, be modified or replaced in each individual employment agreement, Award Agreement, or other applicable agreement with any Participant provided that such document specifically supersedes this definition.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660400"/>
                <wp:effectExtent l="0" t="0" r="0" b="0"/>
                <wp:wrapNone/>
                <wp:docPr id="272" name="Frame102"/>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A-14</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28.6.</w:t>
      </w:r>
      <w:r>
        <w:rPr>
          <w:color w:val="1D1D1D"/>
        </w:rPr>
        <w:t>“</w:t>
      </w:r>
      <w:r>
        <w:rPr>
          <w:rFonts w:ascii="Graphik Light;sans-serif" w:hAnsi="Graphik Light;sans-serif"/>
          <w:b w:val="false"/>
          <w:color w:val="1D1D1D"/>
          <w:sz w:val="18"/>
        </w:rPr>
        <w:t>Code” means the United States Internal Revenue Code of 1986, as amended, and the regulations promulgated thereunder.</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28.7.</w:t>
      </w:r>
      <w:r>
        <w:rPr>
          <w:color w:val="1D1D1D"/>
        </w:rPr>
        <w:t>“</w:t>
      </w:r>
      <w:r>
        <w:rPr>
          <w:rFonts w:ascii="Graphik Light;sans-serif" w:hAnsi="Graphik Light;sans-serif"/>
          <w:b w:val="false"/>
          <w:color w:val="1D1D1D"/>
          <w:sz w:val="18"/>
        </w:rPr>
        <w:t>Committee” means the Compensation Committee of the Board or those persons to whom administration of this Plan, or part of this Plan, has been delegated as permitted by law.</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28.8.</w:t>
      </w:r>
      <w:r>
        <w:rPr>
          <w:color w:val="1D1D1D"/>
        </w:rPr>
        <w:t>“</w:t>
      </w:r>
      <w:r>
        <w:rPr>
          <w:rFonts w:ascii="Graphik Light;sans-serif" w:hAnsi="Graphik Light;sans-serif"/>
          <w:b w:val="false"/>
          <w:color w:val="1D1D1D"/>
          <w:sz w:val="18"/>
        </w:rPr>
        <w:t>Common Stock” means the common stock of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28.9.</w:t>
      </w:r>
      <w:r>
        <w:rPr>
          <w:color w:val="1D1D1D"/>
        </w:rPr>
        <w:t>“</w:t>
      </w:r>
      <w:r>
        <w:rPr>
          <w:rFonts w:ascii="Graphik Light;sans-serif" w:hAnsi="Graphik Light;sans-serif"/>
          <w:b w:val="false"/>
          <w:color w:val="1D1D1D"/>
          <w:sz w:val="18"/>
        </w:rPr>
        <w:t>Company” means Veracyte, Inc., a Delaware corporation, or any successor corporation.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28.10.</w:t>
      </w:r>
      <w:r>
        <w:rPr>
          <w:color w:val="1D1D1D"/>
        </w:rPr>
        <w:t>“</w:t>
      </w:r>
      <w:r>
        <w:rPr>
          <w:rFonts w:ascii="Graphik Light;sans-serif" w:hAnsi="Graphik Light;sans-serif"/>
          <w:b w:val="false"/>
          <w:color w:val="1D1D1D"/>
          <w:sz w:val="18"/>
        </w:rPr>
        <w:t>Consultant” means any natural person, including an advisor or independent contractor, engaged by the Company or a Parent, Subsidiary, or Affiliate to render services to such entity.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28.11.</w:t>
      </w:r>
      <w:r>
        <w:rPr>
          <w:color w:val="1D1D1D"/>
        </w:rPr>
        <w:t>“</w:t>
      </w:r>
      <w:r>
        <w:rPr>
          <w:rFonts w:ascii="Graphik Light;sans-serif" w:hAnsi="Graphik Light;sans-serif"/>
          <w:b w:val="false"/>
          <w:color w:val="1D1D1D"/>
          <w:sz w:val="18"/>
        </w:rPr>
        <w:t>Corporate Transaction” 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definition,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Notwithstanding the foregoing, a transaction shall not constitute a Corporate Transaction if its sole purpose is to change the state of the Company’s incorporation or to create a holding company that will be owned in substantially the same proportions by the persons who held the Company’s securities immediately before such transaction, and a Corporate Transaction shall not be deemed to occur if the Company files a registration statement with the United States Securities and Exchange Commission for the initial or secondary public offering of securities or debt of the Company to the public.</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28.12.</w:t>
      </w:r>
      <w:r>
        <w:rPr>
          <w:color w:val="1D1D1D"/>
        </w:rPr>
        <w:t>“</w:t>
      </w:r>
      <w:r>
        <w:rPr>
          <w:rFonts w:ascii="Graphik Light;sans-serif" w:hAnsi="Graphik Light;sans-serif"/>
          <w:b w:val="false"/>
          <w:color w:val="1D1D1D"/>
          <w:sz w:val="18"/>
        </w:rPr>
        <w:t>Director” means a member of the Board.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28.13.</w:t>
      </w:r>
      <w:r>
        <w:rPr>
          <w:color w:val="1D1D1D"/>
        </w:rPr>
        <w:t>“</w:t>
      </w:r>
      <w:r>
        <w:rPr>
          <w:rFonts w:ascii="Graphik Light;sans-serif" w:hAnsi="Graphik Light;sans-serif"/>
          <w:b w:val="false"/>
          <w:color w:val="1D1D1D"/>
          <w:sz w:val="18"/>
        </w:rPr>
        <w:t>Disability” means in the case of ISOs,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835660"/>
                <wp:effectExtent l="0" t="0" r="0" b="0"/>
                <wp:wrapNone/>
                <wp:docPr id="273" name="Frame103"/>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28.14."Dividend Equivalent Right” means the right of a Participant, granted at the discretion of the Committee or as otherwise provided by the Plan, to receive a credit for the account of such Participant in an amount equal to the cash, stock or other property dividends in amounts equivalent to cash, stock or other property dividends for each Share represented by an Award held by such Participant.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28.15.</w:t>
      </w:r>
      <w:r>
        <w:rPr>
          <w:color w:val="1D1D1D"/>
        </w:rPr>
        <w:t>“</w:t>
      </w:r>
      <w:r>
        <w:rPr>
          <w:rFonts w:ascii="Graphik Light;sans-serif" w:hAnsi="Graphik Light;sans-serif"/>
          <w:b w:val="false"/>
          <w:color w:val="1D1D1D"/>
          <w:sz w:val="18"/>
        </w:rPr>
        <w:t>Effective Date” means the date this Plan is approved by the stockholders of the Company (which shall be within twelve (12) months of the approval of this Plan by the Board).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28.16.</w:t>
      </w:r>
      <w:r>
        <w:rPr>
          <w:color w:val="1D1D1D"/>
        </w:rPr>
        <w:t>“</w:t>
      </w:r>
      <w:r>
        <w:rPr>
          <w:rFonts w:ascii="Graphik Light;sans-serif" w:hAnsi="Graphik Light;sans-serif"/>
          <w:b w:val="false"/>
          <w:color w:val="1D1D1D"/>
          <w:sz w:val="18"/>
        </w:rPr>
        <w:t>Employee” means any person, including officers and Directors, providing services as an employee to the Company or any Parent, Subsidiary, or Affiliate. Neither service as a Director nor payment of a director’s fee by the Company will be sufficient to constitute “employment” by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28.17.</w:t>
      </w:r>
      <w:r>
        <w:rPr>
          <w:color w:val="1D1D1D"/>
        </w:rPr>
        <w:t>“</w:t>
      </w:r>
      <w:r>
        <w:rPr>
          <w:rFonts w:ascii="Graphik Light;sans-serif" w:hAnsi="Graphik Light;sans-serif"/>
          <w:b w:val="false"/>
          <w:color w:val="1D1D1D"/>
          <w:sz w:val="18"/>
        </w:rPr>
        <w:t>Exchange Act” means the United States Securities Exchange Act of 1934, as amended.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28.18.</w:t>
      </w:r>
      <w:r>
        <w:rPr>
          <w:color w:val="1D1D1D"/>
        </w:rPr>
        <w:t>“</w:t>
      </w:r>
      <w:r>
        <w:rPr>
          <w:rFonts w:ascii="Graphik Light;sans-serif" w:hAnsi="Graphik Light;sans-serif"/>
          <w:b w:val="false"/>
          <w:color w:val="1D1D1D"/>
          <w:sz w:val="18"/>
        </w:rPr>
        <w:t>Exchange Program” means a program approved by the Company’s stockholders pursuant to which (i) outstanding Awards are surrendered, cancelled, or exchanged for cash, the same type of Award, or a different Award (or combination thereof) or (ii) the exercise price of an outstanding Award is reduced.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28.19.</w:t>
      </w:r>
      <w:r>
        <w:rPr>
          <w:color w:val="1D1D1D"/>
        </w:rPr>
        <w:t>“</w:t>
      </w:r>
      <w:r>
        <w:rPr>
          <w:rFonts w:ascii="Graphik Light;sans-serif" w:hAnsi="Graphik Light;sans-serif"/>
          <w:b w:val="false"/>
          <w:color w:val="1D1D1D"/>
          <w:sz w:val="18"/>
        </w:rPr>
        <w:t>Exercise Price” means, with respect to an Option, the price at which a holder may purchase the Shares issuable upon exercise of an Option and with respect to a SAR, the price at which the SAR is granted to the holder thereof.</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28.20.</w:t>
      </w:r>
      <w:r>
        <w:rPr>
          <w:color w:val="1D1D1D"/>
        </w:rPr>
        <w:t>“</w:t>
      </w:r>
      <w:r>
        <w:rPr>
          <w:rFonts w:ascii="Graphik Light;sans-serif" w:hAnsi="Graphik Light;sans-serif"/>
          <w:b w:val="false"/>
          <w:color w:val="1D1D1D"/>
          <w:sz w:val="18"/>
        </w:rPr>
        <w:t>Fair Market Value” means, as of any date, the value of a Share, determined as follows: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(a)If such Common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Common Stock is quoted or, if the Common Stock is not quoted on any such system, by the OTC Link Quote system;</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(b)if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determines;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(c)if such Common Stock is publicly traded but is neither listed nor admitted to trading on a national securities exchange, the average of the closing bid and asked prices on the date of determination as reported in The Wall Street Journal or such other source as the Committee determines; or</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(d)by the Board or the Committee in good faith.</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28.21.</w:t>
      </w:r>
      <w:r>
        <w:rPr>
          <w:color w:val="1D1D1D"/>
        </w:rPr>
        <w:t>“</w:t>
      </w:r>
      <w:r>
        <w:rPr>
          <w:rFonts w:ascii="Graphik Light;sans-serif" w:hAnsi="Graphik Light;sans-serif"/>
          <w:b w:val="false"/>
          <w:color w:val="1D1D1D"/>
          <w:sz w:val="18"/>
        </w:rPr>
        <w:t>Insider” means an officer or Director of the Company or any other person whose transactions in the Company’s Common Stock are subject to Section 16 of the Exchange Act.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28.22.</w:t>
      </w:r>
      <w:r>
        <w:rPr>
          <w:color w:val="1D1D1D"/>
        </w:rPr>
        <w:t>“</w:t>
      </w:r>
      <w:r>
        <w:rPr>
          <w:rFonts w:ascii="Graphik Light;sans-serif" w:hAnsi="Graphik Light;sans-serif"/>
          <w:b w:val="false"/>
          <w:color w:val="1D1D1D"/>
          <w:sz w:val="18"/>
        </w:rPr>
        <w:t>IRS” means the United States Internal Revenue Service.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28.23.</w:t>
      </w:r>
      <w:r>
        <w:rPr>
          <w:color w:val="1D1D1D"/>
        </w:rPr>
        <w:t>“</w:t>
      </w:r>
      <w:r>
        <w:rPr>
          <w:rFonts w:ascii="Graphik Light;sans-serif" w:hAnsi="Graphik Light;sans-serif"/>
          <w:b w:val="false"/>
          <w:color w:val="1D1D1D"/>
          <w:sz w:val="18"/>
        </w:rPr>
        <w:t>Non-Employee Director” means a Director who is not an Employee of the Company or any Parent, Subsidiary, or Affiliate.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28.24.</w:t>
      </w:r>
      <w:r>
        <w:rPr>
          <w:color w:val="1D1D1D"/>
        </w:rPr>
        <w:t>“</w:t>
      </w:r>
      <w:r>
        <w:rPr>
          <w:rFonts w:ascii="Graphik Light;sans-serif" w:hAnsi="Graphik Light;sans-serif"/>
          <w:b w:val="false"/>
          <w:color w:val="1D1D1D"/>
          <w:sz w:val="18"/>
        </w:rPr>
        <w:t>Option” means an Award as defined in Section 5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28.25.</w:t>
      </w:r>
      <w:r>
        <w:rPr>
          <w:color w:val="1D1D1D"/>
        </w:rPr>
        <w:t>“</w:t>
      </w:r>
      <w:r>
        <w:rPr>
          <w:rFonts w:ascii="Graphik Light;sans-serif" w:hAnsi="Graphik Light;sans-serif"/>
          <w:b w:val="false"/>
          <w:color w:val="1D1D1D"/>
          <w:sz w:val="18"/>
        </w:rPr>
        <w:t>Parent”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28.26.</w:t>
      </w:r>
      <w:r>
        <w:rPr>
          <w:color w:val="1D1D1D"/>
        </w:rPr>
        <w:t>“</w:t>
      </w:r>
      <w:r>
        <w:rPr>
          <w:rFonts w:ascii="Graphik Light;sans-serif" w:hAnsi="Graphik Light;sans-serif"/>
          <w:b w:val="false"/>
          <w:color w:val="1D1D1D"/>
          <w:sz w:val="18"/>
        </w:rPr>
        <w:t>Participant” means a person who holds an Award under this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660400"/>
                <wp:effectExtent l="0" t="0" r="0" b="0"/>
                <wp:wrapNone/>
                <wp:docPr id="274" name="Frame104"/>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A-16</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28.27.</w:t>
      </w:r>
      <w:r>
        <w:rPr>
          <w:color w:val="1D1D1D"/>
        </w:rPr>
        <w:t>“</w:t>
      </w:r>
      <w:r>
        <w:rPr>
          <w:rFonts w:ascii="Graphik Light;sans-serif" w:hAnsi="Graphik Light;sans-serif"/>
          <w:b w:val="false"/>
          <w:color w:val="1D1D1D"/>
          <w:sz w:val="18"/>
        </w:rPr>
        <w:t>Performance Award” means an Award as defined in Section 10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28.28.</w:t>
      </w:r>
      <w:r>
        <w:rPr>
          <w:color w:val="1D1D1D"/>
        </w:rPr>
        <w:t>“</w:t>
      </w:r>
      <w:r>
        <w:rPr>
          <w:rFonts w:ascii="Graphik Light;sans-serif" w:hAnsi="Graphik Light;sans-serif"/>
          <w:b w:val="false"/>
          <w:color w:val="1D1D1D"/>
          <w:sz w:val="18"/>
        </w:rPr>
        <w:t>Performance Factors” means any of the factors selected by the Committee and specified in an Award Agreement, from among the 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(a)profit before tax;</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(b)billings;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(c)revenue;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(d)net revenue or return on operating revenue;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(e)earnings (which may include earnings before interest and taxes, earnings before taxes, net earnings, stock-based compensation expenses, depreciation, and amortization);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(f)operating income;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(g)operating margin;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(h)operating profit;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(i)controllable operating profit or net operating profit;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(j)net profit;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(k)gross margin;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(l)cost, operating expenses or operating expenses as a percentage of revenue;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(m)net income;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(n)earning per share;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(o)total stockholder return or relative total stockholder return;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(p)market share or market segment share;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(q)return on assets or net assets;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(r)the Company’s stock price;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(s)growth in stockholder value relative to a pre-determined index;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(t)return on equity;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(u)return on capital or on invested capital;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(v)cash flow (including free cash flow or operating cash flows) or cash flow margins;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(w)cash conversion cycle;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(x)economic value added;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(y)individual confidential business objectives;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(z)contract awards or backlog;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(aa)overhead or other expense reduction;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(bb)credit rating;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(cc)strategic plan development and implementation;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(dd)succession plan development and implementation; </w:t>
      </w:r>
    </w:p>
    <w:p>
      <w:pPr>
        <w:pStyle w:val="TextBody"/>
        <w:bidi w:val="0"/>
        <w:spacing w:lineRule="auto" w:line="268" w:before="0" w:after="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(ee)talent, retention, and culture;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835660"/>
                <wp:effectExtent l="0" t="0" r="0" b="0"/>
                <wp:wrapNone/>
                <wp:docPr id="275" name="Frame105"/>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(ff)customer indicators and/or satisfaction;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(gg)new product invention or innovation;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(hh)achievement of target levels of discovery and/or development of products and services, including but not limited to research or regulatory achievements; attainment of research and development milestones;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(ii)third-party coverage and/or reimbursement objectives;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(jj)test volume metrics;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(kk)improvements in productivity;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(ll)bookings;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(mm)attainment of objective operating goals and employee metrics;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(nn)sales;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(oo)expenses;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(pp)balance of cash, cash equivalents, and marketable securities;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(qq)completion of an identified special project;</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(rr)completion of a joint venture or other corporate transaction;</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(ss)employee satisfaction and/or retention;</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(tt)research and development expenses;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(uu)working capital targets and changes in working capital;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(vv)net new annual contract value;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(ww)net expansion rate; and</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(xx)any other metric that is capable of measurement as determined by the Committee.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28.29.</w:t>
      </w:r>
      <w:r>
        <w:rPr>
          <w:color w:val="1D1D1D"/>
        </w:rPr>
        <w:t>“</w:t>
      </w:r>
      <w:r>
        <w:rPr>
          <w:rFonts w:ascii="Graphik Light;sans-serif" w:hAnsi="Graphik Light;sans-serif"/>
          <w:b w:val="false"/>
          <w:color w:val="1D1D1D"/>
          <w:sz w:val="18"/>
        </w:rPr>
        <w:t>Performance Period” 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28.30.</w:t>
      </w:r>
      <w:r>
        <w:rPr>
          <w:color w:val="1D1D1D"/>
        </w:rPr>
        <w:t>“</w:t>
      </w:r>
      <w:r>
        <w:rPr>
          <w:rFonts w:ascii="Graphik Light;sans-serif" w:hAnsi="Graphik Light;sans-serif"/>
          <w:b w:val="false"/>
          <w:color w:val="1D1D1D"/>
          <w:sz w:val="18"/>
        </w:rPr>
        <w:t>Permitted Transferee” 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28.31.</w:t>
      </w:r>
      <w:r>
        <w:rPr>
          <w:color w:val="1D1D1D"/>
        </w:rPr>
        <w:t>“</w:t>
      </w:r>
      <w:r>
        <w:rPr>
          <w:rFonts w:ascii="Graphik Light;sans-serif" w:hAnsi="Graphik Light;sans-serif"/>
          <w:b w:val="false"/>
          <w:color w:val="1D1D1D"/>
          <w:sz w:val="18"/>
        </w:rPr>
        <w:t>Plan” means this Veracyte, Inc. 2023 Equity Incentive Plan, as amended.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28.32.</w:t>
      </w:r>
      <w:r>
        <w:rPr>
          <w:color w:val="1D1D1D"/>
        </w:rPr>
        <w:t>“</w:t>
      </w:r>
      <w:r>
        <w:rPr>
          <w:rFonts w:ascii="Graphik Light;sans-serif" w:hAnsi="Graphik Light;sans-serif"/>
          <w:b w:val="false"/>
          <w:color w:val="1D1D1D"/>
          <w:sz w:val="18"/>
        </w:rPr>
        <w:t xml:space="preserve">Prior Plan” means the Veracyte, Inc. 2013 Stock Incentive Plan.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28.33.</w:t>
      </w:r>
      <w:r>
        <w:rPr>
          <w:color w:val="1D1D1D"/>
        </w:rPr>
        <w:t>“</w:t>
      </w:r>
      <w:r>
        <w:rPr>
          <w:rFonts w:ascii="Graphik Light;sans-serif" w:hAnsi="Graphik Light;sans-serif"/>
          <w:b w:val="false"/>
          <w:color w:val="1D1D1D"/>
          <w:sz w:val="18"/>
        </w:rPr>
        <w:t>Purchase Price” means the price to be paid for Shares acquired under this Plan, other than Shares acquired upon exercise of an Option or SAR.</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28.34.</w:t>
      </w:r>
      <w:r>
        <w:rPr>
          <w:color w:val="1D1D1D"/>
        </w:rPr>
        <w:t>“</w:t>
      </w:r>
      <w:r>
        <w:rPr>
          <w:rFonts w:ascii="Graphik Light;sans-serif" w:hAnsi="Graphik Light;sans-serif"/>
          <w:b w:val="false"/>
          <w:color w:val="1D1D1D"/>
          <w:sz w:val="18"/>
        </w:rPr>
        <w:t xml:space="preserve">Restricted Stock Award” means an Award as defined in Section 6 and granted under this Plan, or issued pursuant to the early exercise of an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660400"/>
                <wp:effectExtent l="0" t="0" r="0" b="0"/>
                <wp:wrapNone/>
                <wp:docPr id="276" name="Frame106"/>
                <a:graphic xmlns:a="http://schemas.openxmlformats.org/drawingml/2006/main">
                  <a:graphicData uri="http://schemas.microsoft.com/office/word/2010/wordprocessingShape">
                    <wps:wsp>
                      <wps:cNvSpPr txBox="1"/>
                      <wps:spPr>
                        <a:xfrm>
                          <a:off x="0" y="0"/>
                          <a:ext cx="6480175" cy="660400"/>
                        </a:xfrm>
                        <a:prstGeom prst="rect"/>
                        <a:solidFill>
                          <a:srgbClr val="FFFFFF"/>
                        </a:solidFill>
                      </wps:spPr>
                      <wps:txb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pt;mso-wrap-distance-left:0pt;mso-wrap-distance-right:0pt;mso-wrap-distance-top:0pt;mso-wrap-distance-bottom:0pt;margin-top:0pt;mso-position-vertical:top;mso-position-vertical-relative:text;margin-left:0pt;mso-position-horizontal:left;mso-position-horizontal-relative:text">
                <v:textbox>
                  <w:txbxContent>
                    <w:tbl>
                      <w:tblPr>
                        <w:tblW w:w="3791" w:type="dxa"/>
                        <w:jc w:val="center"/>
                        <w:tblInd w:w="0" w:type="dxa"/>
                        <w:tblLayout w:type="fixed"/>
                        <w:tblCellMar>
                          <w:top w:w="28" w:type="dxa"/>
                          <w:left w:w="28" w:type="dxa"/>
                          <w:bottom w:w="28" w:type="dxa"/>
                          <w:right w:w="28" w:type="dxa"/>
                        </w:tblCellMar>
                      </w:tblPr>
                      <w:tblGrid>
                        <w:gridCol w:w="205"/>
                        <w:gridCol w:w="181"/>
                        <w:gridCol w:w="183"/>
                        <w:gridCol w:w="109"/>
                        <w:gridCol w:w="109"/>
                        <w:gridCol w:w="109"/>
                        <w:gridCol w:w="848"/>
                        <w:gridCol w:w="848"/>
                        <w:gridCol w:w="1199"/>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rFonts w:ascii="Graphik Semibold;sans-serif" w:hAnsi="Graphik Semibold;sans-serif"/>
                                <w:b/>
                                <w:color w:val="1D1D1D"/>
                                <w:sz w:val="16"/>
                              </w:rPr>
                            </w:pPr>
                            <w:r>
                              <w:rPr>
                                <w:rFonts w:ascii="Graphik Semibold;sans-serif" w:hAnsi="Graphik Semibold;sans-serif"/>
                                <w:b/>
                                <w:color w:val="1D1D1D"/>
                                <w:sz w:val="16"/>
                              </w:rPr>
                              <w:t>A-18</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Graphik Medium;sans-serif" w:hAnsi="Graphik Medium;sans-serif"/>
          <w:b/>
          <w:color w:val="102753"/>
          <w:sz w:val="16"/>
        </w:rPr>
      </w:pPr>
      <w:r>
        <w:rPr>
          <w:rFonts w:ascii="Graphik Medium;sans-serif" w:hAnsi="Graphik Medium;sans-serif"/>
          <w:b/>
          <w:color w:val="102753"/>
          <w:sz w:val="16"/>
        </w:rPr>
        <w:t>Appendix 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28.35.</w:t>
      </w:r>
      <w:r>
        <w:rPr>
          <w:color w:val="1D1D1D"/>
        </w:rPr>
        <w:t>“</w:t>
      </w:r>
      <w:r>
        <w:rPr>
          <w:rFonts w:ascii="Graphik Light;sans-serif" w:hAnsi="Graphik Light;sans-serif"/>
          <w:b w:val="false"/>
          <w:color w:val="1D1D1D"/>
          <w:sz w:val="18"/>
        </w:rPr>
        <w:t>Restricted Stock Unit” means an Award as defined in Section 9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28.36.</w:t>
      </w:r>
      <w:r>
        <w:rPr>
          <w:color w:val="1D1D1D"/>
        </w:rPr>
        <w:t>“</w:t>
      </w:r>
      <w:r>
        <w:rPr>
          <w:rFonts w:ascii="Graphik Light;sans-serif" w:hAnsi="Graphik Light;sans-serif"/>
          <w:b w:val="false"/>
          <w:color w:val="1D1D1D"/>
          <w:sz w:val="18"/>
        </w:rPr>
        <w:t xml:space="preserve">SEC” means the United States Securities and Exchange Commission.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28.37.</w:t>
      </w:r>
      <w:r>
        <w:rPr>
          <w:color w:val="1D1D1D"/>
        </w:rPr>
        <w:t>“</w:t>
      </w:r>
      <w:r>
        <w:rPr>
          <w:rFonts w:ascii="Graphik Light;sans-serif" w:hAnsi="Graphik Light;sans-serif"/>
          <w:b w:val="false"/>
          <w:color w:val="1D1D1D"/>
          <w:sz w:val="18"/>
        </w:rPr>
        <w:t>Securities Act” means the United States Securities Act of 1933, as amended.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28.38.</w:t>
      </w:r>
      <w:r>
        <w:rPr>
          <w:color w:val="1D1D1D"/>
        </w:rPr>
        <w:t>“</w:t>
      </w:r>
      <w:r>
        <w:rPr>
          <w:rFonts w:ascii="Graphik Light;sans-serif" w:hAnsi="Graphik Light;sans-serif"/>
          <w:b w:val="false"/>
          <w:color w:val="1D1D1D"/>
          <w:sz w:val="18"/>
        </w:rPr>
        <w:t>Service” will mean service as an Employee, Consultant, Director, or Non-Employee Director, subject to such further limitations as may be set forth in this Plan or the applicable Award Agreement. Service does not terminate when a Participant goes on a bona fide leave of absence that (a) was approved by the Company in writing or (b) is taken pursuant to a formal policy adopted from time to time by the Company and provided to Participants in writing, if the terms of such leave, as applicable, provide for continued Service crediting, or when continued Service crediting is required by applicable law. However, for purposes of determining whether an Option qualifies to be treated for tax purposes as an ISO, an Employee’s employment will be treated as terminating three months after such Employee commenced leave, unless such Employee’s right to return to active work is guaranteed by law or by a contract.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or during such change in working hours, as it may deem appropriate, except that in no event may an Award be exercised after the expiration of the term set forth in the applicable Award Agreement. A Participant will have terminated Service as of the date such Participant ceases to provide Service (regardless of whether the termination is in breach of local employment laws or is later found to be invalid) and Service will not be extended by any notice period or garden leave mandated by local law, provided, however, that a change in status from and amongst Employee, Consultant, Director or Non-Employee Director will not terminate the Participant’s Service, unless determined by the Committee, in its discretion. The Committee will have sole discretion to determine whether a Participant has ceased to provide Service and the effective date on which the Participant ceased to provide Service.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28.39.</w:t>
      </w:r>
      <w:r>
        <w:rPr>
          <w:color w:val="1D1D1D"/>
        </w:rPr>
        <w:t>“</w:t>
      </w:r>
      <w:r>
        <w:rPr>
          <w:rFonts w:ascii="Graphik Light;sans-serif" w:hAnsi="Graphik Light;sans-serif"/>
          <w:b w:val="false"/>
          <w:color w:val="1D1D1D"/>
          <w:sz w:val="18"/>
        </w:rPr>
        <w:t>Shares” means shares of the Common Stock and the common stock of any successor entity of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28.40.</w:t>
      </w:r>
      <w:r>
        <w:rPr>
          <w:color w:val="1D1D1D"/>
        </w:rPr>
        <w:t>“</w:t>
      </w:r>
      <w:r>
        <w:rPr>
          <w:rFonts w:ascii="Graphik Light;sans-serif" w:hAnsi="Graphik Light;sans-serif"/>
          <w:b w:val="false"/>
          <w:color w:val="1D1D1D"/>
          <w:sz w:val="18"/>
        </w:rPr>
        <w:t>Stock Appreciation Right” means an Award defined in Section 8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28.41.</w:t>
      </w:r>
      <w:r>
        <w:rPr>
          <w:color w:val="1D1D1D"/>
        </w:rPr>
        <w:t>“</w:t>
      </w:r>
      <w:r>
        <w:rPr>
          <w:rFonts w:ascii="Graphik Light;sans-serif" w:hAnsi="Graphik Light;sans-serif"/>
          <w:b w:val="false"/>
          <w:color w:val="1D1D1D"/>
          <w:sz w:val="18"/>
        </w:rPr>
        <w:t>Stock Bonus” means an Award defined in Section 7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28.42.</w:t>
      </w:r>
      <w:r>
        <w:rPr>
          <w:color w:val="1D1D1D"/>
        </w:rPr>
        <w:t>“</w:t>
      </w:r>
      <w:r>
        <w:rPr>
          <w:rFonts w:ascii="Graphik Light;sans-serif" w:hAnsi="Graphik Light;sans-serif"/>
          <w:b w:val="false"/>
          <w:color w:val="1D1D1D"/>
          <w:sz w:val="18"/>
        </w:rPr>
        <w:t>Subsidiary”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28.43.</w:t>
      </w:r>
      <w:r>
        <w:rPr>
          <w:color w:val="1D1D1D"/>
        </w:rPr>
        <w:t>“</w:t>
      </w:r>
      <w:r>
        <w:rPr>
          <w:rFonts w:ascii="Graphik Light;sans-serif" w:hAnsi="Graphik Light;sans-serif"/>
          <w:b w:val="false"/>
          <w:color w:val="1D1D1D"/>
          <w:sz w:val="18"/>
        </w:rPr>
        <w:t>Treasury Regulations” means regulations promulgated by the United States Treasury Department.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28.44.</w:t>
      </w:r>
      <w:r>
        <w:rPr>
          <w:color w:val="1D1D1D"/>
        </w:rPr>
        <w:t>“</w:t>
      </w:r>
      <w:r>
        <w:rPr>
          <w:rFonts w:ascii="Graphik Light;sans-serif" w:hAnsi="Graphik Light;sans-serif"/>
          <w:b w:val="false"/>
          <w:color w:val="1D1D1D"/>
          <w:sz w:val="18"/>
        </w:rPr>
        <w:t xml:space="preserve">Unvested Shares” means Shares that have not yet vested or are subject to a right of repurchase in favor of the Company (or any successor thereto).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835660"/>
                <wp:effectExtent l="0" t="0" r="0" b="0"/>
                <wp:wrapNone/>
                <wp:docPr id="277" name="Frame107"/>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791" w:type="dxa"/>
                        <w:jc w:val="center"/>
                        <w:tblInd w:w="0" w:type="dxa"/>
                        <w:tblLayout w:type="fixed"/>
                        <w:tblCellMar>
                          <w:top w:w="28" w:type="dxa"/>
                          <w:left w:w="28" w:type="dxa"/>
                          <w:bottom w:w="28" w:type="dxa"/>
                          <w:right w:w="28" w:type="dxa"/>
                        </w:tblCellMar>
                      </w:tblPr>
                      <w:tblGrid>
                        <w:gridCol w:w="1038"/>
                        <w:gridCol w:w="910"/>
                        <w:gridCol w:w="916"/>
                        <w:gridCol w:w="109"/>
                        <w:gridCol w:w="109"/>
                        <w:gridCol w:w="109"/>
                        <w:gridCol w:w="175"/>
                        <w:gridCol w:w="175"/>
                        <w:gridCol w:w="25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left"/>
                              <w:rPr/>
                            </w:pPr>
                            <w:r>
                              <w:rPr>
                                <w:rFonts w:ascii="Graphik Semibold;sans-serif" w:hAnsi="Graphik Semibold;sans-serif"/>
                                <w:b/>
                                <w:color w:val="1D1D1D"/>
                                <w:sz w:val="16"/>
                              </w:rPr>
                              <w:t xml:space="preserve">Veracyte </w:t>
                            </w:r>
                            <w:r>
                              <w:rPr>
                                <w:rFonts w:ascii="Graphik;sans-serif" w:hAnsi="Graphik;sans-serif"/>
                                <w:b w:val="false"/>
                                <w:color w:val="1D1D1D"/>
                                <w:sz w:val="16"/>
                              </w:rPr>
                              <w:t>2025 Proxy Statement</w:t>
                            </w:r>
                          </w:p>
                        </w:tc>
                        <w:tc>
                          <w:tcPr>
                            <w:tcW w:w="327" w:type="dxa"/>
                            <w:gridSpan w:val="3"/>
                            <w:tcBorders>
                              <w:top w:val="single" w:sz="8" w:space="0" w:color="1D1D1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1D1D1D"/>
                            </w:tcBorders>
                            <w:tcMar>
                              <w:top w:w="30" w:type="dxa"/>
                              <w:left w:w="0" w:type="dxa"/>
                              <w:bottom w:w="0" w:type="dxa"/>
                              <w:right w:w="0" w:type="dxa"/>
                            </w:tcMar>
                            <w:vAlign w:val="center"/>
                          </w:tcPr>
                          <w:p>
                            <w:pPr>
                              <w:pStyle w:val="TableContents"/>
                              <w:bidi w:val="0"/>
                              <w:spacing w:lineRule="auto" w:line="288" w:before="0" w:after="0"/>
                              <w:jc w:val="right"/>
                              <w:rPr>
                                <w:rFonts w:ascii="Graphik Semibold;sans-serif" w:hAnsi="Graphik Semibold;sans-serif"/>
                                <w:b/>
                                <w:color w:val="1D1D1D"/>
                                <w:sz w:val="16"/>
                              </w:rPr>
                            </w:pPr>
                            <w:r>
                              <w:rPr>
                                <w:rFonts w:ascii="Graphik Semibold;sans-serif" w:hAnsi="Graphik Semibold;sans-serif"/>
                                <w:b/>
                                <w:color w:val="1D1D1D"/>
                                <w:sz w:val="16"/>
                              </w:rPr>
                              <w:t>A-19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829800"/>
            <wp:effectExtent l="0" t="0" r="0" b="0"/>
            <wp:docPr id="27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71" descr=""/>
                    <pic:cNvPicPr>
                      <a:picLocks noChangeAspect="1" noChangeArrowheads="1"/>
                    </pic:cNvPicPr>
                  </pic:nvPicPr>
                  <pic:blipFill>
                    <a:blip r:embed="rId172"/>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7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543800" cy="9753600"/>
            <wp:effectExtent l="0" t="0" r="0" b="0"/>
            <wp:docPr id="28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72" descr=""/>
                    <pic:cNvPicPr>
                      <a:picLocks noChangeAspect="1" noChangeArrowheads="1"/>
                    </pic:cNvPicPr>
                  </pic:nvPicPr>
                  <pic:blipFill>
                    <a:blip r:embed="rId173"/>
                    <a:stretch>
                      <a:fillRect/>
                    </a:stretch>
                  </pic:blipFill>
                  <pic:spPr bwMode="auto">
                    <a:xfrm>
                      <a:off x="0" y="0"/>
                      <a:ext cx="7543800" cy="97536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543800" cy="9753600"/>
            <wp:effectExtent l="0" t="0" r="0" b="0"/>
            <wp:docPr id="28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73" descr=""/>
                    <pic:cNvPicPr>
                      <a:picLocks noChangeAspect="1" noChangeArrowheads="1"/>
                    </pic:cNvPicPr>
                  </pic:nvPicPr>
                  <pic:blipFill>
                    <a:blip r:embed="rId174"/>
                    <a:stretch>
                      <a:fillRect/>
                    </a:stretch>
                  </pic:blipFill>
                  <pic:spPr bwMode="auto">
                    <a:xfrm>
                      <a:off x="0" y="0"/>
                      <a:ext cx="7543800" cy="97536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Graphik">
    <w:altName w:val="sans-serif"/>
    <w:charset w:val="01"/>
    <w:family w:val="auto"/>
    <w:pitch w:val="default"/>
  </w:font>
  <w:font w:name="Graphik Medium">
    <w:altName w:val="sans-serif"/>
    <w:charset w:val="01"/>
    <w:family w:val="auto"/>
    <w:pitch w:val="default"/>
  </w:font>
  <w:font w:name="Graphik Light">
    <w:altName w:val="sans-serif"/>
    <w:charset w:val="01"/>
    <w:family w:val="auto"/>
    <w:pitch w:val="default"/>
  </w:font>
  <w:font w:name="Graphik Semi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gif"/><Relationship Id="rId6" Type="http://schemas.openxmlformats.org/officeDocument/2006/relationships/image" Target="media/image4.gif"/><Relationship Id="rId7" Type="http://schemas.openxmlformats.org/officeDocument/2006/relationships/image" Target="media/image5.gif"/><Relationship Id="rId8" Type="http://schemas.openxmlformats.org/officeDocument/2006/relationships/image" Target="media/image6.gif"/><Relationship Id="rId9" Type="http://schemas.openxmlformats.org/officeDocument/2006/relationships/image" Target="media/image7.jpeg"/><Relationship Id="rId10" Type="http://schemas.openxmlformats.org/officeDocument/2006/relationships/image" Target="media/image7.jpeg"/><Relationship Id="rId11" Type="http://schemas.openxmlformats.org/officeDocument/2006/relationships/image" Target="media/image3.gif"/><Relationship Id="rId12" Type="http://schemas.openxmlformats.org/officeDocument/2006/relationships/image" Target="media/image4.gif"/><Relationship Id="rId13" Type="http://schemas.openxmlformats.org/officeDocument/2006/relationships/image" Target="media/image5.gif"/><Relationship Id="rId14" Type="http://schemas.openxmlformats.org/officeDocument/2006/relationships/image" Target="media/image6.gif"/><Relationship Id="rId15" Type="http://schemas.openxmlformats.org/officeDocument/2006/relationships/image" Target="media/image8.gif"/><Relationship Id="rId16" Type="http://schemas.openxmlformats.org/officeDocument/2006/relationships/image" Target="media/image9.gif"/><Relationship Id="rId17" Type="http://schemas.openxmlformats.org/officeDocument/2006/relationships/image" Target="media/image10.gif"/><Relationship Id="rId18" Type="http://schemas.openxmlformats.org/officeDocument/2006/relationships/image" Target="media/image11.gif"/><Relationship Id="rId19" Type="http://schemas.openxmlformats.org/officeDocument/2006/relationships/image" Target="media/image12.gif"/><Relationship Id="rId20" Type="http://schemas.openxmlformats.org/officeDocument/2006/relationships/image" Target="media/image12.gif"/><Relationship Id="rId21" Type="http://schemas.openxmlformats.org/officeDocument/2006/relationships/image" Target="media/image12.gif"/><Relationship Id="rId22" Type="http://schemas.openxmlformats.org/officeDocument/2006/relationships/image" Target="media/image12.gif"/><Relationship Id="rId23" Type="http://schemas.openxmlformats.org/officeDocument/2006/relationships/image" Target="media/image12.gif"/><Relationship Id="rId24" Type="http://schemas.openxmlformats.org/officeDocument/2006/relationships/image" Target="media/image13.gif"/><Relationship Id="rId25" Type="http://schemas.openxmlformats.org/officeDocument/2006/relationships/image" Target="media/image14.gif"/><Relationship Id="rId26" Type="http://schemas.openxmlformats.org/officeDocument/2006/relationships/image" Target="media/image15.gif"/><Relationship Id="rId27" Type="http://schemas.openxmlformats.org/officeDocument/2006/relationships/image" Target="media/image16.gif"/><Relationship Id="rId28" Type="http://schemas.openxmlformats.org/officeDocument/2006/relationships/image" Target="media/image17.gif"/><Relationship Id="rId29" Type="http://schemas.openxmlformats.org/officeDocument/2006/relationships/image" Target="media/image18.gif"/><Relationship Id="rId30" Type="http://schemas.openxmlformats.org/officeDocument/2006/relationships/image" Target="media/image19.gif"/><Relationship Id="rId31" Type="http://schemas.openxmlformats.org/officeDocument/2006/relationships/image" Target="media/image20.gif"/><Relationship Id="rId32" Type="http://schemas.openxmlformats.org/officeDocument/2006/relationships/image" Target="media/image21.gif"/><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4.jpeg"/><Relationship Id="rId36" Type="http://schemas.openxmlformats.org/officeDocument/2006/relationships/image" Target="media/image25.jpeg"/><Relationship Id="rId37" Type="http://schemas.openxmlformats.org/officeDocument/2006/relationships/image" Target="media/image7.jpeg"/><Relationship Id="rId38" Type="http://schemas.openxmlformats.org/officeDocument/2006/relationships/image" Target="media/image12.gif"/><Relationship Id="rId39" Type="http://schemas.openxmlformats.org/officeDocument/2006/relationships/image" Target="media/image26.gif"/><Relationship Id="rId40" Type="http://schemas.openxmlformats.org/officeDocument/2006/relationships/image" Target="media/image27.gif"/><Relationship Id="rId41" Type="http://schemas.openxmlformats.org/officeDocument/2006/relationships/image" Target="media/image28.gif"/><Relationship Id="rId42" Type="http://schemas.openxmlformats.org/officeDocument/2006/relationships/image" Target="media/image29.gif"/><Relationship Id="rId43" Type="http://schemas.openxmlformats.org/officeDocument/2006/relationships/image" Target="media/image30.gif"/><Relationship Id="rId44" Type="http://schemas.openxmlformats.org/officeDocument/2006/relationships/image" Target="media/image31.gif"/><Relationship Id="rId45" Type="http://schemas.openxmlformats.org/officeDocument/2006/relationships/image" Target="media/image32.gif"/><Relationship Id="rId46" Type="http://schemas.openxmlformats.org/officeDocument/2006/relationships/image" Target="media/image33.gif"/><Relationship Id="rId47" Type="http://schemas.openxmlformats.org/officeDocument/2006/relationships/image" Target="media/image34.gif"/><Relationship Id="rId48" Type="http://schemas.openxmlformats.org/officeDocument/2006/relationships/image" Target="media/image35.gif"/><Relationship Id="rId49" Type="http://schemas.openxmlformats.org/officeDocument/2006/relationships/image" Target="media/image36.gif"/><Relationship Id="rId50" Type="http://schemas.openxmlformats.org/officeDocument/2006/relationships/image" Target="media/image36.gif"/><Relationship Id="rId51" Type="http://schemas.openxmlformats.org/officeDocument/2006/relationships/image" Target="media/image36.gif"/><Relationship Id="rId52" Type="http://schemas.openxmlformats.org/officeDocument/2006/relationships/image" Target="media/image36.gif"/><Relationship Id="rId53" Type="http://schemas.openxmlformats.org/officeDocument/2006/relationships/image" Target="media/image36.gif"/><Relationship Id="rId54" Type="http://schemas.openxmlformats.org/officeDocument/2006/relationships/image" Target="media/image36.gif"/><Relationship Id="rId55" Type="http://schemas.openxmlformats.org/officeDocument/2006/relationships/image" Target="media/image36.gif"/><Relationship Id="rId56" Type="http://schemas.openxmlformats.org/officeDocument/2006/relationships/image" Target="media/image36.gif"/><Relationship Id="rId57" Type="http://schemas.openxmlformats.org/officeDocument/2006/relationships/image" Target="media/image36.gif"/><Relationship Id="rId58" Type="http://schemas.openxmlformats.org/officeDocument/2006/relationships/image" Target="media/image36.gif"/><Relationship Id="rId59" Type="http://schemas.openxmlformats.org/officeDocument/2006/relationships/image" Target="media/image36.gif"/><Relationship Id="rId60" Type="http://schemas.openxmlformats.org/officeDocument/2006/relationships/image" Target="media/image36.gif"/><Relationship Id="rId61" Type="http://schemas.openxmlformats.org/officeDocument/2006/relationships/image" Target="media/image36.gif"/><Relationship Id="rId62" Type="http://schemas.openxmlformats.org/officeDocument/2006/relationships/image" Target="media/image36.gif"/><Relationship Id="rId63" Type="http://schemas.openxmlformats.org/officeDocument/2006/relationships/image" Target="media/image36.gif"/><Relationship Id="rId64" Type="http://schemas.openxmlformats.org/officeDocument/2006/relationships/image" Target="media/image36.gif"/><Relationship Id="rId65" Type="http://schemas.openxmlformats.org/officeDocument/2006/relationships/image" Target="media/image36.gif"/><Relationship Id="rId66" Type="http://schemas.openxmlformats.org/officeDocument/2006/relationships/image" Target="media/image36.gif"/><Relationship Id="rId67" Type="http://schemas.openxmlformats.org/officeDocument/2006/relationships/image" Target="media/image36.gif"/><Relationship Id="rId68" Type="http://schemas.openxmlformats.org/officeDocument/2006/relationships/image" Target="media/image36.gif"/><Relationship Id="rId69" Type="http://schemas.openxmlformats.org/officeDocument/2006/relationships/image" Target="media/image36.gif"/><Relationship Id="rId70" Type="http://schemas.openxmlformats.org/officeDocument/2006/relationships/image" Target="media/image36.gif"/><Relationship Id="rId71" Type="http://schemas.openxmlformats.org/officeDocument/2006/relationships/image" Target="media/image36.gif"/><Relationship Id="rId72" Type="http://schemas.openxmlformats.org/officeDocument/2006/relationships/image" Target="media/image36.gif"/><Relationship Id="rId73" Type="http://schemas.openxmlformats.org/officeDocument/2006/relationships/image" Target="media/image36.gif"/><Relationship Id="rId74" Type="http://schemas.openxmlformats.org/officeDocument/2006/relationships/image" Target="media/image36.gif"/><Relationship Id="rId75" Type="http://schemas.openxmlformats.org/officeDocument/2006/relationships/image" Target="media/image36.gif"/><Relationship Id="rId76" Type="http://schemas.openxmlformats.org/officeDocument/2006/relationships/image" Target="media/image36.gif"/><Relationship Id="rId77" Type="http://schemas.openxmlformats.org/officeDocument/2006/relationships/image" Target="media/image36.gif"/><Relationship Id="rId78" Type="http://schemas.openxmlformats.org/officeDocument/2006/relationships/image" Target="media/image36.gif"/><Relationship Id="rId79" Type="http://schemas.openxmlformats.org/officeDocument/2006/relationships/image" Target="media/image36.gif"/><Relationship Id="rId80" Type="http://schemas.openxmlformats.org/officeDocument/2006/relationships/image" Target="media/image36.gif"/><Relationship Id="rId81" Type="http://schemas.openxmlformats.org/officeDocument/2006/relationships/image" Target="media/image36.gif"/><Relationship Id="rId82" Type="http://schemas.openxmlformats.org/officeDocument/2006/relationships/image" Target="media/image36.gif"/><Relationship Id="rId83" Type="http://schemas.openxmlformats.org/officeDocument/2006/relationships/image" Target="media/image36.gif"/><Relationship Id="rId84" Type="http://schemas.openxmlformats.org/officeDocument/2006/relationships/image" Target="media/image36.gif"/><Relationship Id="rId85" Type="http://schemas.openxmlformats.org/officeDocument/2006/relationships/image" Target="media/image36.gif"/><Relationship Id="rId86" Type="http://schemas.openxmlformats.org/officeDocument/2006/relationships/image" Target="media/image36.gif"/><Relationship Id="rId87" Type="http://schemas.openxmlformats.org/officeDocument/2006/relationships/image" Target="media/image36.gif"/><Relationship Id="rId88" Type="http://schemas.openxmlformats.org/officeDocument/2006/relationships/image" Target="media/image36.gif"/><Relationship Id="rId89" Type="http://schemas.openxmlformats.org/officeDocument/2006/relationships/image" Target="media/image36.gif"/><Relationship Id="rId90" Type="http://schemas.openxmlformats.org/officeDocument/2006/relationships/image" Target="media/image36.gif"/><Relationship Id="rId91" Type="http://schemas.openxmlformats.org/officeDocument/2006/relationships/image" Target="media/image36.gif"/><Relationship Id="rId92" Type="http://schemas.openxmlformats.org/officeDocument/2006/relationships/image" Target="media/image36.gif"/><Relationship Id="rId93" Type="http://schemas.openxmlformats.org/officeDocument/2006/relationships/image" Target="media/image36.gif"/><Relationship Id="rId94" Type="http://schemas.openxmlformats.org/officeDocument/2006/relationships/image" Target="media/image36.gif"/><Relationship Id="rId95" Type="http://schemas.openxmlformats.org/officeDocument/2006/relationships/image" Target="media/image36.gif"/><Relationship Id="rId96" Type="http://schemas.openxmlformats.org/officeDocument/2006/relationships/image" Target="media/image36.gif"/><Relationship Id="rId97" Type="http://schemas.openxmlformats.org/officeDocument/2006/relationships/image" Target="media/image36.gif"/><Relationship Id="rId98" Type="http://schemas.openxmlformats.org/officeDocument/2006/relationships/image" Target="media/image36.gif"/><Relationship Id="rId99" Type="http://schemas.openxmlformats.org/officeDocument/2006/relationships/image" Target="media/image36.gif"/><Relationship Id="rId100" Type="http://schemas.openxmlformats.org/officeDocument/2006/relationships/image" Target="media/image36.gif"/><Relationship Id="rId101" Type="http://schemas.openxmlformats.org/officeDocument/2006/relationships/image" Target="media/image36.gif"/><Relationship Id="rId102" Type="http://schemas.openxmlformats.org/officeDocument/2006/relationships/image" Target="media/image36.gif"/><Relationship Id="rId103" Type="http://schemas.openxmlformats.org/officeDocument/2006/relationships/image" Target="media/image36.gif"/><Relationship Id="rId104" Type="http://schemas.openxmlformats.org/officeDocument/2006/relationships/image" Target="media/image36.gif"/><Relationship Id="rId105" Type="http://schemas.openxmlformats.org/officeDocument/2006/relationships/image" Target="media/image36.gif"/><Relationship Id="rId106" Type="http://schemas.openxmlformats.org/officeDocument/2006/relationships/image" Target="media/image36.gif"/><Relationship Id="rId107" Type="http://schemas.openxmlformats.org/officeDocument/2006/relationships/image" Target="media/image36.gif"/><Relationship Id="rId108" Type="http://schemas.openxmlformats.org/officeDocument/2006/relationships/image" Target="media/image36.gif"/><Relationship Id="rId109" Type="http://schemas.openxmlformats.org/officeDocument/2006/relationships/image" Target="media/image36.gif"/><Relationship Id="rId110" Type="http://schemas.openxmlformats.org/officeDocument/2006/relationships/image" Target="media/image36.gif"/><Relationship Id="rId111" Type="http://schemas.openxmlformats.org/officeDocument/2006/relationships/image" Target="media/image36.gif"/><Relationship Id="rId112" Type="http://schemas.openxmlformats.org/officeDocument/2006/relationships/image" Target="media/image36.gif"/><Relationship Id="rId113" Type="http://schemas.openxmlformats.org/officeDocument/2006/relationships/image" Target="media/image36.gif"/><Relationship Id="rId114" Type="http://schemas.openxmlformats.org/officeDocument/2006/relationships/image" Target="media/image36.gif"/><Relationship Id="rId115" Type="http://schemas.openxmlformats.org/officeDocument/2006/relationships/image" Target="media/image36.gif"/><Relationship Id="rId116" Type="http://schemas.openxmlformats.org/officeDocument/2006/relationships/image" Target="media/image7.jpeg"/><Relationship Id="rId117" Type="http://schemas.openxmlformats.org/officeDocument/2006/relationships/image" Target="media/image37.jpeg"/><Relationship Id="rId118" Type="http://schemas.openxmlformats.org/officeDocument/2006/relationships/image" Target="media/image38.jpeg"/><Relationship Id="rId119" Type="http://schemas.openxmlformats.org/officeDocument/2006/relationships/image" Target="media/image39.jpeg"/><Relationship Id="rId120" Type="http://schemas.openxmlformats.org/officeDocument/2006/relationships/image" Target="media/image40.jpeg"/><Relationship Id="rId121" Type="http://schemas.openxmlformats.org/officeDocument/2006/relationships/image" Target="media/image7.jpeg"/><Relationship Id="rId122" Type="http://schemas.openxmlformats.org/officeDocument/2006/relationships/image" Target="media/image7.jpeg"/><Relationship Id="rId123" Type="http://schemas.openxmlformats.org/officeDocument/2006/relationships/image" Target="media/image35.gif"/><Relationship Id="rId124" Type="http://schemas.openxmlformats.org/officeDocument/2006/relationships/image" Target="media/image7.jpeg"/><Relationship Id="rId125" Type="http://schemas.openxmlformats.org/officeDocument/2006/relationships/image" Target="media/image35.gif"/><Relationship Id="rId126" Type="http://schemas.openxmlformats.org/officeDocument/2006/relationships/image" Target="media/image7.jpeg"/><Relationship Id="rId127" Type="http://schemas.openxmlformats.org/officeDocument/2006/relationships/image" Target="media/image35.gif"/><Relationship Id="rId128" Type="http://schemas.openxmlformats.org/officeDocument/2006/relationships/image" Target="media/image7.jpeg"/><Relationship Id="rId129" Type="http://schemas.openxmlformats.org/officeDocument/2006/relationships/image" Target="media/image35.gif"/><Relationship Id="rId130" Type="http://schemas.openxmlformats.org/officeDocument/2006/relationships/image" Target="media/image7.jpeg"/><Relationship Id="rId131" Type="http://schemas.openxmlformats.org/officeDocument/2006/relationships/image" Target="media/image7.jpeg"/><Relationship Id="rId132" Type="http://schemas.openxmlformats.org/officeDocument/2006/relationships/image" Target="media/image41.gif"/><Relationship Id="rId133" Type="http://schemas.openxmlformats.org/officeDocument/2006/relationships/image" Target="media/image42.gif"/><Relationship Id="rId134" Type="http://schemas.openxmlformats.org/officeDocument/2006/relationships/image" Target="media/image43.gif"/><Relationship Id="rId135" Type="http://schemas.openxmlformats.org/officeDocument/2006/relationships/image" Target="media/image44.gif"/><Relationship Id="rId136" Type="http://schemas.openxmlformats.org/officeDocument/2006/relationships/image" Target="media/image7.jpeg"/><Relationship Id="rId137" Type="http://schemas.openxmlformats.org/officeDocument/2006/relationships/image" Target="media/image26.gif"/><Relationship Id="rId138" Type="http://schemas.openxmlformats.org/officeDocument/2006/relationships/image" Target="media/image41.gif"/><Relationship Id="rId139" Type="http://schemas.openxmlformats.org/officeDocument/2006/relationships/image" Target="media/image42.gif"/><Relationship Id="rId140" Type="http://schemas.openxmlformats.org/officeDocument/2006/relationships/image" Target="media/image43.gif"/><Relationship Id="rId141" Type="http://schemas.openxmlformats.org/officeDocument/2006/relationships/image" Target="media/image44.gif"/><Relationship Id="rId142" Type="http://schemas.openxmlformats.org/officeDocument/2006/relationships/image" Target="media/image45.gif"/><Relationship Id="rId143" Type="http://schemas.openxmlformats.org/officeDocument/2006/relationships/image" Target="media/image46.gif"/><Relationship Id="rId144" Type="http://schemas.openxmlformats.org/officeDocument/2006/relationships/image" Target="media/image47.gif"/><Relationship Id="rId145" Type="http://schemas.openxmlformats.org/officeDocument/2006/relationships/image" Target="media/image48.gif"/><Relationship Id="rId146" Type="http://schemas.openxmlformats.org/officeDocument/2006/relationships/image" Target="media/image49.gif"/><Relationship Id="rId147" Type="http://schemas.openxmlformats.org/officeDocument/2006/relationships/image" Target="media/image50.gif"/><Relationship Id="rId148" Type="http://schemas.openxmlformats.org/officeDocument/2006/relationships/image" Target="media/image50.gif"/><Relationship Id="rId149" Type="http://schemas.openxmlformats.org/officeDocument/2006/relationships/image" Target="media/image50.gif"/><Relationship Id="rId150" Type="http://schemas.openxmlformats.org/officeDocument/2006/relationships/image" Target="media/image50.gif"/><Relationship Id="rId151" Type="http://schemas.openxmlformats.org/officeDocument/2006/relationships/image" Target="media/image50.gif"/><Relationship Id="rId152" Type="http://schemas.openxmlformats.org/officeDocument/2006/relationships/image" Target="media/image50.gif"/><Relationship Id="rId153" Type="http://schemas.openxmlformats.org/officeDocument/2006/relationships/image" Target="media/image50.gif"/><Relationship Id="rId154" Type="http://schemas.openxmlformats.org/officeDocument/2006/relationships/image" Target="media/image50.gif"/><Relationship Id="rId155" Type="http://schemas.openxmlformats.org/officeDocument/2006/relationships/image" Target="media/image50.gif"/><Relationship Id="rId156" Type="http://schemas.openxmlformats.org/officeDocument/2006/relationships/image" Target="media/image50.gif"/><Relationship Id="rId157" Type="http://schemas.openxmlformats.org/officeDocument/2006/relationships/image" Target="media/image51.gif"/><Relationship Id="rId158" Type="http://schemas.openxmlformats.org/officeDocument/2006/relationships/image" Target="media/image51.gif"/><Relationship Id="rId159" Type="http://schemas.openxmlformats.org/officeDocument/2006/relationships/image" Target="media/image51.gif"/><Relationship Id="rId160" Type="http://schemas.openxmlformats.org/officeDocument/2006/relationships/image" Target="media/image51.gif"/><Relationship Id="rId161" Type="http://schemas.openxmlformats.org/officeDocument/2006/relationships/image" Target="media/image51.gif"/><Relationship Id="rId162" Type="http://schemas.openxmlformats.org/officeDocument/2006/relationships/image" Target="media/image51.gif"/><Relationship Id="rId163" Type="http://schemas.openxmlformats.org/officeDocument/2006/relationships/image" Target="media/image52.jpeg"/><Relationship Id="rId164" Type="http://schemas.openxmlformats.org/officeDocument/2006/relationships/image" Target="media/image53.jpeg"/><Relationship Id="rId165" Type="http://schemas.openxmlformats.org/officeDocument/2006/relationships/image" Target="media/image7.jpeg"/><Relationship Id="rId166" Type="http://schemas.openxmlformats.org/officeDocument/2006/relationships/image" Target="media/image7.jpeg"/><Relationship Id="rId167" Type="http://schemas.openxmlformats.org/officeDocument/2006/relationships/image" Target="media/image7.jpeg"/><Relationship Id="rId168" Type="http://schemas.openxmlformats.org/officeDocument/2006/relationships/image" Target="media/image7.jpeg"/><Relationship Id="rId169" Type="http://schemas.openxmlformats.org/officeDocument/2006/relationships/image" Target="media/image7.jpeg"/><Relationship Id="rId170" Type="http://schemas.openxmlformats.org/officeDocument/2006/relationships/image" Target="media/image7.jpeg"/><Relationship Id="rId171" Type="http://schemas.openxmlformats.org/officeDocument/2006/relationships/image" Target="media/image7.jpeg"/><Relationship Id="rId172" Type="http://schemas.openxmlformats.org/officeDocument/2006/relationships/image" Target="media/image54.jpeg"/><Relationship Id="rId173" Type="http://schemas.openxmlformats.org/officeDocument/2006/relationships/image" Target="media/image55.jpeg"/><Relationship Id="rId174" Type="http://schemas.openxmlformats.org/officeDocument/2006/relationships/image" Target="media/image56.jpeg"/><Relationship Id="rId175" Type="http://schemas.openxmlformats.org/officeDocument/2006/relationships/fontTable" Target="fontTable.xml"/><Relationship Id="rId1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51159</Words>
  <Characters>277720</Characters>
  <CharactersWithSpaces>326851</CharactersWithSpaces>
  <Paragraphs>3092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