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668020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7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3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Date of Report (Date of earliest event reported): October 22, 2019</w:t>
      </w:r>
    </w:p>
    <w:p>
      <w:pPr>
        <w:spacing w:after="0" w:line="25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6"/>
          <w:szCs w:val="36"/>
          <w:b w:val="1"/>
          <w:bCs w:val="1"/>
          <w:color w:val="auto"/>
        </w:rPr>
        <w:t>VERACYTE, INC.</w:t>
      </w:r>
    </w:p>
    <w:p>
      <w:pPr>
        <w:spacing w:after="0" w:line="4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9"/>
          <w:szCs w:val="19"/>
          <w:color w:val="auto"/>
        </w:rPr>
        <w:t>(Exact name of registrant as specified in its charter)</w:t>
      </w:r>
    </w:p>
    <w:p>
      <w:pPr>
        <w:spacing w:after="0" w:line="360" w:lineRule="exact"/>
        <w:rPr>
          <w:sz w:val="24"/>
          <w:szCs w:val="24"/>
          <w:color w:val="auto"/>
        </w:rPr>
      </w:pPr>
    </w:p>
    <w:tbl>
      <w:tblPr>
        <w:tblLayout w:type="fixed"/>
        <w:tblInd w:w="860" w:type="dxa"/>
        <w:tblCellMar>
          <w:top w:w="0" w:type="dxa"/>
          <w:left w:w="0" w:type="dxa"/>
          <w:bottom w:w="0" w:type="dxa"/>
          <w:right w:w="0" w:type="dxa"/>
        </w:tblCellMar>
      </w:tblPr>
      <w:tr>
        <w:trPr>
          <w:trHeight w:val="238"/>
        </w:trPr>
        <w:tc>
          <w:tcPr>
            <w:tcW w:w="302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3720" w:type="dxa"/>
            <w:vAlign w:val="bottom"/>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001-36156</w:t>
            </w:r>
          </w:p>
        </w:tc>
        <w:tc>
          <w:tcPr>
            <w:tcW w:w="304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20-5455398</w:t>
            </w:r>
          </w:p>
        </w:tc>
      </w:tr>
      <w:tr>
        <w:trPr>
          <w:trHeight w:val="306"/>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04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(IRS Employer Identification</w:t>
            </w:r>
          </w:p>
        </w:tc>
      </w:tr>
      <w:tr>
        <w:trPr>
          <w:trHeight w:val="234"/>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rPr>
              <w:t>incorporation)</w:t>
            </w:r>
          </w:p>
        </w:tc>
        <w:tc>
          <w:tcPr>
            <w:tcW w:w="3720" w:type="dxa"/>
            <w:vAlign w:val="bottom"/>
          </w:tcPr>
          <w:p>
            <w:pPr>
              <w:spacing w:after="0"/>
              <w:rPr>
                <w:sz w:val="20"/>
                <w:szCs w:val="20"/>
                <w:color w:val="auto"/>
              </w:rPr>
            </w:pPr>
          </w:p>
        </w:tc>
        <w:tc>
          <w:tcPr>
            <w:tcW w:w="304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rPr>
              <w:t>No.)</w:t>
            </w:r>
          </w:p>
        </w:tc>
      </w:tr>
      <w:tr>
        <w:trPr>
          <w:trHeight w:val="648"/>
        </w:trPr>
        <w:tc>
          <w:tcPr>
            <w:tcW w:w="6740" w:type="dxa"/>
            <w:vAlign w:val="bottom"/>
            <w:gridSpan w:val="2"/>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w w:val="99"/>
              </w:rPr>
              <w:t>6000 Shoreline Court, Suite 300, South San Francisco, California</w:t>
            </w:r>
          </w:p>
        </w:tc>
        <w:tc>
          <w:tcPr>
            <w:tcW w:w="304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297"/>
        </w:trPr>
        <w:tc>
          <w:tcPr>
            <w:tcW w:w="6740" w:type="dxa"/>
            <w:vAlign w:val="bottom"/>
            <w:gridSpan w:val="2"/>
          </w:tcPr>
          <w:p>
            <w:pPr>
              <w:jc w:val="center"/>
              <w:ind w:right="15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4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4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(650) 243-6300</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49" w:lineRule="exact"/>
        <w:rPr>
          <w:sz w:val="24"/>
          <w:szCs w:val="24"/>
          <w:color w:val="auto"/>
        </w:rPr>
      </w:pPr>
    </w:p>
    <w:p>
      <w:pPr>
        <w:ind w:left="140" w:right="420"/>
        <w:spacing w:after="0" w:line="281"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28" w:lineRule="exact"/>
        <w:rPr>
          <w:sz w:val="24"/>
          <w:szCs w:val="24"/>
          <w:color w:val="auto"/>
        </w:rPr>
      </w:pPr>
    </w:p>
    <w:p>
      <w:pPr>
        <w:ind w:left="720" w:hanging="631"/>
        <w:spacing w:after="0"/>
        <w:tabs>
          <w:tab w:leader="none" w:pos="7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88" w:lineRule="exact"/>
        <w:rPr>
          <w:rFonts w:ascii="Times New Roman" w:cs="Times New Roman" w:eastAsia="Times New Roman" w:hAnsi="Times New Roman"/>
          <w:sz w:val="17"/>
          <w:szCs w:val="17"/>
          <w:color w:val="auto"/>
        </w:rPr>
      </w:pPr>
    </w:p>
    <w:p>
      <w:pPr>
        <w:ind w:left="720" w:hanging="631"/>
        <w:spacing w:after="0"/>
        <w:tabs>
          <w:tab w:leader="none" w:pos="7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88" w:lineRule="exact"/>
        <w:rPr>
          <w:rFonts w:ascii="Times New Roman" w:cs="Times New Roman" w:eastAsia="Times New Roman" w:hAnsi="Times New Roman"/>
          <w:sz w:val="17"/>
          <w:szCs w:val="17"/>
          <w:color w:val="auto"/>
        </w:rPr>
      </w:pPr>
    </w:p>
    <w:p>
      <w:pPr>
        <w:ind w:left="720" w:hanging="631"/>
        <w:spacing w:after="0"/>
        <w:tabs>
          <w:tab w:leader="none" w:pos="7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88" w:lineRule="exact"/>
        <w:rPr>
          <w:rFonts w:ascii="Times New Roman" w:cs="Times New Roman" w:eastAsia="Times New Roman" w:hAnsi="Times New Roman"/>
          <w:sz w:val="17"/>
          <w:szCs w:val="17"/>
          <w:color w:val="auto"/>
        </w:rPr>
      </w:pPr>
    </w:p>
    <w:p>
      <w:pPr>
        <w:ind w:left="720" w:hanging="631"/>
        <w:spacing w:after="0"/>
        <w:tabs>
          <w:tab w:leader="none" w:pos="7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8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378"/>
        </w:trPr>
        <w:tc>
          <w:tcPr>
            <w:tcW w:w="60" w:type="dxa"/>
            <w:vAlign w:val="bottom"/>
          </w:tcPr>
          <w:p>
            <w:pPr>
              <w:spacing w:after="0"/>
              <w:rPr>
                <w:sz w:val="24"/>
                <w:szCs w:val="24"/>
                <w:color w:val="auto"/>
              </w:rPr>
            </w:pPr>
          </w:p>
        </w:tc>
        <w:tc>
          <w:tcPr>
            <w:tcW w:w="46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Trading Symbols (s)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54"/>
        </w:trPr>
        <w:tc>
          <w:tcPr>
            <w:tcW w:w="60" w:type="dxa"/>
            <w:vAlign w:val="bottom"/>
          </w:tcPr>
          <w:p>
            <w:pPr>
              <w:spacing w:after="0"/>
              <w:rPr>
                <w:sz w:val="4"/>
                <w:szCs w:val="4"/>
                <w:color w:val="auto"/>
              </w:rPr>
            </w:pPr>
          </w:p>
        </w:tc>
        <w:tc>
          <w:tcPr>
            <w:tcW w:w="45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r>
      <w:tr>
        <w:trPr>
          <w:trHeight w:val="237"/>
        </w:trPr>
        <w:tc>
          <w:tcPr>
            <w:tcW w:w="60" w:type="dxa"/>
            <w:vAlign w:val="bottom"/>
          </w:tcPr>
          <w:p>
            <w:pPr>
              <w:spacing w:after="0"/>
              <w:rPr>
                <w:sz w:val="20"/>
                <w:szCs w:val="20"/>
                <w:color w:val="auto"/>
              </w:rPr>
            </w:pPr>
          </w:p>
        </w:tc>
        <w:tc>
          <w:tcPr>
            <w:tcW w:w="46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VCYT</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00" w:lineRule="exact"/>
        <w:rPr>
          <w:sz w:val="24"/>
          <w:szCs w:val="24"/>
          <w:color w:val="auto"/>
        </w:rPr>
      </w:pPr>
    </w:p>
    <w:p>
      <w:pPr>
        <w:spacing w:after="0" w:line="214" w:lineRule="exact"/>
        <w:rPr>
          <w:sz w:val="24"/>
          <w:szCs w:val="24"/>
          <w:color w:val="auto"/>
        </w:rPr>
      </w:pPr>
    </w:p>
    <w:p>
      <w:pPr>
        <w:ind w:left="160" w:right="1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54"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Times New Roman" w:cs="Times New Roman" w:eastAsia="Times New Roman" w:hAnsi="Times New Roman"/>
          <w:sz w:val="17"/>
          <w:szCs w:val="17"/>
          <w:color w:val="auto"/>
        </w:rPr>
        <w:t>o</w:t>
      </w:r>
    </w:p>
    <w:p>
      <w:pPr>
        <w:spacing w:after="0" w:line="117" w:lineRule="exact"/>
        <w:rPr>
          <w:sz w:val="24"/>
          <w:szCs w:val="24"/>
          <w:color w:val="auto"/>
        </w:rPr>
      </w:pPr>
    </w:p>
    <w:p>
      <w:pPr>
        <w:ind w:left="160" w:right="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cs="Times New Roman" w:eastAsia="Times New Roman" w:hAnsi="Times New Roman"/>
          <w:sz w:val="17"/>
          <w:szCs w:val="17"/>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367665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40" w:top="1418"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October 22, 2019, Veracyte, Inc. issued a press release announcing its financial results for the quarter ended September 30, 2019. The full text of the press release is furnished as Exhibit 99.1 to this report.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83" w:lineRule="exact"/>
        <w:rPr>
          <w:sz w:val="20"/>
          <w:szCs w:val="20"/>
          <w:color w:val="auto"/>
        </w:rPr>
      </w:pPr>
    </w:p>
    <w:p>
      <w:pPr>
        <w:ind w:left="80"/>
        <w:spacing w:after="0"/>
        <w:tabs>
          <w:tab w:leader="none" w:pos="602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0"/>
          <w:szCs w:val="20"/>
          <w:color w:val="auto"/>
        </w:rPr>
      </w:pPr>
    </w:p>
    <w:p>
      <w:pPr>
        <w:ind w:left="1040"/>
        <w:spacing w:after="0"/>
        <w:tabs>
          <w:tab w:leader="none" w:pos="1560" w:val="left"/>
        </w:tabs>
        <w:rPr>
          <w:rFonts w:ascii="Times New Roman" w:cs="Times New Roman" w:eastAsia="Times New Roman" w:hAnsi="Times New Roman"/>
          <w:sz w:val="17"/>
          <w:szCs w:val="17"/>
          <w:u w:val="single" w:color="auto"/>
          <w:color w:val="0000FF"/>
        </w:rPr>
      </w:pPr>
      <w:hyperlink w:anchor="page4">
        <w:r>
          <w:rPr>
            <w:rFonts w:ascii="Times New Roman" w:cs="Times New Roman" w:eastAsia="Times New Roman" w:hAnsi="Times New Roman"/>
            <w:sz w:val="18"/>
            <w:szCs w:val="18"/>
            <w:u w:val="single" w:color="auto"/>
            <w:color w:val="0000FF"/>
          </w:rPr>
          <w:t>99.1</w:t>
        </w:r>
      </w:hyperlink>
      <w:r>
        <w:rPr>
          <w:rFonts w:ascii="Times New Roman" w:cs="Times New Roman" w:eastAsia="Times New Roman" w:hAnsi="Times New Roman"/>
          <w:sz w:val="18"/>
          <w:szCs w:val="18"/>
          <w:u w:val="single" w:color="auto"/>
          <w:color w:val="0000FF"/>
        </w:rPr>
        <w:tab/>
      </w:r>
      <w:hyperlink w:anchor="page4">
        <w:r>
          <w:rPr>
            <w:rFonts w:ascii="Times New Roman" w:cs="Times New Roman" w:eastAsia="Times New Roman" w:hAnsi="Times New Roman"/>
            <w:sz w:val="17"/>
            <w:szCs w:val="17"/>
            <w:u w:val="single" w:color="auto"/>
            <w:color w:val="0000FF"/>
          </w:rPr>
          <w:t>Press release issued by Veracyte, Inc. dated October 22, 2019.</w:t>
        </w:r>
      </w:hyperlink>
    </w:p>
    <w:p>
      <w:pPr>
        <w:sectPr>
          <w:pgSz w:w="11900" w:h="16838" w:orient="portrait"/>
          <w:cols w:equalWidth="0" w:num="1">
            <w:col w:w="11420"/>
          </w:cols>
          <w:pgMar w:left="240" w:top="576" w:right="2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37" w:lineRule="exact"/>
        <w:rPr>
          <w:sz w:val="20"/>
          <w:szCs w:val="20"/>
          <w:color w:val="auto"/>
        </w:rPr>
      </w:pPr>
    </w:p>
    <w:p>
      <w:pPr>
        <w:ind w:right="580" w:firstLine="5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40"/>
        <w:spacing w:after="0"/>
        <w:tabs>
          <w:tab w:leader="none" w:pos="10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October 22, 2019</w:t>
      </w:r>
    </w:p>
    <w:p>
      <w:pPr>
        <w:spacing w:after="0" w:line="38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VERACYTE, INC.</w:t>
      </w:r>
    </w:p>
    <w:p>
      <w:pPr>
        <w:spacing w:after="0" w:line="387" w:lineRule="exact"/>
        <w:rPr>
          <w:sz w:val="20"/>
          <w:szCs w:val="20"/>
          <w:color w:val="auto"/>
        </w:rPr>
      </w:pPr>
    </w:p>
    <w:tbl>
      <w:tblPr>
        <w:tblLayout w:type="fixed"/>
        <w:tblInd w:w="432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 Keith Kennedy</w:t>
            </w:r>
          </w:p>
        </w:tc>
        <w:tc>
          <w:tcPr>
            <w:tcW w:w="0" w:type="dxa"/>
            <w:vAlign w:val="bottom"/>
          </w:tcPr>
          <w:p>
            <w:pPr>
              <w:spacing w:after="0"/>
              <w:rPr>
                <w:sz w:val="1"/>
                <w:szCs w:val="1"/>
                <w:color w:val="auto"/>
              </w:rPr>
            </w:pPr>
          </w:p>
        </w:tc>
      </w:tr>
      <w:tr>
        <w:trPr>
          <w:trHeight w:val="54"/>
        </w:trPr>
        <w:tc>
          <w:tcPr>
            <w:tcW w:w="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6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840" w:type="dxa"/>
            <w:vAlign w:val="bottom"/>
            <w:vMerge w:val="continue"/>
          </w:tcPr>
          <w:p>
            <w:pPr>
              <w:spacing w:after="0"/>
              <w:rPr>
                <w:sz w:val="20"/>
                <w:szCs w:val="20"/>
                <w:color w:val="auto"/>
              </w:rPr>
            </w:pPr>
          </w:p>
        </w:tc>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Keith Kennedy</w:t>
            </w:r>
          </w:p>
        </w:tc>
        <w:tc>
          <w:tcPr>
            <w:tcW w:w="0" w:type="dxa"/>
            <w:vAlign w:val="bottom"/>
          </w:tcPr>
          <w:p>
            <w:pPr>
              <w:spacing w:after="0"/>
              <w:rPr>
                <w:sz w:val="1"/>
                <w:szCs w:val="1"/>
                <w:color w:val="auto"/>
              </w:rPr>
            </w:pPr>
          </w:p>
        </w:tc>
      </w:tr>
      <w:tr>
        <w:trPr>
          <w:trHeight w:val="29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2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Chief Operating Officer and Chief Financial Officer</w:t>
            </w:r>
          </w:p>
        </w:tc>
        <w:tc>
          <w:tcPr>
            <w:tcW w:w="0" w:type="dxa"/>
            <w:vAlign w:val="bottom"/>
          </w:tcPr>
          <w:p>
            <w:pPr>
              <w:spacing w:after="0"/>
              <w:rPr>
                <w:sz w:val="1"/>
                <w:szCs w:val="1"/>
                <w:color w:val="auto"/>
              </w:rPr>
            </w:pPr>
          </w:p>
        </w:tc>
      </w:tr>
    </w:tbl>
    <w:p>
      <w:pPr>
        <w:sectPr>
          <w:pgSz w:w="11900" w:h="16838" w:orient="portrait"/>
          <w:cols w:equalWidth="0" w:num="1">
            <w:col w:w="11360"/>
          </w:cols>
          <w:pgMar w:left="240" w:top="576"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158750</wp:posOffset>
            </wp:positionV>
            <wp:extent cx="1166495" cy="875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6649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Announces Third Quarter 2019 Financial Results and Business Progress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Revenue Grew 32% to $31.0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Genomic Test Volume Grew 24% to 9,941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Presents Preliminary Data for First-Ever Noninvasive Nasal Swab Test</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for Lung Cancer Early Detection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and Webcast Today at 5:00 p.m. ET</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SOUTH SAN FRANCISCO, Calif., October 22, 2019 -- Veracyte, Inc. (Nasdaq: VCYT) today announced financial results and business progress for the third quarter ended September 30, 2019. For the third quarter of 2019, revenue was $31.0 million, an increase of 32% over the third quarter of 2018. Net cash used in operating activities in the third quarter of 2019 was $1.6 million, an improvement of 13% compared with the third quarter of 2018.</w:t>
      </w:r>
    </w:p>
    <w:p>
      <w:pPr>
        <w:spacing w:after="0" w:line="8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had a solid third quarter in which we continued to drive volume and revenue growth across our products and grew biopharmaceutical services revenue through key milestone achievements,” said Bonnie H. Anderson, chairman and chief executive officer of Veracyte. “We are particularly excited by the new, preliminary data for our noninvasive nasal swab test for early lung cancer detection, which we believe has significant potential to improve care among the millions of patients with suspicious lung nodules detected each year. Importantly, as we grow our business and advance our pipeline, we remain on track to achieve our goal of reaching cashflow breakeven status before the end of the year.”</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2019 Financial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third quarter of 2019 as compared with the third quarter of 2018:</w:t>
      </w:r>
    </w:p>
    <w:p>
      <w:pPr>
        <w:spacing w:after="0" w:line="29" w:lineRule="exact"/>
        <w:rPr>
          <w:sz w:val="20"/>
          <w:szCs w:val="20"/>
          <w:color w:val="auto"/>
        </w:rPr>
      </w:pPr>
    </w:p>
    <w:p>
      <w:pPr>
        <w:ind w:left="240" w:hanging="232"/>
        <w:spacing w:after="0" w:line="250" w:lineRule="auto"/>
        <w:tabs>
          <w:tab w:leader="none" w:pos="24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was $31.0 million, an increase of 32%; excluding $4.3 million of biopharmaceutical services revenue, revenue was $26.7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15%.</w:t>
      </w:r>
    </w:p>
    <w:p>
      <w:pPr>
        <w:ind w:left="240" w:right="20" w:hanging="232"/>
        <w:spacing w:after="0" w:line="250" w:lineRule="auto"/>
        <w:tabs>
          <w:tab w:leader="none" w:pos="24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was 71%, an increase of six percentage points; excluding biopharmaceutical services revenue, gross margin was 66%,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two percentage points.</w:t>
      </w:r>
    </w:p>
    <w:p>
      <w:pPr>
        <w:ind w:left="240" w:hanging="232"/>
        <w:spacing w:after="0"/>
        <w:tabs>
          <w:tab w:leader="none" w:pos="24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Operating Expenses, Excluding Cost of Revenue </w:t>
      </w:r>
      <w:r>
        <w:rPr>
          <w:rFonts w:ascii="Arial" w:cs="Arial" w:eastAsia="Arial" w:hAnsi="Arial"/>
          <w:sz w:val="18"/>
          <w:szCs w:val="18"/>
          <w:color w:val="auto"/>
        </w:rPr>
        <w:t>were $23.6 million, an increase of 21%.</w:t>
      </w:r>
    </w:p>
    <w:p>
      <w:pPr>
        <w:spacing w:after="0" w:line="8"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was $0.7 million, an improvement of 84%.</w:t>
      </w:r>
    </w:p>
    <w:p>
      <w:pPr>
        <w:spacing w:after="0" w:line="8"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Net Loss Per Share </w:t>
      </w:r>
      <w:r>
        <w:rPr>
          <w:rFonts w:ascii="Arial" w:cs="Arial" w:eastAsia="Arial" w:hAnsi="Arial"/>
          <w:sz w:val="18"/>
          <w:szCs w:val="18"/>
          <w:color w:val="auto"/>
        </w:rPr>
        <w:t>was $0.02, an improvement of 83%.</w:t>
      </w:r>
    </w:p>
    <w:p>
      <w:pPr>
        <w:spacing w:after="0" w:line="8"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Net Cash Used in Operating Activities </w:t>
      </w:r>
      <w:r>
        <w:rPr>
          <w:rFonts w:ascii="Arial" w:cs="Arial" w:eastAsia="Arial" w:hAnsi="Arial"/>
          <w:sz w:val="18"/>
          <w:szCs w:val="18"/>
          <w:color w:val="auto"/>
        </w:rPr>
        <w:t>was $1.6 million, an improvement of 13%.</w:t>
      </w:r>
    </w:p>
    <w:p>
      <w:pPr>
        <w:spacing w:after="0" w:line="8"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were $195.7 million at September 30, 2019</w:t>
      </w:r>
      <w:r>
        <w:rPr>
          <w:rFonts w:ascii="Arial" w:cs="Arial" w:eastAsia="Arial" w:hAnsi="Arial"/>
          <w:sz w:val="18"/>
          <w:szCs w:val="18"/>
          <w:i w:val="1"/>
          <w:iCs w:val="1"/>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nine-month period ended September 30, 2019, as compared with the prior year period of 2018:</w:t>
      </w:r>
    </w:p>
    <w:p>
      <w:pPr>
        <w:spacing w:after="0" w:line="29" w:lineRule="exact"/>
        <w:rPr>
          <w:sz w:val="20"/>
          <w:szCs w:val="20"/>
          <w:color w:val="auto"/>
        </w:rPr>
      </w:pPr>
    </w:p>
    <w:p>
      <w:pPr>
        <w:ind w:left="240" w:hanging="232"/>
        <w:spacing w:after="0" w:line="250" w:lineRule="auto"/>
        <w:tabs>
          <w:tab w:leader="none" w:pos="2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was $90.6 million, an increase of 37%; excluding $11.8 million of biopharmaceutical services revenue, revenue was $78.8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20%.</w:t>
      </w:r>
    </w:p>
    <w:p>
      <w:pPr>
        <w:ind w:left="240" w:hanging="232"/>
        <w:spacing w:after="0" w:line="250" w:lineRule="auto"/>
        <w:tabs>
          <w:tab w:leader="none" w:pos="2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was 71%, an increase of eight percentage points; excluding biopharmaceutical services revenue, gross margin was 66%,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three percentage points.</w:t>
      </w: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Operating Expenses, Excluding Cost of Revenue </w:t>
      </w:r>
      <w:r>
        <w:rPr>
          <w:rFonts w:ascii="Arial" w:cs="Arial" w:eastAsia="Arial" w:hAnsi="Arial"/>
          <w:sz w:val="18"/>
          <w:szCs w:val="18"/>
          <w:color w:val="auto"/>
        </w:rPr>
        <w:t>were $71.2 million, an increase of 17%.</w:t>
      </w:r>
    </w:p>
    <w:p>
      <w:pPr>
        <w:spacing w:after="0" w:line="8"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was $5.1 million, an improvement of 74%.</w:t>
      </w:r>
    </w:p>
    <w:p>
      <w:pPr>
        <w:spacing w:after="0" w:line="8"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Net Loss Per Share </w:t>
      </w:r>
      <w:r>
        <w:rPr>
          <w:rFonts w:ascii="Arial" w:cs="Arial" w:eastAsia="Arial" w:hAnsi="Arial"/>
          <w:sz w:val="18"/>
          <w:szCs w:val="18"/>
          <w:color w:val="auto"/>
        </w:rPr>
        <w:t>was $0.11, an improvement of 80%.</w:t>
      </w:r>
    </w:p>
    <w:p>
      <w:pPr>
        <w:spacing w:after="0" w:line="8"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Net Cash Used in Operating Activities </w:t>
      </w:r>
      <w:r>
        <w:rPr>
          <w:rFonts w:ascii="Arial" w:cs="Arial" w:eastAsia="Arial" w:hAnsi="Arial"/>
          <w:sz w:val="18"/>
          <w:szCs w:val="18"/>
          <w:color w:val="auto"/>
        </w:rPr>
        <w:t>was $5.0 million, an improvement of 59%.</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2019 and Recent Business Highlights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Growth and Reimbursement Expansion:</w:t>
      </w:r>
    </w:p>
    <w:p>
      <w:pPr>
        <w:sectPr>
          <w:pgSz w:w="11900" w:h="16838" w:orient="portrait"/>
          <w:cols w:equalWidth="0" w:num="1">
            <w:col w:w="11420"/>
          </w:cols>
          <w:pgMar w:left="240" w:top="574" w:right="239" w:bottom="1440" w:gutter="0" w:footer="0" w:header="0"/>
        </w:sectPr>
      </w:pPr>
    </w:p>
    <w:bookmarkStart w:id="4" w:name="page5"/>
    <w:bookmarkEnd w:id="4"/>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Grew total genomic test volume in the third quarter of 2019 to 9,941, an increase of 24% over the third quarter of 2018.</w:t>
      </w:r>
    </w:p>
    <w:p>
      <w:pPr>
        <w:spacing w:after="0" w:line="30" w:lineRule="exact"/>
        <w:rPr>
          <w:rFonts w:ascii="Times New Roman" w:cs="Times New Roman" w:eastAsia="Times New Roman" w:hAnsi="Times New Roman"/>
          <w:sz w:val="18"/>
          <w:szCs w:val="18"/>
          <w:color w:val="auto"/>
        </w:rPr>
      </w:pPr>
    </w:p>
    <w:p>
      <w:pPr>
        <w:ind w:left="560" w:right="20" w:hanging="324"/>
        <w:spacing w:after="0" w:line="231" w:lineRule="auto"/>
        <w:rPr>
          <w:rFonts w:ascii="Times New Roman" w:cs="Times New Roman" w:eastAsia="Times New Roman" w:hAnsi="Times New Roman"/>
          <w:sz w:val="18"/>
          <w:szCs w:val="18"/>
          <w:color w:val="auto"/>
        </w:rPr>
      </w:pPr>
      <w:r>
        <w:rPr>
          <w:rFonts w:ascii="Arial" w:cs="Arial" w:eastAsia="Arial" w:hAnsi="Arial"/>
          <w:sz w:val="18"/>
          <w:szCs w:val="18"/>
          <w:color w:val="auto"/>
        </w:rPr>
        <w:t>– Increased Percepta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Genomic Sequencing Classifier (GSC) volume to 793 tests, an increase of 112% compared to the third quarter of 2018.</w:t>
      </w:r>
    </w:p>
    <w:p>
      <w:pPr>
        <w:ind w:left="240"/>
        <w:spacing w:after="0" w:line="214" w:lineRule="auto"/>
        <w:rPr>
          <w:rFonts w:ascii="Times New Roman" w:cs="Times New Roman" w:eastAsia="Times New Roman" w:hAnsi="Times New Roman"/>
          <w:sz w:val="18"/>
          <w:szCs w:val="18"/>
          <w:color w:val="auto"/>
        </w:rPr>
      </w:pPr>
      <w:r>
        <w:rPr>
          <w:rFonts w:ascii="Arial" w:cs="Arial" w:eastAsia="Arial" w:hAnsi="Arial"/>
          <w:sz w:val="18"/>
          <w:szCs w:val="18"/>
          <w:color w:val="auto"/>
        </w:rPr>
        <w:t>–   Expanded Envisia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Genomic Classifier volume to 223 tests, a Q3 2019 growth sequentially over Q2 2019 of 72%.</w:t>
      </w:r>
    </w:p>
    <w:p>
      <w:pPr>
        <w:ind w:left="24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   Grew Afirma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test volume to 8,925 tests, an increase of 17%, compared to the third quarter of last year.</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Strengthened Library of Clinical Evidence:</w:t>
      </w:r>
    </w:p>
    <w:p>
      <w:pPr>
        <w:spacing w:after="0" w:line="144" w:lineRule="exact"/>
        <w:rPr>
          <w:sz w:val="20"/>
          <w:szCs w:val="20"/>
          <w:color w:val="auto"/>
        </w:rPr>
      </w:pPr>
    </w:p>
    <w:p>
      <w:pPr>
        <w:jc w:val="both"/>
        <w:ind w:left="340" w:hanging="332"/>
        <w:spacing w:after="0" w:line="258" w:lineRule="auto"/>
        <w:tabs>
          <w:tab w:leader="none" w:pos="3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Published a clinical and analytical validation paper in </w:t>
      </w:r>
      <w:r>
        <w:rPr>
          <w:rFonts w:ascii="Arial" w:cs="Arial" w:eastAsia="Arial" w:hAnsi="Arial"/>
          <w:sz w:val="18"/>
          <w:szCs w:val="18"/>
          <w:i w:val="1"/>
          <w:iCs w:val="1"/>
          <w:color w:val="auto"/>
        </w:rPr>
        <w:t>Frontiers in Endocrinology</w:t>
      </w:r>
      <w:r>
        <w:rPr>
          <w:rFonts w:ascii="Arial" w:cs="Arial" w:eastAsia="Arial" w:hAnsi="Arial"/>
          <w:sz w:val="18"/>
          <w:szCs w:val="18"/>
          <w:color w:val="auto"/>
        </w:rPr>
        <w:t xml:space="preserve"> demonstrating the Afirma Xpression Atlas’s ability to help inform surgery and treatment decisions in patients with thyroid nodules deemed suspicious for cancer by the Afirma Genomic Sequencing Classifier. A separate paper published in </w:t>
      </w:r>
      <w:r>
        <w:rPr>
          <w:rFonts w:ascii="Arial" w:cs="Arial" w:eastAsia="Arial" w:hAnsi="Arial"/>
          <w:sz w:val="18"/>
          <w:szCs w:val="18"/>
          <w:i w:val="1"/>
          <w:iCs w:val="1"/>
          <w:color w:val="auto"/>
        </w:rPr>
        <w:t>Thyroid</w:t>
      </w:r>
      <w:r>
        <w:rPr>
          <w:rFonts w:ascii="Arial" w:cs="Arial" w:eastAsia="Arial" w:hAnsi="Arial"/>
          <w:sz w:val="18"/>
          <w:szCs w:val="18"/>
          <w:color w:val="auto"/>
        </w:rPr>
        <w:t xml:space="preserve"> reinforced the test’s potential value in clinical practice.</w:t>
      </w:r>
    </w:p>
    <w:p>
      <w:pPr>
        <w:spacing w:after="0" w:line="1" w:lineRule="exact"/>
        <w:rPr>
          <w:rFonts w:ascii="Times New Roman" w:cs="Times New Roman" w:eastAsia="Times New Roman" w:hAnsi="Times New Roman"/>
          <w:sz w:val="18"/>
          <w:szCs w:val="18"/>
          <w:color w:val="auto"/>
        </w:rPr>
      </w:pPr>
    </w:p>
    <w:p>
      <w:pPr>
        <w:ind w:left="340" w:hanging="332"/>
        <w:spacing w:after="0" w:line="214" w:lineRule="auto"/>
        <w:tabs>
          <w:tab w:leader="none" w:pos="3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Five studies are being presented at the annual meeting of the American College of Chest Physicians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(CHEST 2019), including:</w:t>
      </w:r>
    </w:p>
    <w:p>
      <w:pPr>
        <w:ind w:left="560" w:hanging="324"/>
        <w:spacing w:after="0" w:line="250" w:lineRule="auto"/>
        <w:rPr>
          <w:rFonts w:ascii="Times New Roman" w:cs="Times New Roman" w:eastAsia="Times New Roman" w:hAnsi="Times New Roman"/>
          <w:sz w:val="18"/>
          <w:szCs w:val="18"/>
          <w:color w:val="auto"/>
        </w:rPr>
      </w:pPr>
      <w:r>
        <w:rPr>
          <w:rFonts w:ascii="Arial" w:cs="Arial" w:eastAsia="Arial" w:hAnsi="Arial"/>
          <w:sz w:val="18"/>
          <w:szCs w:val="18"/>
          <w:color w:val="auto"/>
        </w:rPr>
        <w:t>– Three abstracts showing that the Envisia classifier enhances physicians’ ability to confidently distinguish idiopathic pulmonary fibrosis from other interstitial lung diseases when used with high-resolution CT imaging.</w:t>
      </w:r>
    </w:p>
    <w:p>
      <w:pPr>
        <w:ind w:left="560" w:right="20" w:hanging="324"/>
        <w:spacing w:after="0" w:line="266" w:lineRule="auto"/>
        <w:rPr>
          <w:rFonts w:ascii="Times New Roman" w:cs="Times New Roman" w:eastAsia="Times New Roman" w:hAnsi="Times New Roman"/>
          <w:sz w:val="18"/>
          <w:szCs w:val="18"/>
          <w:color w:val="auto"/>
        </w:rPr>
      </w:pPr>
      <w:r>
        <w:rPr>
          <w:rFonts w:ascii="Arial" w:cs="Arial" w:eastAsia="Arial" w:hAnsi="Arial"/>
          <w:sz w:val="18"/>
          <w:szCs w:val="18"/>
          <w:color w:val="auto"/>
        </w:rPr>
        <w:t>– Two abstracts demonstrating the clinical validity and utility, respectively, of the Percepta classifier in lung cancer diagnosis when bronchoscopy findings are inconclusive.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Advanced Pipeline:</w:t>
      </w:r>
    </w:p>
    <w:p>
      <w:pPr>
        <w:spacing w:after="0" w:line="225" w:lineRule="exact"/>
        <w:rPr>
          <w:sz w:val="20"/>
          <w:szCs w:val="20"/>
          <w:color w:val="auto"/>
        </w:rPr>
      </w:pPr>
    </w:p>
    <w:p>
      <w:pPr>
        <w:jc w:val="both"/>
        <w:ind w:left="340" w:right="20" w:hanging="332"/>
        <w:spacing w:after="0" w:line="270" w:lineRule="auto"/>
        <w:tabs>
          <w:tab w:leader="none" w:pos="3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Presented data at CHEST 2019 demonstrating the ability of the company’s preliminary nasal swab test to enable early lung cancer detection and diagnosis. The findings show that the test can accurately classify lung cancer risk in patients with lung nodules so that they may be directed to prompt diagnosis and treatment or may be monitored noninvasively.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Updated 2019 Financial Outlook</w:t>
      </w:r>
    </w:p>
    <w:p>
      <w:pPr>
        <w:spacing w:after="0" w:line="119"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Veracyte is re-affirming its 2019 annual revenue guidance of $119 million to $122 million and net cash used in operating activities of $2 million to $4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Details</w:t>
      </w:r>
    </w:p>
    <w:p>
      <w:pPr>
        <w:spacing w:after="0" w:line="119"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Veracyte will host a conference call and webcast to discuss its financial results and provide a general business update at 5:00 p.m. Eastern time today.</w:t>
      </w:r>
    </w:p>
    <w:p>
      <w:pPr>
        <w:spacing w:after="0" w:line="145"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The conference call will be webcast live from the company’s website and will be available via the following link: https://edge.media-server.com/mmc/p/djat9cqg.The webcast should be accessed 10 minutes prior to the conference call start time.</w:t>
      </w:r>
    </w:p>
    <w:p>
      <w:pPr>
        <w:spacing w:after="0" w:line="145"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A replay of the webcast will be available for one year following the conclusion of the live broadcast and will be accessible on the company’s website at https://investor.veracyte.com/events-presentations.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4480" w:type="dxa"/>
            <w:vAlign w:val="bottom"/>
          </w:tcPr>
          <w:p>
            <w:pPr>
              <w:spacing w:after="0"/>
              <w:rPr>
                <w:sz w:val="20"/>
                <w:szCs w:val="20"/>
                <w:color w:val="auto"/>
              </w:rPr>
            </w:pPr>
            <w:r>
              <w:rPr>
                <w:rFonts w:ascii="Arial" w:cs="Arial" w:eastAsia="Arial" w:hAnsi="Arial"/>
                <w:sz w:val="18"/>
                <w:szCs w:val="18"/>
                <w:color w:val="auto"/>
              </w:rPr>
              <w:t>U.S./Canada participant dial-in number (toll-free):</w:t>
            </w:r>
          </w:p>
        </w:tc>
        <w:tc>
          <w:tcPr>
            <w:tcW w:w="1800" w:type="dxa"/>
            <w:vAlign w:val="bottom"/>
          </w:tcPr>
          <w:p>
            <w:pPr>
              <w:ind w:left="560"/>
              <w:spacing w:after="0"/>
              <w:rPr>
                <w:sz w:val="20"/>
                <w:szCs w:val="20"/>
                <w:color w:val="auto"/>
              </w:rPr>
            </w:pPr>
            <w:r>
              <w:rPr>
                <w:rFonts w:ascii="Arial" w:cs="Arial" w:eastAsia="Arial" w:hAnsi="Arial"/>
                <w:sz w:val="18"/>
                <w:szCs w:val="18"/>
                <w:color w:val="auto"/>
                <w:w w:val="99"/>
              </w:rPr>
              <w:t>(855) 541-0980</w:t>
            </w:r>
          </w:p>
        </w:tc>
      </w:tr>
      <w:tr>
        <w:trPr>
          <w:trHeight w:val="257"/>
        </w:trPr>
        <w:tc>
          <w:tcPr>
            <w:tcW w:w="4480" w:type="dxa"/>
            <w:vAlign w:val="bottom"/>
          </w:tcPr>
          <w:p>
            <w:pPr>
              <w:spacing w:after="0"/>
              <w:rPr>
                <w:sz w:val="20"/>
                <w:szCs w:val="20"/>
                <w:color w:val="auto"/>
              </w:rPr>
            </w:pPr>
            <w:r>
              <w:rPr>
                <w:rFonts w:ascii="Arial" w:cs="Arial" w:eastAsia="Arial" w:hAnsi="Arial"/>
                <w:sz w:val="18"/>
                <w:szCs w:val="18"/>
                <w:color w:val="auto"/>
              </w:rPr>
              <w:t>International participant dial-in number:</w:t>
            </w:r>
          </w:p>
        </w:tc>
        <w:tc>
          <w:tcPr>
            <w:tcW w:w="1800" w:type="dxa"/>
            <w:vAlign w:val="bottom"/>
          </w:tcPr>
          <w:p>
            <w:pPr>
              <w:ind w:left="560"/>
              <w:spacing w:after="0"/>
              <w:rPr>
                <w:sz w:val="20"/>
                <w:szCs w:val="20"/>
                <w:color w:val="auto"/>
              </w:rPr>
            </w:pPr>
            <w:r>
              <w:rPr>
                <w:rFonts w:ascii="Arial" w:cs="Arial" w:eastAsia="Arial" w:hAnsi="Arial"/>
                <w:sz w:val="18"/>
                <w:szCs w:val="18"/>
                <w:color w:val="auto"/>
                <w:w w:val="99"/>
              </w:rPr>
              <w:t>(970) 315-0440</w:t>
            </w:r>
          </w:p>
        </w:tc>
      </w:tr>
      <w:tr>
        <w:trPr>
          <w:trHeight w:val="257"/>
        </w:trPr>
        <w:tc>
          <w:tcPr>
            <w:tcW w:w="4480" w:type="dxa"/>
            <w:vAlign w:val="bottom"/>
          </w:tcPr>
          <w:p>
            <w:pPr>
              <w:spacing w:after="0"/>
              <w:rPr>
                <w:sz w:val="20"/>
                <w:szCs w:val="20"/>
                <w:color w:val="auto"/>
              </w:rPr>
            </w:pPr>
            <w:r>
              <w:rPr>
                <w:rFonts w:ascii="Arial" w:cs="Arial" w:eastAsia="Arial" w:hAnsi="Arial"/>
                <w:sz w:val="18"/>
                <w:szCs w:val="18"/>
                <w:color w:val="auto"/>
              </w:rPr>
              <w:t>Conference I.D.:</w:t>
            </w:r>
          </w:p>
        </w:tc>
        <w:tc>
          <w:tcPr>
            <w:tcW w:w="1800" w:type="dxa"/>
            <w:vAlign w:val="bottom"/>
          </w:tcPr>
          <w:p>
            <w:pPr>
              <w:ind w:left="560"/>
              <w:spacing w:after="0"/>
              <w:rPr>
                <w:sz w:val="20"/>
                <w:szCs w:val="20"/>
                <w:color w:val="auto"/>
              </w:rPr>
            </w:pPr>
            <w:r>
              <w:rPr>
                <w:rFonts w:ascii="Arial" w:cs="Arial" w:eastAsia="Arial" w:hAnsi="Arial"/>
                <w:sz w:val="18"/>
                <w:szCs w:val="18"/>
                <w:color w:val="auto"/>
              </w:rPr>
              <w:t>8767084</w:t>
            </w: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3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Veracyte (Nasdaq: VCYT) is a leading genomic diagnostics company that improves patient care by providing answers to clinical questions that inform diagnosis and treatment decisions without the need for costly, risky surgeries that are often unnecessary. The company's products uniquely combine RNA whole-transcriptome sequencing and machine learning to deliver results that give patients and physicians a clear path forward. Since its founding in 2008, Veracyte has commercialized seven genomic tests and is transforming the diagnosis of thyroid</w:t>
      </w:r>
    </w:p>
    <w:p>
      <w:pPr>
        <w:sectPr>
          <w:pgSz w:w="11900" w:h="16838" w:orient="portrait"/>
          <w:cols w:equalWidth="0" w:num="1">
            <w:col w:w="11420"/>
          </w:cols>
          <w:pgMar w:left="240" w:top="576" w:right="239" w:bottom="1440" w:gutter="0" w:footer="0" w:header="0"/>
        </w:sectPr>
      </w:pPr>
    </w:p>
    <w:bookmarkStart w:id="5" w:name="page6"/>
    <w:bookmarkEnd w:id="5"/>
    <w:p>
      <w:pPr>
        <w:ind w:right="120"/>
        <w:spacing w:after="0" w:line="292" w:lineRule="auto"/>
        <w:rPr>
          <w:sz w:val="20"/>
          <w:szCs w:val="20"/>
          <w:color w:val="auto"/>
        </w:rPr>
      </w:pPr>
      <w:r>
        <w:rPr>
          <w:rFonts w:ascii="Arial" w:cs="Arial" w:eastAsia="Arial" w:hAnsi="Arial"/>
          <w:sz w:val="18"/>
          <w:szCs w:val="18"/>
          <w:color w:val="auto"/>
        </w:rPr>
        <w:t>cancer, lung cancer and idiopathic pulmonary fibrosis. Veracyte is based in South San Francisco, California. For more information, please visit www.veracyte.com and follow the company on Twitter (@veracyte).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Forward-looking statements can be identified by words such as: "anticipate," "intend," "plan," "expect," "believe," "should," "may," "will" and similar references to future periods. Examples of forward-looking statements include, among others, our third quarter 2019 performance; our 2019 annual revenue guidance; our expectations regarding fourth quarter 2019 revenue and cashflow; the potential impact of the preliminary data for our nasal swab test in improving lung cancer detection and diagnosis . Forward-looking statements are neither historical facts nor assurances of future performance, but are based only on our current beliefs, expectations and assumptions. These statements involve risks and uncertainties, which could cause actual results to differ materially from our predictions, and include, but are not limited to: the benefits of our tests and the applicability of clinical results to actual outcomes; the laws and regulations applicable to our business, including potential regulation by the Food and Drug Administration or other regulatory bodies; our ability to successfully achieve and maintain adoption of and reimbursement for our products; the amount by which use of our products are able to reduce invasive procedures and misdiagnosis, and reduce healthcare costs; the occurrence and outcomes of clinical studies; and other risks set forth in our filings with the Securities and Exchange Commission, including the risks set forth in our quarterly report on Form 10-Q for the quarter ended September 30, 2019. These forward-looking statements speak only as of the date hereof and Veracyte specifically disclaims any obligation to update these forward-looking statements or reasons why actual results might differ, whether as a result of new information, future events or otherwise, except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Veracyte, Afirma, Percepta, Envisia and the Veracyte logo are trademarks of Veracyte, Inc.</w:t>
      </w:r>
    </w:p>
    <w:p>
      <w:pPr>
        <w:sectPr>
          <w:pgSz w:w="11900" w:h="16838" w:orient="portrait"/>
          <w:cols w:equalWidth="0" w:num="1">
            <w:col w:w="11420"/>
          </w:cols>
          <w:pgMar w:left="240" w:top="576" w:right="2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VERACYTE,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tcPr>
          <w:p>
            <w:pPr>
              <w:spacing w:after="0"/>
              <w:rPr>
                <w:sz w:val="17"/>
                <w:szCs w:val="17"/>
                <w:color w:val="auto"/>
              </w:rPr>
            </w:pPr>
          </w:p>
        </w:tc>
        <w:tc>
          <w:tcPr>
            <w:tcW w:w="2980" w:type="dxa"/>
            <w:vAlign w:val="bottom"/>
            <w:gridSpan w:val="6"/>
          </w:tcPr>
          <w:p>
            <w:pPr>
              <w:ind w:left="80"/>
              <w:spacing w:after="0"/>
              <w:rPr>
                <w:sz w:val="20"/>
                <w:szCs w:val="20"/>
                <w:color w:val="auto"/>
              </w:rPr>
            </w:pPr>
            <w:r>
              <w:rPr>
                <w:rFonts w:ascii="Arial" w:cs="Arial" w:eastAsia="Arial" w:hAnsi="Arial"/>
                <w:sz w:val="18"/>
                <w:szCs w:val="18"/>
                <w:b w:val="1"/>
                <w:bCs w:val="1"/>
                <w:color w:val="auto"/>
              </w:rPr>
              <w:t>Three Months Ended September</w:t>
            </w:r>
          </w:p>
        </w:tc>
        <w:tc>
          <w:tcPr>
            <w:tcW w:w="3080" w:type="dxa"/>
            <w:vAlign w:val="bottom"/>
            <w:gridSpan w:val="5"/>
          </w:tcPr>
          <w:p>
            <w:pPr>
              <w:jc w:val="right"/>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54"/>
        </w:trPr>
        <w:tc>
          <w:tcPr>
            <w:tcW w:w="53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30,</w:t>
            </w:r>
          </w:p>
        </w:tc>
        <w:tc>
          <w:tcPr>
            <w:tcW w:w="1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3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47"/>
        </w:trPr>
        <w:tc>
          <w:tcPr>
            <w:tcW w:w="5320" w:type="dxa"/>
            <w:vAlign w:val="bottom"/>
          </w:tcPr>
          <w:p>
            <w:pPr>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30,973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23,466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90,638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66,258</w:t>
            </w:r>
          </w:p>
        </w:tc>
        <w:tc>
          <w:tcPr>
            <w:tcW w:w="0" w:type="dxa"/>
            <w:vAlign w:val="bottom"/>
          </w:tcPr>
          <w:p>
            <w:pPr>
              <w:spacing w:after="0"/>
              <w:rPr>
                <w:sz w:val="1"/>
                <w:szCs w:val="1"/>
                <w:color w:val="auto"/>
              </w:rPr>
            </w:pPr>
          </w:p>
        </w:tc>
      </w:tr>
      <w:tr>
        <w:trPr>
          <w:trHeight w:val="270"/>
        </w:trPr>
        <w:tc>
          <w:tcPr>
            <w:tcW w:w="5320" w:type="dxa"/>
            <w:vAlign w:val="bottom"/>
          </w:tcPr>
          <w:p>
            <w:pPr>
              <w:ind w:left="16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20" w:type="dxa"/>
            <w:vAlign w:val="bottom"/>
          </w:tcPr>
          <w:p>
            <w:pPr>
              <w:ind w:left="16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9,114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8,261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26,404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24,374</w:t>
            </w:r>
          </w:p>
        </w:tc>
        <w:tc>
          <w:tcPr>
            <w:tcW w:w="0" w:type="dxa"/>
            <w:vAlign w:val="bottom"/>
          </w:tcPr>
          <w:p>
            <w:pPr>
              <w:spacing w:after="0"/>
              <w:rPr>
                <w:sz w:val="1"/>
                <w:szCs w:val="1"/>
                <w:color w:val="auto"/>
              </w:rPr>
            </w:pPr>
          </w:p>
        </w:tc>
      </w:tr>
      <w:tr>
        <w:trPr>
          <w:trHeight w:val="270"/>
        </w:trPr>
        <w:tc>
          <w:tcPr>
            <w:tcW w:w="53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3,643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3,419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10,408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11,695</w:t>
            </w:r>
          </w:p>
        </w:tc>
        <w:tc>
          <w:tcPr>
            <w:tcW w:w="0" w:type="dxa"/>
            <w:vAlign w:val="bottom"/>
          </w:tcPr>
          <w:p>
            <w:pPr>
              <w:spacing w:after="0"/>
              <w:rPr>
                <w:sz w:val="1"/>
                <w:szCs w:val="1"/>
                <w:color w:val="auto"/>
              </w:rPr>
            </w:pPr>
          </w:p>
        </w:tc>
      </w:tr>
      <w:tr>
        <w:trPr>
          <w:trHeight w:val="270"/>
        </w:trPr>
        <w:tc>
          <w:tcPr>
            <w:tcW w:w="5320" w:type="dxa"/>
            <w:vAlign w:val="bottom"/>
          </w:tcPr>
          <w:p>
            <w:pPr>
              <w:ind w:left="160"/>
              <w:spacing w:after="0"/>
              <w:rPr>
                <w:sz w:val="20"/>
                <w:szCs w:val="20"/>
                <w:color w:val="auto"/>
              </w:rPr>
            </w:pPr>
            <w:r>
              <w:rPr>
                <w:rFonts w:ascii="Arial" w:cs="Arial" w:eastAsia="Arial" w:hAnsi="Arial"/>
                <w:sz w:val="18"/>
                <w:szCs w:val="18"/>
                <w:color w:val="auto"/>
              </w:rPr>
              <w:t>Selling and marketing</w:t>
            </w:r>
          </w:p>
        </w:tc>
        <w:tc>
          <w:tcPr>
            <w:tcW w:w="2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13,088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10,081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39,508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31,247</w:t>
            </w:r>
          </w:p>
        </w:tc>
        <w:tc>
          <w:tcPr>
            <w:tcW w:w="0" w:type="dxa"/>
            <w:vAlign w:val="bottom"/>
          </w:tcPr>
          <w:p>
            <w:pPr>
              <w:spacing w:after="0"/>
              <w:rPr>
                <w:sz w:val="1"/>
                <w:szCs w:val="1"/>
                <w:color w:val="auto"/>
              </w:rPr>
            </w:pPr>
          </w:p>
        </w:tc>
      </w:tr>
      <w:tr>
        <w:trPr>
          <w:trHeight w:val="270"/>
        </w:trPr>
        <w:tc>
          <w:tcPr>
            <w:tcW w:w="53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6,624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5,742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20,448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17,318</w:t>
            </w:r>
          </w:p>
        </w:tc>
        <w:tc>
          <w:tcPr>
            <w:tcW w:w="0" w:type="dxa"/>
            <w:vAlign w:val="bottom"/>
          </w:tcPr>
          <w:p>
            <w:pPr>
              <w:spacing w:after="0"/>
              <w:rPr>
                <w:sz w:val="1"/>
                <w:szCs w:val="1"/>
                <w:color w:val="auto"/>
              </w:rPr>
            </w:pPr>
          </w:p>
        </w:tc>
      </w:tr>
      <w:tr>
        <w:trPr>
          <w:trHeight w:val="273"/>
        </w:trPr>
        <w:tc>
          <w:tcPr>
            <w:tcW w:w="5320" w:type="dxa"/>
            <w:vAlign w:val="bottom"/>
          </w:tcPr>
          <w:p>
            <w:pPr>
              <w:ind w:left="160"/>
              <w:spacing w:after="0"/>
              <w:rPr>
                <w:sz w:val="20"/>
                <w:szCs w:val="20"/>
                <w:color w:val="auto"/>
              </w:rPr>
            </w:pPr>
            <w:r>
              <w:rPr>
                <w:rFonts w:ascii="Arial" w:cs="Arial" w:eastAsia="Arial" w:hAnsi="Arial"/>
                <w:sz w:val="18"/>
                <w:szCs w:val="18"/>
                <w:color w:val="auto"/>
              </w:rPr>
              <w:t>Intangible asset amortization</w:t>
            </w: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50"/>
        </w:trPr>
        <w:tc>
          <w:tcPr>
            <w:tcW w:w="532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32,736</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27,770</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97,568</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85,434</w:t>
            </w:r>
          </w:p>
        </w:tc>
        <w:tc>
          <w:tcPr>
            <w:tcW w:w="0" w:type="dxa"/>
            <w:vAlign w:val="bottom"/>
          </w:tcPr>
          <w:p>
            <w:pPr>
              <w:spacing w:after="0"/>
              <w:rPr>
                <w:sz w:val="1"/>
                <w:szCs w:val="1"/>
                <w:color w:val="auto"/>
              </w:rPr>
            </w:pPr>
          </w:p>
        </w:tc>
      </w:tr>
      <w:tr>
        <w:trPr>
          <w:trHeight w:val="247"/>
        </w:trPr>
        <w:tc>
          <w:tcPr>
            <w:tcW w:w="5320" w:type="dxa"/>
            <w:vAlign w:val="bottom"/>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(19,176)</w:t>
            </w:r>
          </w:p>
        </w:tc>
        <w:tc>
          <w:tcPr>
            <w:tcW w:w="0" w:type="dxa"/>
            <w:vAlign w:val="bottom"/>
          </w:tcPr>
          <w:p>
            <w:pPr>
              <w:spacing w:after="0"/>
              <w:rPr>
                <w:sz w:val="1"/>
                <w:szCs w:val="1"/>
                <w:color w:val="auto"/>
              </w:rPr>
            </w:pPr>
          </w:p>
        </w:tc>
      </w:tr>
      <w:tr>
        <w:trPr>
          <w:trHeight w:val="270"/>
        </w:trPr>
        <w:tc>
          <w:tcPr>
            <w:tcW w:w="532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75"/>
        </w:trPr>
        <w:tc>
          <w:tcPr>
            <w:tcW w:w="5320" w:type="dxa"/>
            <w:vAlign w:val="bottom"/>
          </w:tcPr>
          <w:p>
            <w:pPr>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1,091</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2,385</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55"/>
        </w:trPr>
        <w:tc>
          <w:tcPr>
            <w:tcW w:w="532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(4,469)</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(5,141)</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(19,894)</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20" w:type="dxa"/>
            <w:vAlign w:val="bottom"/>
          </w:tcPr>
          <w:p>
            <w:pPr>
              <w:spacing w:after="0"/>
              <w:rPr>
                <w:sz w:val="20"/>
                <w:szCs w:val="20"/>
                <w:color w:val="auto"/>
              </w:rPr>
            </w:pPr>
            <w:r>
              <w:rPr>
                <w:rFonts w:ascii="Arial" w:cs="Arial" w:eastAsia="Arial" w:hAnsi="Arial"/>
                <w:sz w:val="18"/>
                <w:szCs w:val="18"/>
                <w:color w:val="auto"/>
              </w:rPr>
              <w:t>Net loss per common share, basic and diluted</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line="201" w:lineRule="exact"/>
              <w:rPr>
                <w:sz w:val="20"/>
                <w:szCs w:val="20"/>
                <w:color w:val="auto"/>
              </w:rPr>
            </w:pPr>
            <w:r>
              <w:rPr>
                <w:rFonts w:ascii="Arial" w:cs="Arial" w:eastAsia="Arial" w:hAnsi="Arial"/>
                <w:sz w:val="18"/>
                <w:szCs w:val="18"/>
                <w:color w:val="auto"/>
              </w:rPr>
              <w:t>Shares used to compute net loss per common share, basic and</w:t>
            </w: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3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48,588,296</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vMerge w:val="restart"/>
          </w:tcPr>
          <w:p>
            <w:pPr>
              <w:jc w:val="right"/>
              <w:ind w:right="30"/>
              <w:spacing w:after="0"/>
              <w:rPr>
                <w:sz w:val="20"/>
                <w:szCs w:val="20"/>
                <w:color w:val="auto"/>
              </w:rPr>
            </w:pPr>
            <w:r>
              <w:rPr>
                <w:rFonts w:ascii="Arial" w:cs="Arial" w:eastAsia="Arial" w:hAnsi="Arial"/>
                <w:sz w:val="18"/>
                <w:szCs w:val="18"/>
                <w:color w:val="auto"/>
              </w:rPr>
              <w:t>38,620,036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vMerge w:val="restart"/>
          </w:tcPr>
          <w:p>
            <w:pPr>
              <w:jc w:val="right"/>
              <w:ind w:right="10"/>
              <w:spacing w:after="0"/>
              <w:rPr>
                <w:sz w:val="20"/>
                <w:szCs w:val="20"/>
                <w:color w:val="auto"/>
              </w:rPr>
            </w:pPr>
            <w:r>
              <w:rPr>
                <w:rFonts w:ascii="Arial" w:cs="Arial" w:eastAsia="Arial" w:hAnsi="Arial"/>
                <w:sz w:val="18"/>
                <w:szCs w:val="18"/>
                <w:color w:val="auto"/>
              </w:rPr>
              <w:t>45,141,502</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vMerge w:val="restart"/>
          </w:tcPr>
          <w:p>
            <w:pPr>
              <w:jc w:val="right"/>
              <w:ind w:right="10"/>
              <w:spacing w:after="0"/>
              <w:rPr>
                <w:sz w:val="20"/>
                <w:szCs w:val="20"/>
                <w:color w:val="auto"/>
              </w:rPr>
            </w:pPr>
            <w:r>
              <w:rPr>
                <w:rFonts w:ascii="Arial" w:cs="Arial" w:eastAsia="Arial" w:hAnsi="Arial"/>
                <w:sz w:val="18"/>
                <w:szCs w:val="18"/>
                <w:color w:val="auto"/>
              </w:rPr>
              <w:t>35,769,623</w:t>
            </w:r>
          </w:p>
        </w:tc>
        <w:tc>
          <w:tcPr>
            <w:tcW w:w="0" w:type="dxa"/>
            <w:vAlign w:val="bottom"/>
          </w:tcPr>
          <w:p>
            <w:pPr>
              <w:spacing w:after="0"/>
              <w:rPr>
                <w:sz w:val="1"/>
                <w:szCs w:val="1"/>
                <w:color w:val="auto"/>
              </w:rPr>
            </w:pPr>
          </w:p>
        </w:tc>
      </w:tr>
      <w:tr>
        <w:trPr>
          <w:trHeight w:val="239"/>
        </w:trPr>
        <w:tc>
          <w:tcPr>
            <w:tcW w:w="5320" w:type="dxa"/>
            <w:vAlign w:val="bottom"/>
          </w:tcPr>
          <w:p>
            <w:pPr>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736" w:right="2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VERACYTE,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BALANCE SHEETS</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7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September 30, 2019</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December 31, 2018</w:t>
            </w:r>
          </w:p>
        </w:tc>
        <w:tc>
          <w:tcPr>
            <w:tcW w:w="0" w:type="dxa"/>
            <w:vAlign w:val="bottom"/>
          </w:tcPr>
          <w:p>
            <w:pPr>
              <w:spacing w:after="0"/>
              <w:rPr>
                <w:sz w:val="1"/>
                <w:szCs w:val="1"/>
                <w:color w:val="auto"/>
              </w:rPr>
            </w:pPr>
          </w:p>
        </w:tc>
      </w:tr>
      <w:tr>
        <w:trPr>
          <w:trHeight w:val="255"/>
        </w:trPr>
        <w:tc>
          <w:tcPr>
            <w:tcW w:w="6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(Unaudited)</w:t>
            </w:r>
          </w:p>
        </w:tc>
        <w:tc>
          <w:tcPr>
            <w:tcW w:w="180" w:type="dxa"/>
            <w:vAlign w:val="bottom"/>
          </w:tcPr>
          <w:p>
            <w:pPr>
              <w:spacing w:after="0"/>
              <w:rPr>
                <w:sz w:val="22"/>
                <w:szCs w:val="22"/>
                <w:color w:val="auto"/>
              </w:rPr>
            </w:pPr>
          </w:p>
        </w:tc>
        <w:tc>
          <w:tcPr>
            <w:tcW w:w="1960" w:type="dxa"/>
            <w:vAlign w:val="bottom"/>
          </w:tcPr>
          <w:p>
            <w:pPr>
              <w:jc w:val="right"/>
              <w:ind w:right="470"/>
              <w:spacing w:after="0"/>
              <w:rPr>
                <w:sz w:val="20"/>
                <w:szCs w:val="20"/>
                <w:color w:val="auto"/>
              </w:rPr>
            </w:pPr>
            <w:r>
              <w:rPr>
                <w:rFonts w:ascii="Arial" w:cs="Arial" w:eastAsia="Arial" w:hAnsi="Arial"/>
                <w:sz w:val="18"/>
                <w:szCs w:val="18"/>
                <w:b w:val="1"/>
                <w:bCs w:val="1"/>
                <w:color w:val="auto"/>
              </w:rPr>
              <w:t>(See Note 1)</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676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76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195,662</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77,995</w:t>
            </w:r>
          </w:p>
        </w:tc>
        <w:tc>
          <w:tcPr>
            <w:tcW w:w="0" w:type="dxa"/>
            <w:vAlign w:val="bottom"/>
          </w:tcPr>
          <w:p>
            <w:pPr>
              <w:spacing w:after="0"/>
              <w:rPr>
                <w:sz w:val="1"/>
                <w:szCs w:val="1"/>
                <w:color w:val="auto"/>
              </w:rPr>
            </w:pPr>
          </w:p>
        </w:tc>
      </w:tr>
      <w:tr>
        <w:trPr>
          <w:trHeight w:val="270"/>
        </w:trPr>
        <w:tc>
          <w:tcPr>
            <w:tcW w:w="676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23,613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13,168</w:t>
            </w:r>
          </w:p>
        </w:tc>
        <w:tc>
          <w:tcPr>
            <w:tcW w:w="0" w:type="dxa"/>
            <w:vAlign w:val="bottom"/>
          </w:tcPr>
          <w:p>
            <w:pPr>
              <w:spacing w:after="0"/>
              <w:rPr>
                <w:sz w:val="1"/>
                <w:szCs w:val="1"/>
                <w:color w:val="auto"/>
              </w:rPr>
            </w:pPr>
          </w:p>
        </w:tc>
      </w:tr>
      <w:tr>
        <w:trPr>
          <w:trHeight w:val="270"/>
        </w:trPr>
        <w:tc>
          <w:tcPr>
            <w:tcW w:w="6760" w:type="dxa"/>
            <w:vAlign w:val="bottom"/>
          </w:tcPr>
          <w:p>
            <w:pPr>
              <w:ind w:left="160"/>
              <w:spacing w:after="0"/>
              <w:rPr>
                <w:sz w:val="20"/>
                <w:szCs w:val="20"/>
                <w:color w:val="auto"/>
              </w:rPr>
            </w:pPr>
            <w:r>
              <w:rPr>
                <w:rFonts w:ascii="Arial" w:cs="Arial" w:eastAsia="Arial" w:hAnsi="Arial"/>
                <w:sz w:val="18"/>
                <w:szCs w:val="18"/>
                <w:color w:val="auto"/>
              </w:rPr>
              <w:t>Supplies</w:t>
            </w: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6,608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3,402</w:t>
            </w:r>
          </w:p>
        </w:tc>
        <w:tc>
          <w:tcPr>
            <w:tcW w:w="0" w:type="dxa"/>
            <w:vAlign w:val="bottom"/>
          </w:tcPr>
          <w:p>
            <w:pPr>
              <w:spacing w:after="0"/>
              <w:rPr>
                <w:sz w:val="1"/>
                <w:szCs w:val="1"/>
                <w:color w:val="auto"/>
              </w:rPr>
            </w:pPr>
          </w:p>
        </w:tc>
      </w:tr>
      <w:tr>
        <w:trPr>
          <w:trHeight w:val="273"/>
        </w:trPr>
        <w:tc>
          <w:tcPr>
            <w:tcW w:w="676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2,196</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247"/>
        </w:trPr>
        <w:tc>
          <w:tcPr>
            <w:tcW w:w="676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228,079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96,952</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8,488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8,940</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Right-of-use assets - finance lease, net</w:t>
            </w: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Right-of-use assets - operating lease</w:t>
            </w: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9,033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Finite-lived intangible assets, net</w:t>
            </w: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11,200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5"/>
        </w:trPr>
        <w:tc>
          <w:tcPr>
            <w:tcW w:w="676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55"/>
        </w:trPr>
        <w:tc>
          <w:tcPr>
            <w:tcW w:w="676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260,307</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120,638</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7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676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76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5,568</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2,516</w:t>
            </w:r>
          </w:p>
        </w:tc>
        <w:tc>
          <w:tcPr>
            <w:tcW w:w="0" w:type="dxa"/>
            <w:vAlign w:val="bottom"/>
          </w:tcPr>
          <w:p>
            <w:pPr>
              <w:spacing w:after="0"/>
              <w:rPr>
                <w:sz w:val="1"/>
                <w:szCs w:val="1"/>
                <w:color w:val="auto"/>
              </w:rPr>
            </w:pPr>
          </w:p>
        </w:tc>
      </w:tr>
      <w:tr>
        <w:trPr>
          <w:trHeight w:val="270"/>
        </w:trPr>
        <w:tc>
          <w:tcPr>
            <w:tcW w:w="676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9,760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9,186</w:t>
            </w:r>
          </w:p>
        </w:tc>
        <w:tc>
          <w:tcPr>
            <w:tcW w:w="0" w:type="dxa"/>
            <w:vAlign w:val="bottom"/>
          </w:tcPr>
          <w:p>
            <w:pPr>
              <w:spacing w:after="0"/>
              <w:rPr>
                <w:sz w:val="1"/>
                <w:szCs w:val="1"/>
                <w:color w:val="auto"/>
              </w:rPr>
            </w:pPr>
          </w:p>
        </w:tc>
      </w:tr>
      <w:tr>
        <w:trPr>
          <w:trHeight w:val="270"/>
        </w:trPr>
        <w:tc>
          <w:tcPr>
            <w:tcW w:w="676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spacing w:after="0"/>
              <w:rPr>
                <w:sz w:val="23"/>
                <w:szCs w:val="23"/>
                <w:color w:val="auto"/>
              </w:rPr>
            </w:pP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70"/>
        </w:trPr>
        <w:tc>
          <w:tcPr>
            <w:tcW w:w="6760" w:type="dxa"/>
            <w:vAlign w:val="bottom"/>
          </w:tcPr>
          <w:p>
            <w:pPr>
              <w:ind w:left="160"/>
              <w:spacing w:after="0"/>
              <w:rPr>
                <w:sz w:val="20"/>
                <w:szCs w:val="20"/>
                <w:color w:val="auto"/>
              </w:rPr>
            </w:pPr>
            <w:r>
              <w:rPr>
                <w:rFonts w:ascii="Arial" w:cs="Arial" w:eastAsia="Arial" w:hAnsi="Arial"/>
                <w:sz w:val="18"/>
                <w:szCs w:val="18"/>
                <w:color w:val="auto"/>
              </w:rPr>
              <w:t>Current portion of finance lease liability</w:t>
            </w: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3"/>
        </w:trPr>
        <w:tc>
          <w:tcPr>
            <w:tcW w:w="6760" w:type="dxa"/>
            <w:vAlign w:val="bottom"/>
          </w:tcPr>
          <w:p>
            <w:pPr>
              <w:ind w:left="160"/>
              <w:spacing w:after="0"/>
              <w:rPr>
                <w:sz w:val="20"/>
                <w:szCs w:val="20"/>
                <w:color w:val="auto"/>
              </w:rPr>
            </w:pPr>
            <w:r>
              <w:rPr>
                <w:rFonts w:ascii="Arial" w:cs="Arial" w:eastAsia="Arial" w:hAnsi="Arial"/>
                <w:sz w:val="18"/>
                <w:szCs w:val="18"/>
                <w:color w:val="auto"/>
              </w:rPr>
              <w:t>Current portion of operating lease liability</w:t>
            </w:r>
          </w:p>
        </w:tc>
        <w:tc>
          <w:tcPr>
            <w:tcW w:w="18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1,365</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67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16,772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13,059</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23,925</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Deferred rent, net of current portion</w:t>
            </w:r>
          </w:p>
        </w:tc>
        <w:tc>
          <w:tcPr>
            <w:tcW w:w="180" w:type="dxa"/>
            <w:vAlign w:val="bottom"/>
          </w:tcPr>
          <w:p>
            <w:pPr>
              <w:spacing w:after="0"/>
              <w:rPr>
                <w:sz w:val="23"/>
                <w:szCs w:val="23"/>
                <w:color w:val="auto"/>
              </w:rPr>
            </w:pP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3,899</w:t>
            </w:r>
          </w:p>
        </w:tc>
        <w:tc>
          <w:tcPr>
            <w:tcW w:w="0" w:type="dxa"/>
            <w:vAlign w:val="bottom"/>
          </w:tcPr>
          <w:p>
            <w:pPr>
              <w:spacing w:after="0"/>
              <w:rPr>
                <w:sz w:val="1"/>
                <w:szCs w:val="1"/>
                <w:color w:val="auto"/>
              </w:rPr>
            </w:pPr>
          </w:p>
        </w:tc>
      </w:tr>
      <w:tr>
        <w:trPr>
          <w:trHeight w:val="273"/>
        </w:trPr>
        <w:tc>
          <w:tcPr>
            <w:tcW w:w="6760" w:type="dxa"/>
            <w:vAlign w:val="bottom"/>
          </w:tcPr>
          <w:p>
            <w:pPr>
              <w:spacing w:after="0"/>
              <w:rPr>
                <w:sz w:val="20"/>
                <w:szCs w:val="20"/>
                <w:color w:val="auto"/>
              </w:rPr>
            </w:pPr>
            <w:r>
              <w:rPr>
                <w:rFonts w:ascii="Arial" w:cs="Arial" w:eastAsia="Arial" w:hAnsi="Arial"/>
                <w:sz w:val="18"/>
                <w:szCs w:val="18"/>
                <w:color w:val="auto"/>
              </w:rPr>
              <w:t>Operating lease liability, net of current portion</w:t>
            </w:r>
          </w:p>
        </w:tc>
        <w:tc>
          <w:tcPr>
            <w:tcW w:w="18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11,872</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676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29,283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40,883</w:t>
            </w:r>
          </w:p>
        </w:tc>
        <w:tc>
          <w:tcPr>
            <w:tcW w:w="0" w:type="dxa"/>
            <w:vAlign w:val="bottom"/>
          </w:tcPr>
          <w:p>
            <w:pPr>
              <w:spacing w:after="0"/>
              <w:rPr>
                <w:sz w:val="1"/>
                <w:szCs w:val="1"/>
                <w:color w:val="auto"/>
              </w:rPr>
            </w:pPr>
          </w:p>
        </w:tc>
      </w:tr>
      <w:tr>
        <w:trPr>
          <w:trHeight w:val="275"/>
        </w:trPr>
        <w:tc>
          <w:tcPr>
            <w:tcW w:w="67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231,024</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79,755</w:t>
            </w:r>
          </w:p>
        </w:tc>
        <w:tc>
          <w:tcPr>
            <w:tcW w:w="0" w:type="dxa"/>
            <w:vAlign w:val="bottom"/>
          </w:tcPr>
          <w:p>
            <w:pPr>
              <w:spacing w:after="0"/>
              <w:rPr>
                <w:sz w:val="1"/>
                <w:szCs w:val="1"/>
                <w:color w:val="auto"/>
              </w:rPr>
            </w:pPr>
          </w:p>
        </w:tc>
      </w:tr>
      <w:tr>
        <w:trPr>
          <w:trHeight w:val="255"/>
        </w:trPr>
        <w:tc>
          <w:tcPr>
            <w:tcW w:w="676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260,307</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120,638</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right="40" w:firstLine="3"/>
        <w:spacing w:after="0" w:line="276" w:lineRule="auto"/>
        <w:tabs>
          <w:tab w:leader="none" w:pos="27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condensed balance sheet at December 31, 2018 has been derived from the audited financial statements at that date included in the Company's Form 10-K filed with the Securities and Exchange Commission dated February 25, 2019.</w:t>
      </w:r>
    </w:p>
    <w:p>
      <w:pPr>
        <w:sectPr>
          <w:pgSz w:w="11900" w:h="16838" w:orient="portrait"/>
          <w:cols w:equalWidth="0" w:num="1">
            <w:col w:w="11140"/>
          </w:cols>
          <w:pgMar w:left="400" w:top="736"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3"/>
        </w:trPr>
        <w:tc>
          <w:tcPr>
            <w:tcW w:w="6400" w:type="dxa"/>
            <w:vAlign w:val="bottom"/>
          </w:tcPr>
          <w:p>
            <w:pPr>
              <w:jc w:val="center"/>
              <w:ind w:left="2590"/>
              <w:spacing w:after="0"/>
              <w:rPr>
                <w:sz w:val="20"/>
                <w:szCs w:val="20"/>
                <w:color w:val="auto"/>
              </w:rPr>
            </w:pPr>
            <w:r>
              <w:rPr>
                <w:rFonts w:ascii="Arial" w:cs="Arial" w:eastAsia="Arial" w:hAnsi="Arial"/>
                <w:sz w:val="18"/>
                <w:szCs w:val="18"/>
                <w:b w:val="1"/>
                <w:bCs w:val="1"/>
                <w:color w:val="auto"/>
                <w:w w:val="99"/>
              </w:rPr>
              <w:t>VERACYTE, INC.</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680" w:type="dxa"/>
            <w:vAlign w:val="bottom"/>
            <w:gridSpan w:val="2"/>
          </w:tcPr>
          <w:p>
            <w:pPr>
              <w:jc w:val="center"/>
              <w:ind w:left="2310"/>
              <w:spacing w:after="0"/>
              <w:rPr>
                <w:sz w:val="20"/>
                <w:szCs w:val="20"/>
                <w:color w:val="auto"/>
              </w:rPr>
            </w:pPr>
            <w:r>
              <w:rPr>
                <w:rFonts w:ascii="Arial" w:cs="Arial" w:eastAsia="Arial" w:hAnsi="Arial"/>
                <w:sz w:val="18"/>
                <w:szCs w:val="18"/>
                <w:b w:val="1"/>
                <w:bCs w:val="1"/>
                <w:color w:val="auto"/>
                <w:w w:val="99"/>
              </w:rPr>
              <w:t>CONDENSED STATEMENTS OF CASH FLOWS</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00" w:type="dxa"/>
            <w:vAlign w:val="bottom"/>
          </w:tcPr>
          <w:p>
            <w:pPr>
              <w:jc w:val="center"/>
              <w:ind w:left="2590"/>
              <w:spacing w:after="0"/>
              <w:rPr>
                <w:sz w:val="20"/>
                <w:szCs w:val="20"/>
                <w:color w:val="auto"/>
              </w:rPr>
            </w:pPr>
            <w:r>
              <w:rPr>
                <w:rFonts w:ascii="Arial" w:cs="Arial" w:eastAsia="Arial" w:hAnsi="Arial"/>
                <w:sz w:val="18"/>
                <w:szCs w:val="18"/>
                <w:b w:val="1"/>
                <w:bCs w:val="1"/>
                <w:color w:val="auto"/>
                <w:w w:val="99"/>
              </w:rPr>
              <w:t>(Unaudited)</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00" w:type="dxa"/>
            <w:vAlign w:val="bottom"/>
          </w:tcPr>
          <w:p>
            <w:pPr>
              <w:jc w:val="center"/>
              <w:ind w:left="2570"/>
              <w:spacing w:after="0"/>
              <w:rPr>
                <w:sz w:val="20"/>
                <w:szCs w:val="20"/>
                <w:color w:val="auto"/>
              </w:rPr>
            </w:pPr>
            <w:r>
              <w:rPr>
                <w:rFonts w:ascii="Arial" w:cs="Arial" w:eastAsia="Arial" w:hAnsi="Arial"/>
                <w:sz w:val="18"/>
                <w:szCs w:val="18"/>
                <w:b w:val="1"/>
                <w:bCs w:val="1"/>
                <w:color w:val="auto"/>
                <w:w w:val="99"/>
              </w:rPr>
              <w:t>(In thousands of dollars)</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6400" w:type="dxa"/>
            <w:vAlign w:val="bottom"/>
          </w:tcPr>
          <w:p>
            <w:pPr>
              <w:spacing w:after="0"/>
              <w:rPr>
                <w:sz w:val="17"/>
                <w:szCs w:val="17"/>
                <w:color w:val="auto"/>
              </w:rPr>
            </w:pPr>
          </w:p>
        </w:tc>
        <w:tc>
          <w:tcPr>
            <w:tcW w:w="2700" w:type="dxa"/>
            <w:vAlign w:val="bottom"/>
            <w:gridSpan w:val="5"/>
          </w:tcPr>
          <w:p>
            <w:pPr>
              <w:ind w:left="40"/>
              <w:spacing w:after="0"/>
              <w:rPr>
                <w:sz w:val="20"/>
                <w:szCs w:val="20"/>
                <w:color w:val="auto"/>
              </w:rPr>
            </w:pPr>
            <w:r>
              <w:rPr>
                <w:rFonts w:ascii="Arial" w:cs="Arial" w:eastAsia="Arial" w:hAnsi="Arial"/>
                <w:sz w:val="18"/>
                <w:szCs w:val="18"/>
                <w:b w:val="1"/>
                <w:bCs w:val="1"/>
                <w:color w:val="auto"/>
                <w:w w:val="99"/>
              </w:rPr>
              <w:t>Nine Months Ended September</w:t>
            </w:r>
          </w:p>
        </w:tc>
        <w:tc>
          <w:tcPr>
            <w:tcW w:w="0" w:type="dxa"/>
            <w:vAlign w:val="bottom"/>
          </w:tcPr>
          <w:p>
            <w:pPr>
              <w:spacing w:after="0"/>
              <w:rPr>
                <w:sz w:val="1"/>
                <w:szCs w:val="1"/>
                <w:color w:val="auto"/>
              </w:rPr>
            </w:pPr>
          </w:p>
        </w:tc>
      </w:tr>
      <w:tr>
        <w:trPr>
          <w:trHeight w:val="254"/>
        </w:trPr>
        <w:tc>
          <w:tcPr>
            <w:tcW w:w="64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30,</w:t>
            </w: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64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42"/>
        </w:trPr>
        <w:tc>
          <w:tcPr>
            <w:tcW w:w="640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640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(5,141)</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(19,894)</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2,836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2,950</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Gain on disposal of property and equipment</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6,965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4,425</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Amortization of debt issuance costs</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Interest on end-of-term debt obligation</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0"/>
        </w:trPr>
        <w:tc>
          <w:tcPr>
            <w:tcW w:w="640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(10,445)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Supplies</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(3,206)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Right-of-use assets - operating lease and operating lease liability</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2,505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(2,636)</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Accrued liabilities and deferred rent</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3"/>
        </w:trPr>
        <w:tc>
          <w:tcPr>
            <w:tcW w:w="6400" w:type="dxa"/>
            <w:vAlign w:val="bottom"/>
            <w:vMerge w:val="restart"/>
          </w:tcPr>
          <w:p>
            <w:pPr>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(5,022)</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(12,295)</w:t>
            </w:r>
          </w:p>
        </w:tc>
        <w:tc>
          <w:tcPr>
            <w:tcW w:w="0" w:type="dxa"/>
            <w:vAlign w:val="bottom"/>
          </w:tcPr>
          <w:p>
            <w:pPr>
              <w:spacing w:after="0"/>
              <w:rPr>
                <w:sz w:val="1"/>
                <w:szCs w:val="1"/>
                <w:color w:val="auto"/>
              </w:rPr>
            </w:pPr>
          </w:p>
        </w:tc>
      </w:tr>
      <w:tr>
        <w:trPr>
          <w:trHeight w:val="242"/>
        </w:trPr>
        <w:tc>
          <w:tcPr>
            <w:tcW w:w="64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64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Proceeds from disposal of property and equipment</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640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42"/>
        </w:trPr>
        <w:tc>
          <w:tcPr>
            <w:tcW w:w="64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6400" w:type="dxa"/>
            <w:vAlign w:val="bottom"/>
          </w:tcPr>
          <w:p>
            <w:pPr>
              <w:spacing w:after="0"/>
              <w:rPr>
                <w:sz w:val="20"/>
                <w:szCs w:val="20"/>
                <w:color w:val="auto"/>
              </w:rPr>
            </w:pPr>
            <w:r>
              <w:rPr>
                <w:rFonts w:ascii="Arial" w:cs="Arial" w:eastAsia="Arial" w:hAnsi="Arial"/>
                <w:sz w:val="18"/>
                <w:szCs w:val="18"/>
                <w:color w:val="auto"/>
              </w:rPr>
              <w:t>Proceeds from the issuance of common stock in a public offering, net of costs</w:t>
            </w:r>
          </w:p>
        </w:tc>
        <w:tc>
          <w:tcPr>
            <w:tcW w:w="28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137,848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55,039</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Payment of long-term debt</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Proceeds from legal settlement regarding short-swing profits</w:t>
            </w:r>
          </w:p>
        </w:tc>
        <w:tc>
          <w:tcPr>
            <w:tcW w:w="28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Payment of finance lease liability</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Proceeds from the exercise of common stock options and employee stock</w:t>
            </w:r>
          </w:p>
        </w:tc>
        <w:tc>
          <w:tcPr>
            <w:tcW w:w="28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11,603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46"/>
        </w:trPr>
        <w:tc>
          <w:tcPr>
            <w:tcW w:w="6400" w:type="dxa"/>
            <w:vAlign w:val="bottom"/>
          </w:tcPr>
          <w:p>
            <w:pPr>
              <w:spacing w:after="0"/>
              <w:rPr>
                <w:sz w:val="20"/>
                <w:szCs w:val="20"/>
                <w:color w:val="auto"/>
              </w:rPr>
            </w:pPr>
            <w:r>
              <w:rPr>
                <w:rFonts w:ascii="Arial" w:cs="Arial" w:eastAsia="Arial" w:hAnsi="Arial"/>
                <w:sz w:val="18"/>
                <w:szCs w:val="18"/>
                <w:color w:val="auto"/>
              </w:rPr>
              <w:t>purchases</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40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124,322</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57,670</w:t>
            </w:r>
          </w:p>
        </w:tc>
        <w:tc>
          <w:tcPr>
            <w:tcW w:w="0" w:type="dxa"/>
            <w:vAlign w:val="bottom"/>
          </w:tcPr>
          <w:p>
            <w:pPr>
              <w:spacing w:after="0"/>
              <w:rPr>
                <w:sz w:val="1"/>
                <w:szCs w:val="1"/>
                <w:color w:val="auto"/>
              </w:rPr>
            </w:pPr>
          </w:p>
        </w:tc>
      </w:tr>
      <w:tr>
        <w:trPr>
          <w:trHeight w:val="247"/>
        </w:trPr>
        <w:tc>
          <w:tcPr>
            <w:tcW w:w="6400" w:type="dxa"/>
            <w:vAlign w:val="bottom"/>
          </w:tcPr>
          <w:p>
            <w:pPr>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117,667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43,955</w:t>
            </w:r>
          </w:p>
        </w:tc>
        <w:tc>
          <w:tcPr>
            <w:tcW w:w="0" w:type="dxa"/>
            <w:vAlign w:val="bottom"/>
          </w:tcPr>
          <w:p>
            <w:pPr>
              <w:spacing w:after="0"/>
              <w:rPr>
                <w:sz w:val="1"/>
                <w:szCs w:val="1"/>
                <w:color w:val="auto"/>
              </w:rPr>
            </w:pPr>
          </w:p>
        </w:tc>
      </w:tr>
      <w:tr>
        <w:trPr>
          <w:trHeight w:val="273"/>
        </w:trPr>
        <w:tc>
          <w:tcPr>
            <w:tcW w:w="640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78,598</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34,494</w:t>
            </w:r>
          </w:p>
        </w:tc>
        <w:tc>
          <w:tcPr>
            <w:tcW w:w="0" w:type="dxa"/>
            <w:vAlign w:val="bottom"/>
          </w:tcPr>
          <w:p>
            <w:pPr>
              <w:spacing w:after="0"/>
              <w:rPr>
                <w:sz w:val="1"/>
                <w:szCs w:val="1"/>
                <w:color w:val="auto"/>
              </w:rPr>
            </w:pPr>
          </w:p>
        </w:tc>
      </w:tr>
      <w:tr>
        <w:trPr>
          <w:trHeight w:val="250"/>
        </w:trPr>
        <w:tc>
          <w:tcPr>
            <w:tcW w:w="640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196,265</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78,449</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line="205" w:lineRule="exact"/>
              <w:rPr>
                <w:sz w:val="20"/>
                <w:szCs w:val="20"/>
                <w:color w:val="auto"/>
              </w:rPr>
            </w:pPr>
            <w:r>
              <w:rPr>
                <w:rFonts w:ascii="Arial" w:cs="Arial" w:eastAsia="Arial" w:hAnsi="Arial"/>
                <w:sz w:val="18"/>
                <w:szCs w:val="18"/>
                <w:b w:val="1"/>
                <w:bCs w:val="1"/>
                <w:color w:val="auto"/>
              </w:rPr>
              <w:t>Supplementary cash flow information of non-cash investing and financing</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4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6400" w:type="dxa"/>
            <w:vAlign w:val="bottom"/>
          </w:tcPr>
          <w:p>
            <w:pPr>
              <w:spacing w:after="0"/>
              <w:rPr>
                <w:sz w:val="20"/>
                <w:szCs w:val="20"/>
                <w:color w:val="auto"/>
              </w:rPr>
            </w:pPr>
            <w:r>
              <w:rPr>
                <w:rFonts w:ascii="Arial" w:cs="Arial" w:eastAsia="Arial" w:hAnsi="Arial"/>
                <w:sz w:val="18"/>
                <w:szCs w:val="18"/>
                <w:b w:val="1"/>
                <w:bCs w:val="1"/>
                <w:color w:val="auto"/>
              </w:rPr>
              <w:t>activities: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400" w:type="dxa"/>
            <w:vAlign w:val="bottom"/>
          </w:tcPr>
          <w:p>
            <w:pPr>
              <w:spacing w:after="0"/>
              <w:rPr>
                <w:sz w:val="20"/>
                <w:szCs w:val="20"/>
                <w:color w:val="auto"/>
              </w:rPr>
            </w:pPr>
            <w:r>
              <w:rPr>
                <w:rFonts w:ascii="Arial" w:cs="Arial" w:eastAsia="Arial" w:hAnsi="Arial"/>
                <w:sz w:val="18"/>
                <w:szCs w:val="18"/>
                <w:color w:val="auto"/>
              </w:rPr>
              <w:t>Operating lease liability arising from obtaining right-of-use assets - operating</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14,118</w:t>
            </w:r>
          </w:p>
        </w:tc>
        <w:tc>
          <w:tcPr>
            <w:tcW w:w="10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0"/>
                <w:szCs w:val="20"/>
                <w:color w:val="auto"/>
              </w:rPr>
            </w:pPr>
            <w:r>
              <w:rPr>
                <w:rFonts w:ascii="Arial" w:cs="Arial" w:eastAsia="Arial" w:hAnsi="Arial"/>
                <w:sz w:val="18"/>
                <w:szCs w:val="18"/>
                <w:color w:val="auto"/>
              </w:rPr>
              <w:t>lease at beginning of period</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Purchases of property and equipment included in accounts payable and</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0"/>
                <w:szCs w:val="20"/>
                <w:color w:val="auto"/>
              </w:rPr>
            </w:pPr>
            <w:r>
              <w:rPr>
                <w:rFonts w:ascii="Arial" w:cs="Arial" w:eastAsia="Arial" w:hAnsi="Arial"/>
                <w:sz w:val="18"/>
                <w:szCs w:val="18"/>
                <w:color w:val="auto"/>
              </w:rPr>
              <w:t>accrued liability</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400" w:type="dxa"/>
            <w:vAlign w:val="bottom"/>
          </w:tcPr>
          <w:p>
            <w:pPr>
              <w:spacing w:after="0"/>
              <w:rPr>
                <w:sz w:val="20"/>
                <w:szCs w:val="20"/>
                <w:color w:val="auto"/>
              </w:rPr>
            </w:pPr>
            <w:r>
              <w:rPr>
                <w:rFonts w:ascii="Arial" w:cs="Arial" w:eastAsia="Arial" w:hAnsi="Arial"/>
                <w:sz w:val="18"/>
                <w:szCs w:val="18"/>
                <w:color w:val="auto"/>
              </w:rPr>
              <w:t>Interest paid on debt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bl>
    <w:p>
      <w:pPr>
        <w:sectPr>
          <w:pgSz w:w="11900" w:h="16838" w:orient="portrait"/>
          <w:cols w:equalWidth="0" w:num="1">
            <w:col w:w="9100"/>
          </w:cols>
          <w:pgMar w:left="1420" w:top="736" w:right="1379" w:bottom="1440" w:gutter="0" w:footer="0" w:header="0"/>
        </w:sectPr>
      </w:pPr>
    </w:p>
    <w:bookmarkStart w:id="9" w:name="page10"/>
    <w:bookmarkEnd w:id="9"/>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7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2019</w:t>
            </w:r>
          </w:p>
        </w:tc>
        <w:tc>
          <w:tcPr>
            <w:tcW w:w="180" w:type="dxa"/>
            <w:vAlign w:val="bottom"/>
          </w:tcPr>
          <w:p>
            <w:pPr>
              <w:spacing w:after="0"/>
              <w:rPr>
                <w:sz w:val="17"/>
                <w:szCs w:val="17"/>
                <w:color w:val="auto"/>
              </w:rPr>
            </w:pPr>
          </w:p>
        </w:tc>
        <w:tc>
          <w:tcPr>
            <w:tcW w:w="1540" w:type="dxa"/>
            <w:vAlign w:val="bottom"/>
          </w:tcPr>
          <w:p>
            <w:pPr>
              <w:jc w:val="right"/>
              <w:ind w:right="114"/>
              <w:spacing w:after="0"/>
              <w:rPr>
                <w:sz w:val="20"/>
                <w:szCs w:val="20"/>
                <w:color w:val="auto"/>
              </w:rPr>
            </w:pPr>
            <w:r>
              <w:rPr>
                <w:rFonts w:ascii="Arial" w:cs="Arial" w:eastAsia="Arial" w:hAnsi="Arial"/>
                <w:sz w:val="14"/>
                <w:szCs w:val="14"/>
                <w:b w:val="1"/>
                <w:bCs w:val="1"/>
                <w:color w:val="auto"/>
              </w:rPr>
              <w:t>December 31, 2018</w:t>
            </w:r>
          </w:p>
        </w:tc>
      </w:tr>
      <w:tr>
        <w:trPr>
          <w:trHeight w:val="243"/>
        </w:trPr>
        <w:tc>
          <w:tcPr>
            <w:tcW w:w="78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195,662</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77,995</w:t>
            </w:r>
          </w:p>
        </w:tc>
      </w:tr>
      <w:tr>
        <w:trPr>
          <w:trHeight w:val="275"/>
        </w:trPr>
        <w:tc>
          <w:tcPr>
            <w:tcW w:w="7840" w:type="dxa"/>
            <w:vAlign w:val="bottom"/>
          </w:tcPr>
          <w:p>
            <w:pPr>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603</w:t>
            </w:r>
          </w:p>
        </w:tc>
      </w:tr>
      <w:tr>
        <w:trPr>
          <w:trHeight w:val="255"/>
        </w:trPr>
        <w:tc>
          <w:tcPr>
            <w:tcW w:w="784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196,265</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78,598</w:t>
            </w:r>
          </w:p>
        </w:tc>
      </w:tr>
      <w:tr>
        <w:trPr>
          <w:trHeight w:val="20"/>
        </w:trPr>
        <w:tc>
          <w:tcPr>
            <w:tcW w:w="7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and Media Contact: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222222"/>
        </w:rPr>
        <w:t>Keith Kennedy, 650-243-6357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22222"/>
        </w:rPr>
        <w:t>Chief Operating Officer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22222"/>
        </w:rPr>
        <w:t>keith@veracyte.com</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endash "/>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2019-12-28T05:34:38Z</dcterms:created>
  <dcterms:modified xsi:type="dcterms:W3CDTF">2019-12-28T05:34:38Z</dcterms:modified>
</cp:coreProperties>
</file>